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lang w:eastAsia="zh-CN"/>
        </w:rPr>
        <w:t>朝阳街道办事处</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ind w:firstLine="3360" w:firstLineChars="400"/>
        <w:jc w:val="both"/>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ascii="仿宋_GB2312" w:eastAsia="仿宋_GB2312" w:hAnsiTheme="minorEastAsia"/>
          <w:sz w:val="28"/>
          <w:szCs w:val="32"/>
        </w:rPr>
      </w:pPr>
      <w:r>
        <w:rPr>
          <w:rFonts w:hint="eastAsia" w:ascii="仿宋_GB2312" w:hAnsi="Arial" w:eastAsia="仿宋_GB2312" w:cs="Arial"/>
          <w:bCs/>
          <w:color w:val="333333"/>
          <w:kern w:val="0"/>
          <w:sz w:val="32"/>
          <w:szCs w:val="32"/>
        </w:rPr>
        <w:t>（1）执行本级人民代表大会的决议和上级国家行政机关的决定和命令，发布决定和命令；</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（2）执行本行政区域内的经济和社会发展计划、预算，管理本行政区域内的经济、教育、科学、文化、卫生、体育事业和财政、民政、公安、司法行政、计划生育等行政工作；</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（3）保护社会主义的全民所有的财产和劳动群众集体所有的财产，保护公民私人所有的合法财产，维护社会秩序，保障公民的人身权利、民主权利和其他权利；</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（4）保护各种经济组织的合法权益；</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（5）保障少数民族的权利和尊重少数民族的风俗习惯；</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（6）保障宪法和法律赋予妇女的男女平等、同工同酬和婚姻自由等各项权利；</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（7）办理上级人民政府交办的其他事项。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napToGrid w:val="0"/>
        <w:spacing w:line="520" w:lineRule="exact"/>
        <w:ind w:firstLine="640"/>
        <w:rPr>
          <w:rFonts w:hint="eastAsia" w:eastAsia="仿宋_GB2312"/>
          <w:bCs/>
          <w:color w:val="000000"/>
          <w:kern w:val="0"/>
          <w:sz w:val="32"/>
          <w:szCs w:val="32"/>
        </w:rPr>
      </w:pPr>
      <w:r>
        <w:rPr>
          <w:rFonts w:hint="eastAsia" w:ascii="仿宋_GB2312" w:hAnsi="Arial" w:eastAsia="仿宋_GB2312" w:cs="Arial"/>
          <w:bCs/>
          <w:color w:val="333333"/>
          <w:kern w:val="0"/>
          <w:sz w:val="32"/>
          <w:szCs w:val="32"/>
        </w:rPr>
        <w:t>（</w:t>
      </w:r>
      <w:r>
        <w:rPr>
          <w:rFonts w:hint="eastAsia" w:ascii="仿宋_GB2312" w:hAnsi="Arial" w:eastAsia="仿宋_GB2312" w:cs="Arial"/>
          <w:bCs/>
          <w:color w:val="333333"/>
          <w:kern w:val="0"/>
          <w:sz w:val="32"/>
          <w:szCs w:val="32"/>
          <w:lang w:val="en-US" w:eastAsia="zh-CN"/>
        </w:rPr>
        <w:t>1</w:t>
      </w:r>
      <w:r>
        <w:rPr>
          <w:rFonts w:hint="eastAsia" w:ascii="仿宋_GB2312" w:hAnsi="Arial" w:eastAsia="仿宋_GB2312" w:cs="Arial"/>
          <w:bCs/>
          <w:color w:val="333333"/>
          <w:kern w:val="0"/>
          <w:sz w:val="32"/>
          <w:szCs w:val="32"/>
        </w:rPr>
        <w:t>）</w:t>
      </w:r>
      <w:r>
        <w:rPr>
          <w:rFonts w:hint="eastAsia" w:ascii="仿宋_GB2312" w:hAnsi="仿宋" w:eastAsia="仿宋_GB2312"/>
          <w:bCs/>
          <w:color w:val="000000"/>
          <w:sz w:val="32"/>
          <w:szCs w:val="32"/>
          <w:lang w:eastAsia="zh-CN"/>
        </w:rPr>
        <w:t>朝阳办事处</w:t>
      </w:r>
      <w:r>
        <w:rPr>
          <w:rFonts w:hint="eastAsia" w:eastAsia="仿宋_GB2312"/>
          <w:bCs/>
          <w:color w:val="000000"/>
          <w:kern w:val="0"/>
          <w:sz w:val="32"/>
          <w:szCs w:val="32"/>
        </w:rPr>
        <w:t>20</w:t>
      </w:r>
      <w:r>
        <w:rPr>
          <w:rFonts w:hint="eastAsia" w:eastAsia="仿宋_GB2312"/>
          <w:bCs/>
          <w:color w:val="000000"/>
          <w:kern w:val="0"/>
          <w:sz w:val="32"/>
          <w:szCs w:val="32"/>
          <w:lang w:val="en-US" w:eastAsia="zh-CN"/>
        </w:rPr>
        <w:t>21</w:t>
      </w:r>
      <w:r>
        <w:rPr>
          <w:rFonts w:hint="eastAsia" w:eastAsia="仿宋_GB2312"/>
          <w:bCs/>
          <w:color w:val="000000"/>
          <w:kern w:val="0"/>
          <w:sz w:val="32"/>
          <w:szCs w:val="32"/>
        </w:rPr>
        <w:t>年</w:t>
      </w:r>
      <w:r>
        <w:rPr>
          <w:rFonts w:hint="eastAsia" w:ascii="仿宋_GB2312" w:hAnsi="仿宋" w:eastAsia="仿宋_GB2312"/>
          <w:bCs/>
          <w:sz w:val="32"/>
          <w:szCs w:val="32"/>
        </w:rPr>
        <w:t>度在职在岗人员</w:t>
      </w:r>
      <w:r>
        <w:rPr>
          <w:rFonts w:hint="eastAsia" w:ascii="仿宋_GB2312" w:hAnsi="仿宋" w:eastAsia="仿宋_GB2312"/>
          <w:bCs/>
          <w:sz w:val="32"/>
          <w:szCs w:val="32"/>
          <w:lang w:val="en-US" w:eastAsia="zh-CN"/>
        </w:rPr>
        <w:t>117</w:t>
      </w:r>
      <w:r>
        <w:rPr>
          <w:rFonts w:hint="eastAsia" w:ascii="仿宋_GB2312" w:hAnsi="仿宋" w:eastAsia="仿宋_GB2312"/>
          <w:bCs/>
          <w:sz w:val="32"/>
          <w:szCs w:val="32"/>
        </w:rPr>
        <w:t>人，退休人员</w:t>
      </w:r>
      <w:r>
        <w:rPr>
          <w:rFonts w:hint="eastAsia" w:ascii="仿宋_GB2312" w:hAnsi="仿宋" w:eastAsia="仿宋_GB2312"/>
          <w:bCs/>
          <w:sz w:val="32"/>
          <w:szCs w:val="32"/>
          <w:lang w:val="en-US" w:eastAsia="zh-CN"/>
        </w:rPr>
        <w:t>40</w:t>
      </w:r>
      <w:r>
        <w:rPr>
          <w:rFonts w:hint="eastAsia" w:ascii="仿宋_GB2312" w:hAnsi="仿宋" w:eastAsia="仿宋_GB2312"/>
          <w:bCs/>
          <w:sz w:val="32"/>
          <w:szCs w:val="32"/>
        </w:rPr>
        <w:t>个，遣补人员</w:t>
      </w:r>
      <w:r>
        <w:rPr>
          <w:rFonts w:hint="eastAsia" w:ascii="仿宋_GB2312" w:hAnsi="仿宋" w:eastAsia="仿宋_GB2312"/>
          <w:bCs/>
          <w:sz w:val="32"/>
          <w:szCs w:val="32"/>
          <w:lang w:val="en-US" w:eastAsia="zh-CN"/>
        </w:rPr>
        <w:t>9</w:t>
      </w:r>
      <w:r>
        <w:rPr>
          <w:rFonts w:hint="eastAsia" w:ascii="仿宋_GB2312" w:hAnsi="仿宋" w:eastAsia="仿宋_GB2312"/>
          <w:bCs/>
          <w:sz w:val="32"/>
          <w:szCs w:val="32"/>
        </w:rPr>
        <w:t>人。</w:t>
      </w:r>
      <w:r>
        <w:rPr>
          <w:rFonts w:hint="eastAsia" w:eastAsia="仿宋_GB2312"/>
          <w:bCs/>
          <w:color w:val="000000"/>
          <w:kern w:val="0"/>
          <w:sz w:val="32"/>
          <w:szCs w:val="32"/>
        </w:rPr>
        <w:t>独立核算机构2个：</w:t>
      </w:r>
      <w:r>
        <w:rPr>
          <w:rFonts w:hint="eastAsia" w:ascii="仿宋_GB2312" w:hAnsi="仿宋" w:eastAsia="仿宋_GB2312"/>
          <w:bCs/>
          <w:color w:val="000000"/>
          <w:sz w:val="32"/>
          <w:szCs w:val="32"/>
          <w:lang w:eastAsia="zh-CN"/>
        </w:rPr>
        <w:t>朝阳办事处</w:t>
      </w:r>
      <w:r>
        <w:rPr>
          <w:rFonts w:hint="eastAsia" w:eastAsia="仿宋_GB2312"/>
          <w:bCs/>
          <w:color w:val="000000"/>
          <w:kern w:val="0"/>
          <w:sz w:val="32"/>
          <w:szCs w:val="32"/>
        </w:rPr>
        <w:t>政府和</w:t>
      </w:r>
      <w:r>
        <w:rPr>
          <w:rFonts w:hint="eastAsia" w:ascii="仿宋_GB2312" w:hAnsi="仿宋" w:eastAsia="仿宋_GB2312"/>
          <w:bCs/>
          <w:color w:val="000000"/>
          <w:sz w:val="32"/>
          <w:szCs w:val="32"/>
          <w:lang w:eastAsia="zh-CN"/>
        </w:rPr>
        <w:t>朝阳办事处</w:t>
      </w:r>
      <w:r>
        <w:rPr>
          <w:rFonts w:hint="eastAsia" w:eastAsia="仿宋_GB2312"/>
          <w:bCs/>
          <w:color w:val="000000"/>
          <w:kern w:val="0"/>
          <w:sz w:val="32"/>
          <w:szCs w:val="32"/>
        </w:rPr>
        <w:t>财政所。独立编制</w:t>
      </w:r>
      <w:r>
        <w:rPr>
          <w:rFonts w:hint="eastAsia" w:eastAsia="仿宋_GB2312"/>
          <w:bCs/>
          <w:color w:val="000000"/>
          <w:kern w:val="0"/>
          <w:sz w:val="32"/>
          <w:szCs w:val="32"/>
          <w:lang w:eastAsia="zh-CN"/>
        </w:rPr>
        <w:t>机构</w:t>
      </w:r>
      <w:r>
        <w:rPr>
          <w:rFonts w:hint="eastAsia" w:eastAsia="仿宋_GB2312"/>
          <w:bCs/>
          <w:color w:val="000000"/>
          <w:kern w:val="0"/>
          <w:sz w:val="32"/>
          <w:szCs w:val="32"/>
          <w:lang w:val="en-US" w:eastAsia="zh-CN"/>
        </w:rPr>
        <w:t>7</w:t>
      </w:r>
      <w:r>
        <w:rPr>
          <w:rFonts w:hint="eastAsia" w:eastAsia="仿宋_GB2312"/>
          <w:bCs/>
          <w:color w:val="000000"/>
          <w:kern w:val="0"/>
          <w:sz w:val="32"/>
          <w:szCs w:val="32"/>
        </w:rPr>
        <w:t>个。</w:t>
      </w:r>
    </w:p>
    <w:p>
      <w:pPr>
        <w:snapToGrid w:val="0"/>
        <w:spacing w:line="520" w:lineRule="exact"/>
        <w:ind w:firstLine="640"/>
        <w:rPr>
          <w:rFonts w:ascii="仿宋_GB2312" w:hAnsi="仿宋" w:eastAsia="仿宋_GB2312"/>
          <w:bCs/>
          <w:sz w:val="32"/>
          <w:szCs w:val="32"/>
        </w:rPr>
      </w:pPr>
      <w:r>
        <w:rPr>
          <w:rFonts w:hint="eastAsia" w:asciiTheme="minorEastAsia" w:hAnsiTheme="minorEastAsia"/>
          <w:bCs/>
          <w:kern w:val="0"/>
          <w:sz w:val="32"/>
          <w:szCs w:val="32"/>
        </w:rPr>
        <w:t>（</w:t>
      </w: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w:t>
      </w:r>
      <w:r>
        <w:rPr>
          <w:rFonts w:hint="eastAsia" w:eastAsia="仿宋_GB2312"/>
          <w:bCs/>
          <w:color w:val="000000"/>
          <w:kern w:val="0"/>
          <w:sz w:val="32"/>
          <w:szCs w:val="32"/>
        </w:rPr>
        <w:t>部门决算汇总公开单位构成包括：</w:t>
      </w:r>
      <w:r>
        <w:rPr>
          <w:rFonts w:hint="eastAsia" w:eastAsia="仿宋_GB2312"/>
          <w:bCs/>
          <w:kern w:val="0"/>
          <w:sz w:val="32"/>
          <w:szCs w:val="32"/>
        </w:rPr>
        <w:t>政府、财政所、</w:t>
      </w:r>
      <w:r>
        <w:rPr>
          <w:rFonts w:hint="eastAsia" w:eastAsia="仿宋_GB2312"/>
          <w:bCs/>
          <w:kern w:val="0"/>
          <w:sz w:val="32"/>
          <w:szCs w:val="32"/>
          <w:lang w:eastAsia="zh-CN"/>
        </w:rPr>
        <w:t>退伍军人服务站</w:t>
      </w:r>
      <w:r>
        <w:rPr>
          <w:rFonts w:hint="eastAsia" w:eastAsia="仿宋_GB2312"/>
          <w:bCs/>
          <w:kern w:val="0"/>
          <w:sz w:val="32"/>
          <w:szCs w:val="32"/>
        </w:rPr>
        <w:t>、</w:t>
      </w:r>
      <w:r>
        <w:rPr>
          <w:rFonts w:hint="eastAsia" w:eastAsia="仿宋_GB2312"/>
          <w:bCs/>
          <w:kern w:val="0"/>
          <w:sz w:val="32"/>
          <w:szCs w:val="32"/>
          <w:lang w:eastAsia="zh-CN"/>
        </w:rPr>
        <w:t>便民服务</w:t>
      </w:r>
      <w:r>
        <w:rPr>
          <w:rFonts w:hint="eastAsia" w:eastAsia="仿宋_GB2312"/>
          <w:bCs/>
          <w:kern w:val="0"/>
          <w:sz w:val="32"/>
          <w:szCs w:val="32"/>
        </w:rPr>
        <w:t>中心、</w:t>
      </w:r>
      <w:r>
        <w:rPr>
          <w:rFonts w:hint="eastAsia" w:eastAsia="仿宋_GB2312"/>
          <w:bCs/>
          <w:kern w:val="0"/>
          <w:sz w:val="32"/>
          <w:szCs w:val="32"/>
          <w:lang w:eastAsia="zh-CN"/>
        </w:rPr>
        <w:t>城管综合执法大队、社会事业综合服务中心</w:t>
      </w:r>
      <w:r>
        <w:rPr>
          <w:rFonts w:hint="eastAsia" w:eastAsia="仿宋_GB2312"/>
          <w:bCs/>
          <w:kern w:val="0"/>
          <w:sz w:val="32"/>
          <w:szCs w:val="32"/>
        </w:rPr>
        <w:t>、农业</w:t>
      </w:r>
      <w:r>
        <w:rPr>
          <w:rFonts w:hint="eastAsia" w:eastAsia="仿宋_GB2312"/>
          <w:bCs/>
          <w:kern w:val="0"/>
          <w:sz w:val="32"/>
          <w:szCs w:val="32"/>
          <w:lang w:eastAsia="zh-CN"/>
        </w:rPr>
        <w:t>综合</w:t>
      </w:r>
      <w:r>
        <w:rPr>
          <w:rFonts w:hint="eastAsia" w:eastAsia="仿宋_GB2312"/>
          <w:bCs/>
          <w:kern w:val="0"/>
          <w:sz w:val="32"/>
          <w:szCs w:val="32"/>
        </w:rPr>
        <w:t>服务中心、。</w:t>
      </w:r>
    </w:p>
    <w:p>
      <w:pPr>
        <w:widowControl/>
        <w:spacing w:line="600" w:lineRule="exact"/>
        <w:ind w:firstLine="640" w:firstLineChars="200"/>
        <w:rPr>
          <w:rFonts w:asciiTheme="minorEastAsia" w:hAnsiTheme="minorEastAsia"/>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ind w:firstLine="3600" w:firstLineChars="500"/>
        <w:jc w:val="both"/>
        <w:rPr>
          <w:rFonts w:hint="eastAsia"/>
          <w:sz w:val="72"/>
          <w:szCs w:val="72"/>
        </w:rPr>
      </w:pPr>
    </w:p>
    <w:p>
      <w:pPr>
        <w:ind w:firstLine="3600" w:firstLineChars="500"/>
        <w:jc w:val="both"/>
        <w:rPr>
          <w:rFonts w:hint="eastAsia"/>
          <w:sz w:val="72"/>
          <w:szCs w:val="72"/>
        </w:rPr>
      </w:pPr>
    </w:p>
    <w:p>
      <w:pPr>
        <w:ind w:firstLine="3600" w:firstLineChars="500"/>
        <w:jc w:val="both"/>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06"/>
        <w:gridCol w:w="552"/>
        <w:gridCol w:w="4029"/>
        <w:gridCol w:w="4006"/>
        <w:gridCol w:w="55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4067" w:type="dxa"/>
            <w:gridSpan w:val="6"/>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006" w:type="dxa"/>
            <w:shd w:val="clear" w:color="auto" w:fill="auto"/>
            <w:vAlign w:val="bottom"/>
          </w:tcPr>
          <w:p>
            <w:pPr>
              <w:rPr>
                <w:rFonts w:hint="eastAsia" w:ascii="Arial" w:hAnsi="Arial" w:cs="Arial"/>
                <w:i w:val="0"/>
                <w:color w:val="000000"/>
                <w:sz w:val="20"/>
                <w:szCs w:val="20"/>
                <w:u w:val="none"/>
              </w:rPr>
            </w:pPr>
          </w:p>
        </w:tc>
        <w:tc>
          <w:tcPr>
            <w:tcW w:w="552" w:type="dxa"/>
            <w:shd w:val="clear" w:color="auto" w:fill="auto"/>
            <w:vAlign w:val="bottom"/>
          </w:tcPr>
          <w:p>
            <w:pPr>
              <w:rPr>
                <w:rFonts w:hint="default" w:ascii="Arial" w:hAnsi="Arial" w:cs="Arial"/>
                <w:i w:val="0"/>
                <w:color w:val="000000"/>
                <w:sz w:val="20"/>
                <w:szCs w:val="20"/>
                <w:u w:val="none"/>
              </w:rPr>
            </w:pPr>
          </w:p>
        </w:tc>
        <w:tc>
          <w:tcPr>
            <w:tcW w:w="4029" w:type="dxa"/>
            <w:shd w:val="clear" w:color="auto" w:fill="auto"/>
            <w:vAlign w:val="bottom"/>
          </w:tcPr>
          <w:p>
            <w:pPr>
              <w:rPr>
                <w:rFonts w:hint="default" w:ascii="Arial" w:hAnsi="Arial" w:cs="Arial"/>
                <w:i w:val="0"/>
                <w:color w:val="000000"/>
                <w:sz w:val="20"/>
                <w:szCs w:val="20"/>
                <w:u w:val="none"/>
              </w:rPr>
            </w:pPr>
          </w:p>
        </w:tc>
        <w:tc>
          <w:tcPr>
            <w:tcW w:w="4006" w:type="dxa"/>
            <w:shd w:val="clear" w:color="auto" w:fill="auto"/>
            <w:vAlign w:val="bottom"/>
          </w:tcPr>
          <w:p>
            <w:pPr>
              <w:rPr>
                <w:rFonts w:hint="default" w:ascii="Arial" w:hAnsi="Arial" w:cs="Arial"/>
                <w:i w:val="0"/>
                <w:color w:val="000000"/>
                <w:sz w:val="20"/>
                <w:szCs w:val="20"/>
                <w:u w:val="none"/>
              </w:rPr>
            </w:pPr>
          </w:p>
        </w:tc>
        <w:tc>
          <w:tcPr>
            <w:tcW w:w="552" w:type="dxa"/>
            <w:shd w:val="clear" w:color="auto" w:fill="auto"/>
            <w:vAlign w:val="bottom"/>
          </w:tcPr>
          <w:p>
            <w:pPr>
              <w:rPr>
                <w:rFonts w:hint="default" w:ascii="Arial" w:hAnsi="Arial" w:cs="Arial"/>
                <w:i w:val="0"/>
                <w:color w:val="000000"/>
                <w:sz w:val="20"/>
                <w:szCs w:val="20"/>
                <w:u w:val="none"/>
              </w:rPr>
            </w:pPr>
          </w:p>
        </w:tc>
        <w:tc>
          <w:tcPr>
            <w:tcW w:w="92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00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552" w:type="dxa"/>
            <w:shd w:val="clear" w:color="auto" w:fill="auto"/>
            <w:vAlign w:val="bottom"/>
          </w:tcPr>
          <w:p>
            <w:pPr>
              <w:rPr>
                <w:rFonts w:hint="default" w:ascii="Arial" w:hAnsi="Arial" w:cs="Arial"/>
                <w:i w:val="0"/>
                <w:color w:val="000000"/>
                <w:sz w:val="20"/>
                <w:szCs w:val="20"/>
                <w:u w:val="none"/>
              </w:rPr>
            </w:pPr>
          </w:p>
        </w:tc>
        <w:tc>
          <w:tcPr>
            <w:tcW w:w="4029" w:type="dxa"/>
            <w:shd w:val="clear" w:color="auto" w:fill="auto"/>
            <w:vAlign w:val="bottom"/>
          </w:tcPr>
          <w:p>
            <w:pPr>
              <w:rPr>
                <w:rFonts w:hint="default" w:ascii="Arial" w:hAnsi="Arial" w:cs="Arial"/>
                <w:i w:val="0"/>
                <w:color w:val="000000"/>
                <w:sz w:val="20"/>
                <w:szCs w:val="20"/>
                <w:u w:val="none"/>
              </w:rPr>
            </w:pPr>
          </w:p>
        </w:tc>
        <w:tc>
          <w:tcPr>
            <w:tcW w:w="4006" w:type="dxa"/>
            <w:shd w:val="clear" w:color="auto" w:fill="auto"/>
            <w:vAlign w:val="bottom"/>
          </w:tcPr>
          <w:p>
            <w:pPr>
              <w:rPr>
                <w:rFonts w:hint="default" w:ascii="Arial" w:hAnsi="Arial" w:cs="Arial"/>
                <w:i w:val="0"/>
                <w:color w:val="000000"/>
                <w:sz w:val="20"/>
                <w:szCs w:val="20"/>
                <w:u w:val="none"/>
              </w:rPr>
            </w:pPr>
          </w:p>
        </w:tc>
        <w:tc>
          <w:tcPr>
            <w:tcW w:w="552" w:type="dxa"/>
            <w:shd w:val="clear" w:color="auto" w:fill="auto"/>
            <w:vAlign w:val="bottom"/>
          </w:tcPr>
          <w:p>
            <w:pPr>
              <w:rPr>
                <w:rFonts w:hint="default" w:ascii="Arial" w:hAnsi="Arial" w:cs="Arial"/>
                <w:i w:val="0"/>
                <w:color w:val="000000"/>
                <w:sz w:val="20"/>
                <w:szCs w:val="20"/>
                <w:u w:val="none"/>
              </w:rPr>
            </w:pPr>
          </w:p>
        </w:tc>
        <w:tc>
          <w:tcPr>
            <w:tcW w:w="92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5480"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402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52"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2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52"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3,301.55</w:t>
            </w: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336.32</w:t>
            </w: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4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06"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922"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00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4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c>
          <w:tcPr>
            <w:tcW w:w="40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5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9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7"/>
        <w:tblW w:w="13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754"/>
        <w:gridCol w:w="808"/>
        <w:gridCol w:w="3931"/>
        <w:gridCol w:w="1801"/>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40" w:type="dxa"/>
            <w:gridSpan w:val="11"/>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6" w:type="dxa"/>
            <w:shd w:val="clear" w:color="auto" w:fill="auto"/>
            <w:vAlign w:val="bottom"/>
          </w:tcPr>
          <w:p>
            <w:pPr>
              <w:rPr>
                <w:rFonts w:hint="eastAsia" w:ascii="Arial" w:hAnsi="Arial" w:cs="Arial"/>
                <w:i w:val="0"/>
                <w:color w:val="000000"/>
                <w:sz w:val="20"/>
                <w:szCs w:val="20"/>
                <w:u w:val="none"/>
              </w:rPr>
            </w:pP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7"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3,637.87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3,637.87</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统计抽样调查</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税收事务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教育费附加安排的支出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其他科学技术支出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其他人力资源和社会保障管理事务支出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基层政权建设和社区治理</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257.70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城市最低生活保障金支出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污染防治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375.14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对村级公益事业建设的补助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成品油价格改革对交通运输的补贴</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2140402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对农村道路客运的补贴</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保障性安居工程支出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老旧小区改造</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地质灾害防治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740" w:type="dxa"/>
            <w:gridSpan w:val="11"/>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7"/>
        <w:tblW w:w="12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754"/>
        <w:gridCol w:w="808"/>
        <w:gridCol w:w="3931"/>
        <w:gridCol w:w="1801"/>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2780" w:type="dxa"/>
            <w:gridSpan w:val="10"/>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6" w:type="dxa"/>
            <w:shd w:val="clear" w:color="auto" w:fill="auto"/>
            <w:vAlign w:val="bottom"/>
          </w:tcPr>
          <w:p>
            <w:pPr>
              <w:rPr>
                <w:rFonts w:hint="eastAsia" w:ascii="Arial" w:hAnsi="Arial" w:cs="Arial"/>
                <w:i w:val="0"/>
                <w:color w:val="000000"/>
                <w:sz w:val="20"/>
                <w:szCs w:val="20"/>
                <w:u w:val="none"/>
              </w:rPr>
            </w:pP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3,637.87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2,268.17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1,369.70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统计抽样调查</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税收事务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教育费附加安排的支出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其他科学技术支出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其他人力资源和社会保障管理事务支出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基层政权建设和社区治理</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257.70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城市最低生活保障金支出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污染防治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679.63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对村级公益事业建设的补助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成品油价格改革对交通运输的补贴</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2140402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对农村道路客运的补贴</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保障性安居工程支出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老旧小区改造</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地质灾害防治</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278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7"/>
        <w:tblW w:w="16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94"/>
        <w:gridCol w:w="521"/>
        <w:gridCol w:w="2830"/>
        <w:gridCol w:w="2999"/>
        <w:gridCol w:w="522"/>
        <w:gridCol w:w="1591"/>
        <w:gridCol w:w="1029"/>
        <w:gridCol w:w="2759"/>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9" w:hRule="atLeast"/>
        </w:trPr>
        <w:tc>
          <w:tcPr>
            <w:tcW w:w="16480" w:type="dxa"/>
            <w:gridSpan w:val="9"/>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bookmarkStart w:id="0" w:name="RANGE!A1:I22"/>
            <w:bookmarkEnd w:id="0"/>
            <w:bookmarkStart w:id="1" w:name="RANGE!A1:F16"/>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2694" w:type="dxa"/>
            <w:shd w:val="clear" w:color="auto" w:fill="auto"/>
            <w:vAlign w:val="bottom"/>
          </w:tcPr>
          <w:p>
            <w:pPr>
              <w:rPr>
                <w:rFonts w:hint="eastAsia" w:ascii="Arial" w:hAnsi="Arial" w:cs="Arial"/>
                <w:i w:val="0"/>
                <w:color w:val="000000"/>
                <w:sz w:val="20"/>
                <w:szCs w:val="20"/>
                <w:u w:val="none"/>
              </w:rPr>
            </w:pPr>
          </w:p>
        </w:tc>
        <w:tc>
          <w:tcPr>
            <w:tcW w:w="521" w:type="dxa"/>
            <w:shd w:val="clear" w:color="auto" w:fill="auto"/>
            <w:vAlign w:val="bottom"/>
          </w:tcPr>
          <w:p>
            <w:pPr>
              <w:rPr>
                <w:rFonts w:hint="default" w:ascii="Arial" w:hAnsi="Arial" w:cs="Arial"/>
                <w:i w:val="0"/>
                <w:color w:val="000000"/>
                <w:sz w:val="20"/>
                <w:szCs w:val="20"/>
                <w:u w:val="none"/>
              </w:rPr>
            </w:pPr>
          </w:p>
        </w:tc>
        <w:tc>
          <w:tcPr>
            <w:tcW w:w="2830" w:type="dxa"/>
            <w:shd w:val="clear" w:color="auto" w:fill="auto"/>
            <w:vAlign w:val="bottom"/>
          </w:tcPr>
          <w:p>
            <w:pPr>
              <w:rPr>
                <w:rFonts w:hint="default" w:ascii="Arial" w:hAnsi="Arial" w:cs="Arial"/>
                <w:i w:val="0"/>
                <w:color w:val="000000"/>
                <w:sz w:val="20"/>
                <w:szCs w:val="20"/>
                <w:u w:val="none"/>
              </w:rPr>
            </w:pPr>
          </w:p>
        </w:tc>
        <w:tc>
          <w:tcPr>
            <w:tcW w:w="2999" w:type="dxa"/>
            <w:shd w:val="clear" w:color="auto" w:fill="auto"/>
            <w:vAlign w:val="bottom"/>
          </w:tcPr>
          <w:p>
            <w:pPr>
              <w:rPr>
                <w:rFonts w:hint="default" w:ascii="Arial" w:hAnsi="Arial" w:cs="Arial"/>
                <w:i w:val="0"/>
                <w:color w:val="000000"/>
                <w:sz w:val="20"/>
                <w:szCs w:val="20"/>
                <w:u w:val="none"/>
              </w:rPr>
            </w:pPr>
          </w:p>
        </w:tc>
        <w:tc>
          <w:tcPr>
            <w:tcW w:w="522" w:type="dxa"/>
            <w:shd w:val="clear" w:color="auto" w:fill="auto"/>
            <w:vAlign w:val="bottom"/>
          </w:tcPr>
          <w:p>
            <w:pPr>
              <w:rPr>
                <w:rFonts w:hint="default" w:ascii="Arial" w:hAnsi="Arial" w:cs="Arial"/>
                <w:i w:val="0"/>
                <w:color w:val="000000"/>
                <w:sz w:val="20"/>
                <w:szCs w:val="20"/>
                <w:u w:val="none"/>
              </w:rPr>
            </w:pPr>
          </w:p>
        </w:tc>
        <w:tc>
          <w:tcPr>
            <w:tcW w:w="1591" w:type="dxa"/>
            <w:shd w:val="clear" w:color="auto" w:fill="auto"/>
            <w:vAlign w:val="bottom"/>
          </w:tcPr>
          <w:p>
            <w:pPr>
              <w:rPr>
                <w:rFonts w:hint="default" w:ascii="Arial" w:hAnsi="Arial" w:cs="Arial"/>
                <w:i w:val="0"/>
                <w:color w:val="000000"/>
                <w:sz w:val="20"/>
                <w:szCs w:val="20"/>
                <w:u w:val="none"/>
              </w:rPr>
            </w:pPr>
          </w:p>
        </w:tc>
        <w:tc>
          <w:tcPr>
            <w:tcW w:w="1029" w:type="dxa"/>
            <w:shd w:val="clear" w:color="auto" w:fill="auto"/>
            <w:vAlign w:val="bottom"/>
          </w:tcPr>
          <w:p>
            <w:pPr>
              <w:rPr>
                <w:rFonts w:hint="default" w:ascii="Arial" w:hAnsi="Arial" w:cs="Arial"/>
                <w:i w:val="0"/>
                <w:color w:val="000000"/>
                <w:sz w:val="20"/>
                <w:szCs w:val="20"/>
                <w:u w:val="none"/>
              </w:rPr>
            </w:pPr>
          </w:p>
        </w:tc>
        <w:tc>
          <w:tcPr>
            <w:tcW w:w="2759" w:type="dxa"/>
            <w:shd w:val="clear" w:color="auto" w:fill="auto"/>
            <w:vAlign w:val="bottom"/>
          </w:tcPr>
          <w:p>
            <w:pPr>
              <w:rPr>
                <w:rFonts w:hint="default" w:ascii="Arial" w:hAnsi="Arial" w:cs="Arial"/>
                <w:i w:val="0"/>
                <w:color w:val="000000"/>
                <w:sz w:val="20"/>
                <w:szCs w:val="20"/>
                <w:u w:val="none"/>
              </w:rPr>
            </w:pPr>
          </w:p>
        </w:tc>
        <w:tc>
          <w:tcPr>
            <w:tcW w:w="153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9" w:hRule="atLeast"/>
        </w:trPr>
        <w:tc>
          <w:tcPr>
            <w:tcW w:w="2694"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521" w:type="dxa"/>
            <w:shd w:val="clear" w:color="auto" w:fill="auto"/>
            <w:vAlign w:val="bottom"/>
          </w:tcPr>
          <w:p>
            <w:pPr>
              <w:rPr>
                <w:rFonts w:hint="default" w:ascii="Arial" w:hAnsi="Arial" w:cs="Arial"/>
                <w:i w:val="0"/>
                <w:color w:val="000000"/>
                <w:sz w:val="20"/>
                <w:szCs w:val="20"/>
                <w:u w:val="none"/>
              </w:rPr>
            </w:pPr>
          </w:p>
        </w:tc>
        <w:tc>
          <w:tcPr>
            <w:tcW w:w="2830" w:type="dxa"/>
            <w:shd w:val="clear" w:color="auto" w:fill="auto"/>
            <w:vAlign w:val="bottom"/>
          </w:tcPr>
          <w:p>
            <w:pPr>
              <w:rPr>
                <w:rFonts w:hint="default" w:ascii="Arial" w:hAnsi="Arial" w:cs="Arial"/>
                <w:i w:val="0"/>
                <w:color w:val="000000"/>
                <w:sz w:val="20"/>
                <w:szCs w:val="20"/>
                <w:u w:val="none"/>
              </w:rPr>
            </w:pPr>
          </w:p>
        </w:tc>
        <w:tc>
          <w:tcPr>
            <w:tcW w:w="2999" w:type="dxa"/>
            <w:shd w:val="clear" w:color="auto" w:fill="auto"/>
            <w:vAlign w:val="bottom"/>
          </w:tcPr>
          <w:p>
            <w:pPr>
              <w:rPr>
                <w:rFonts w:hint="default" w:ascii="Arial" w:hAnsi="Arial" w:cs="Arial"/>
                <w:i w:val="0"/>
                <w:color w:val="000000"/>
                <w:sz w:val="20"/>
                <w:szCs w:val="20"/>
                <w:u w:val="none"/>
              </w:rPr>
            </w:pPr>
          </w:p>
        </w:tc>
        <w:tc>
          <w:tcPr>
            <w:tcW w:w="522" w:type="dxa"/>
            <w:shd w:val="clear" w:color="auto" w:fill="auto"/>
            <w:vAlign w:val="bottom"/>
          </w:tcPr>
          <w:p>
            <w:pPr>
              <w:rPr>
                <w:rFonts w:hint="default" w:ascii="Arial" w:hAnsi="Arial" w:cs="Arial"/>
                <w:i w:val="0"/>
                <w:color w:val="000000"/>
                <w:sz w:val="20"/>
                <w:szCs w:val="20"/>
                <w:u w:val="none"/>
              </w:rPr>
            </w:pPr>
          </w:p>
        </w:tc>
        <w:tc>
          <w:tcPr>
            <w:tcW w:w="1591" w:type="dxa"/>
            <w:shd w:val="clear" w:color="auto" w:fill="auto"/>
            <w:vAlign w:val="bottom"/>
          </w:tcPr>
          <w:p>
            <w:pPr>
              <w:rPr>
                <w:rFonts w:hint="default" w:ascii="Arial" w:hAnsi="Arial" w:cs="Arial"/>
                <w:i w:val="0"/>
                <w:color w:val="000000"/>
                <w:sz w:val="20"/>
                <w:szCs w:val="20"/>
                <w:u w:val="none"/>
              </w:rPr>
            </w:pPr>
          </w:p>
        </w:tc>
        <w:tc>
          <w:tcPr>
            <w:tcW w:w="1029" w:type="dxa"/>
            <w:shd w:val="clear" w:color="auto" w:fill="auto"/>
            <w:vAlign w:val="bottom"/>
          </w:tcPr>
          <w:p>
            <w:pPr>
              <w:rPr>
                <w:rFonts w:hint="default" w:ascii="Arial" w:hAnsi="Arial" w:cs="Arial"/>
                <w:i w:val="0"/>
                <w:color w:val="000000"/>
                <w:sz w:val="20"/>
                <w:szCs w:val="20"/>
                <w:u w:val="none"/>
              </w:rPr>
            </w:pPr>
          </w:p>
        </w:tc>
        <w:tc>
          <w:tcPr>
            <w:tcW w:w="2759" w:type="dxa"/>
            <w:shd w:val="clear" w:color="auto" w:fill="auto"/>
            <w:vAlign w:val="bottom"/>
          </w:tcPr>
          <w:p>
            <w:pPr>
              <w:rPr>
                <w:rFonts w:hint="default" w:ascii="Arial" w:hAnsi="Arial" w:cs="Arial"/>
                <w:i w:val="0"/>
                <w:color w:val="000000"/>
                <w:sz w:val="20"/>
                <w:szCs w:val="20"/>
                <w:u w:val="none"/>
              </w:rPr>
            </w:pPr>
          </w:p>
        </w:tc>
        <w:tc>
          <w:tcPr>
            <w:tcW w:w="153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6045"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10435" w:type="dxa"/>
            <w:gridSpan w:val="6"/>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2694"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2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83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99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2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9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2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75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53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1" w:hRule="atLeast"/>
        </w:trPr>
        <w:tc>
          <w:tcPr>
            <w:tcW w:w="2694"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2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83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99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2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9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2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3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21"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83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22"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9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5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3,301.55</w:t>
            </w: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336.32</w:t>
            </w: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375.14</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275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275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b/>
                <w:i w:val="0"/>
                <w:color w:val="000000"/>
                <w:sz w:val="20"/>
                <w:szCs w:val="20"/>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0"/>
                <w:szCs w:val="20"/>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0"/>
                <w:szCs w:val="20"/>
                <w:u w:val="none"/>
              </w:rPr>
            </w:pP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8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3,301.55</w:t>
            </w:r>
          </w:p>
        </w:tc>
        <w:tc>
          <w:tcPr>
            <w:tcW w:w="275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336.32</w:t>
            </w: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8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99"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59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2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5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69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8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c>
          <w:tcPr>
            <w:tcW w:w="29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59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3,637.87</w:t>
            </w:r>
          </w:p>
        </w:tc>
        <w:tc>
          <w:tcPr>
            <w:tcW w:w="10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3,301.55</w:t>
            </w:r>
          </w:p>
        </w:tc>
        <w:tc>
          <w:tcPr>
            <w:tcW w:w="275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336.32</w:t>
            </w:r>
          </w:p>
        </w:tc>
        <w:tc>
          <w:tcPr>
            <w:tcW w:w="153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14945"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35" w:type="dxa"/>
            <w:shd w:val="clear" w:color="auto" w:fill="auto"/>
            <w:vAlign w:val="center"/>
          </w:tcPr>
          <w:p>
            <w:pPr>
              <w:jc w:val="left"/>
              <w:rPr>
                <w:rFonts w:hint="eastAsia" w:ascii="宋体" w:hAnsi="宋体" w:eastAsia="宋体" w:cs="宋体"/>
                <w:i w:val="0"/>
                <w:color w:val="000000"/>
                <w:sz w:val="20"/>
                <w:szCs w:val="20"/>
                <w:u w:val="none"/>
              </w:rPr>
            </w:pP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tbl>
      <w:tblPr>
        <w:tblStyle w:val="7"/>
        <w:tblW w:w="13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3"/>
        <w:gridCol w:w="972"/>
        <w:gridCol w:w="1040"/>
        <w:gridCol w:w="5052"/>
        <w:gridCol w:w="2902"/>
        <w:gridCol w:w="1295"/>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883" w:type="dxa"/>
            <w:shd w:val="clear" w:color="auto" w:fill="auto"/>
            <w:vAlign w:val="bottom"/>
          </w:tcPr>
          <w:p>
            <w:pPr>
              <w:rPr>
                <w:rFonts w:hint="eastAsia" w:ascii="Arial" w:hAnsi="Arial" w:cs="Arial"/>
                <w:i w:val="0"/>
                <w:color w:val="000000"/>
                <w:sz w:val="20"/>
                <w:szCs w:val="20"/>
                <w:u w:val="none"/>
              </w:rPr>
            </w:pPr>
          </w:p>
        </w:tc>
        <w:tc>
          <w:tcPr>
            <w:tcW w:w="972" w:type="dxa"/>
            <w:shd w:val="clear" w:color="auto" w:fill="auto"/>
            <w:vAlign w:val="bottom"/>
          </w:tcPr>
          <w:p>
            <w:pPr>
              <w:rPr>
                <w:rFonts w:hint="default" w:ascii="Arial" w:hAnsi="Arial" w:cs="Arial"/>
                <w:i w:val="0"/>
                <w:color w:val="000000"/>
                <w:sz w:val="20"/>
                <w:szCs w:val="20"/>
                <w:u w:val="none"/>
              </w:rPr>
            </w:pPr>
          </w:p>
        </w:tc>
        <w:tc>
          <w:tcPr>
            <w:tcW w:w="1040" w:type="dxa"/>
            <w:shd w:val="clear" w:color="auto" w:fill="auto"/>
            <w:vAlign w:val="bottom"/>
          </w:tcPr>
          <w:p>
            <w:pPr>
              <w:rPr>
                <w:rFonts w:hint="default" w:ascii="Arial" w:hAnsi="Arial" w:cs="Arial"/>
                <w:i w:val="0"/>
                <w:color w:val="000000"/>
                <w:sz w:val="20"/>
                <w:szCs w:val="20"/>
                <w:u w:val="none"/>
              </w:rPr>
            </w:pPr>
          </w:p>
        </w:tc>
        <w:tc>
          <w:tcPr>
            <w:tcW w:w="5052" w:type="dxa"/>
            <w:shd w:val="clear" w:color="auto" w:fill="auto"/>
            <w:vAlign w:val="bottom"/>
          </w:tcPr>
          <w:p>
            <w:pPr>
              <w:rPr>
                <w:rFonts w:hint="default" w:ascii="Arial" w:hAnsi="Arial" w:cs="Arial"/>
                <w:i w:val="0"/>
                <w:color w:val="000000"/>
                <w:sz w:val="20"/>
                <w:szCs w:val="20"/>
                <w:u w:val="none"/>
              </w:rPr>
            </w:pPr>
          </w:p>
        </w:tc>
        <w:tc>
          <w:tcPr>
            <w:tcW w:w="2902" w:type="dxa"/>
            <w:shd w:val="clear" w:color="auto" w:fill="auto"/>
            <w:vAlign w:val="bottom"/>
          </w:tcPr>
          <w:p>
            <w:pPr>
              <w:rPr>
                <w:rFonts w:hint="default" w:ascii="Arial" w:hAnsi="Arial" w:cs="Arial"/>
                <w:i w:val="0"/>
                <w:color w:val="000000"/>
                <w:sz w:val="20"/>
                <w:szCs w:val="20"/>
                <w:u w:val="none"/>
              </w:rPr>
            </w:pPr>
          </w:p>
        </w:tc>
        <w:tc>
          <w:tcPr>
            <w:tcW w:w="1295" w:type="dxa"/>
            <w:shd w:val="clear" w:color="auto" w:fill="auto"/>
            <w:vAlign w:val="bottom"/>
          </w:tcPr>
          <w:p>
            <w:pPr>
              <w:rPr>
                <w:rFonts w:hint="default" w:ascii="Arial" w:hAnsi="Arial" w:cs="Arial"/>
                <w:i w:val="0"/>
                <w:color w:val="000000"/>
                <w:sz w:val="20"/>
                <w:szCs w:val="20"/>
                <w:u w:val="none"/>
              </w:rPr>
            </w:pPr>
          </w:p>
        </w:tc>
        <w:tc>
          <w:tcPr>
            <w:tcW w:w="1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83"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972" w:type="dxa"/>
            <w:shd w:val="clear" w:color="auto" w:fill="auto"/>
            <w:vAlign w:val="bottom"/>
          </w:tcPr>
          <w:p>
            <w:pPr>
              <w:rPr>
                <w:rFonts w:hint="default" w:ascii="Arial" w:hAnsi="Arial" w:cs="Arial"/>
                <w:i w:val="0"/>
                <w:color w:val="000000"/>
                <w:sz w:val="20"/>
                <w:szCs w:val="20"/>
                <w:u w:val="none"/>
              </w:rPr>
            </w:pPr>
          </w:p>
        </w:tc>
        <w:tc>
          <w:tcPr>
            <w:tcW w:w="1040" w:type="dxa"/>
            <w:shd w:val="clear" w:color="auto" w:fill="auto"/>
            <w:vAlign w:val="bottom"/>
          </w:tcPr>
          <w:p>
            <w:pPr>
              <w:rPr>
                <w:rFonts w:hint="default" w:ascii="Arial" w:hAnsi="Arial" w:cs="Arial"/>
                <w:i w:val="0"/>
                <w:color w:val="000000"/>
                <w:sz w:val="20"/>
                <w:szCs w:val="20"/>
                <w:u w:val="none"/>
              </w:rPr>
            </w:pPr>
          </w:p>
        </w:tc>
        <w:tc>
          <w:tcPr>
            <w:tcW w:w="5052" w:type="dxa"/>
            <w:shd w:val="clear" w:color="auto" w:fill="auto"/>
            <w:vAlign w:val="bottom"/>
          </w:tcPr>
          <w:p>
            <w:pPr>
              <w:rPr>
                <w:rFonts w:hint="default" w:ascii="Arial" w:hAnsi="Arial" w:cs="Arial"/>
                <w:i w:val="0"/>
                <w:color w:val="000000"/>
                <w:sz w:val="20"/>
                <w:szCs w:val="20"/>
                <w:u w:val="none"/>
              </w:rPr>
            </w:pPr>
          </w:p>
        </w:tc>
        <w:tc>
          <w:tcPr>
            <w:tcW w:w="2902" w:type="dxa"/>
            <w:shd w:val="clear" w:color="auto" w:fill="auto"/>
            <w:vAlign w:val="bottom"/>
          </w:tcPr>
          <w:p>
            <w:pPr>
              <w:rPr>
                <w:rFonts w:hint="default" w:ascii="Arial" w:hAnsi="Arial" w:cs="Arial"/>
                <w:i w:val="0"/>
                <w:color w:val="000000"/>
                <w:sz w:val="20"/>
                <w:szCs w:val="20"/>
                <w:u w:val="none"/>
              </w:rPr>
            </w:pPr>
          </w:p>
        </w:tc>
        <w:tc>
          <w:tcPr>
            <w:tcW w:w="1295" w:type="dxa"/>
            <w:shd w:val="clear" w:color="auto" w:fill="auto"/>
            <w:vAlign w:val="bottom"/>
          </w:tcPr>
          <w:p>
            <w:pPr>
              <w:rPr>
                <w:rFonts w:hint="default" w:ascii="Arial" w:hAnsi="Arial" w:cs="Arial"/>
                <w:i w:val="0"/>
                <w:color w:val="000000"/>
                <w:sz w:val="20"/>
                <w:szCs w:val="20"/>
                <w:u w:val="none"/>
              </w:rPr>
            </w:pPr>
          </w:p>
        </w:tc>
        <w:tc>
          <w:tcPr>
            <w:tcW w:w="1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947"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493"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895"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05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90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9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9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895"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05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90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9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895"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05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90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9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947"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90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947"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3,301.55</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2,268.17</w:t>
            </w: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506.40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2010508</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统计抽样调查</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87.36</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87.36</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20107</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税收事务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2010701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42.73</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教育费附加安排的支出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其他科学技术支出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其他人力资源和社会保障管理事务支出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2080208</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基层政权建设和社区治理</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257.70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257.70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就业补助</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205.76</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城市最低生活保障金支出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卫生健康管理事务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污染防治</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40.82</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688.13</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679.63</w:t>
            </w: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对村级公益事业建设的补助</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21404</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成品油价格改革对交通运输的补贴</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2140402</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对农村道路客运的补贴</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保障性安居工程支出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老旧小区改造</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553.00</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地质灾害防治</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c>
          <w:tcPr>
            <w:tcW w:w="12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9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505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9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9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3440"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tbl>
      <w:tblPr>
        <w:tblStyle w:val="7"/>
        <w:tblW w:w="1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3526"/>
        <w:gridCol w:w="1801"/>
        <w:gridCol w:w="734"/>
        <w:gridCol w:w="2776"/>
        <w:gridCol w:w="1801"/>
        <w:gridCol w:w="734"/>
        <w:gridCol w:w="4516"/>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8417" w:type="dxa"/>
            <w:gridSpan w:val="9"/>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34" w:type="dxa"/>
            <w:shd w:val="clear" w:color="auto" w:fill="auto"/>
            <w:vAlign w:val="bottom"/>
          </w:tcPr>
          <w:p>
            <w:pPr>
              <w:rPr>
                <w:rFonts w:hint="eastAsia" w:ascii="Arial" w:hAnsi="Arial" w:cs="Arial"/>
                <w:i w:val="0"/>
                <w:color w:val="000000"/>
                <w:sz w:val="20"/>
                <w:szCs w:val="20"/>
                <w:u w:val="none"/>
              </w:rPr>
            </w:pPr>
          </w:p>
        </w:tc>
        <w:tc>
          <w:tcPr>
            <w:tcW w:w="3526"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734" w:type="dxa"/>
            <w:shd w:val="clear" w:color="auto" w:fill="auto"/>
            <w:vAlign w:val="bottom"/>
          </w:tcPr>
          <w:p>
            <w:pPr>
              <w:rPr>
                <w:rFonts w:hint="default" w:ascii="Arial" w:hAnsi="Arial" w:cs="Arial"/>
                <w:i w:val="0"/>
                <w:color w:val="000000"/>
                <w:sz w:val="20"/>
                <w:szCs w:val="20"/>
                <w:u w:val="none"/>
              </w:rPr>
            </w:pPr>
          </w:p>
        </w:tc>
        <w:tc>
          <w:tcPr>
            <w:tcW w:w="2776"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734" w:type="dxa"/>
            <w:shd w:val="clear" w:color="auto" w:fill="auto"/>
            <w:vAlign w:val="bottom"/>
          </w:tcPr>
          <w:p>
            <w:pPr>
              <w:rPr>
                <w:rFonts w:hint="default" w:ascii="Arial" w:hAnsi="Arial" w:cs="Arial"/>
                <w:i w:val="0"/>
                <w:color w:val="000000"/>
                <w:sz w:val="20"/>
                <w:szCs w:val="20"/>
                <w:u w:val="none"/>
              </w:rPr>
            </w:pPr>
          </w:p>
        </w:tc>
        <w:tc>
          <w:tcPr>
            <w:tcW w:w="4516" w:type="dxa"/>
            <w:shd w:val="clear" w:color="auto" w:fill="auto"/>
            <w:vAlign w:val="bottom"/>
          </w:tcPr>
          <w:p>
            <w:pPr>
              <w:rPr>
                <w:rFonts w:hint="default" w:ascii="Arial" w:hAnsi="Arial" w:cs="Arial"/>
                <w:i w:val="0"/>
                <w:color w:val="000000"/>
                <w:sz w:val="20"/>
                <w:szCs w:val="20"/>
                <w:u w:val="none"/>
              </w:rPr>
            </w:pPr>
          </w:p>
        </w:tc>
        <w:tc>
          <w:tcPr>
            <w:tcW w:w="179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34"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3526"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734" w:type="dxa"/>
            <w:shd w:val="clear" w:color="auto" w:fill="auto"/>
            <w:vAlign w:val="bottom"/>
          </w:tcPr>
          <w:p>
            <w:pPr>
              <w:rPr>
                <w:rFonts w:hint="default" w:ascii="Arial" w:hAnsi="Arial" w:cs="Arial"/>
                <w:i w:val="0"/>
                <w:color w:val="000000"/>
                <w:sz w:val="20"/>
                <w:szCs w:val="20"/>
                <w:u w:val="none"/>
              </w:rPr>
            </w:pPr>
          </w:p>
        </w:tc>
        <w:tc>
          <w:tcPr>
            <w:tcW w:w="2776"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734" w:type="dxa"/>
            <w:shd w:val="clear" w:color="auto" w:fill="auto"/>
            <w:vAlign w:val="bottom"/>
          </w:tcPr>
          <w:p>
            <w:pPr>
              <w:rPr>
                <w:rFonts w:hint="default" w:ascii="Arial" w:hAnsi="Arial" w:cs="Arial"/>
                <w:i w:val="0"/>
                <w:color w:val="000000"/>
                <w:sz w:val="20"/>
                <w:szCs w:val="20"/>
                <w:u w:val="none"/>
              </w:rPr>
            </w:pPr>
          </w:p>
        </w:tc>
        <w:tc>
          <w:tcPr>
            <w:tcW w:w="4516" w:type="dxa"/>
            <w:shd w:val="clear" w:color="auto" w:fill="auto"/>
            <w:vAlign w:val="bottom"/>
          </w:tcPr>
          <w:p>
            <w:pPr>
              <w:rPr>
                <w:rFonts w:hint="default" w:ascii="Arial" w:hAnsi="Arial" w:cs="Arial"/>
                <w:i w:val="0"/>
                <w:color w:val="000000"/>
                <w:sz w:val="20"/>
                <w:szCs w:val="20"/>
                <w:u w:val="none"/>
              </w:rPr>
            </w:pPr>
          </w:p>
        </w:tc>
        <w:tc>
          <w:tcPr>
            <w:tcW w:w="179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061"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12356" w:type="dxa"/>
            <w:gridSpan w:val="6"/>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4"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52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7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51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9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4"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52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3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7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3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51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1,451.37</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759.90</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440.56</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183.12</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147.83</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102.74</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365.84</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239.44</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251.02</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32.06</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74.82</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56.34</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56.90</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8.30</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36.90</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153.81</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51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w:t>
            </w:r>
          </w:p>
        </w:tc>
        <w:tc>
          <w:tcPr>
            <w:tcW w:w="734"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451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451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3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352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34"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98.55</w:t>
            </w:r>
          </w:p>
        </w:tc>
        <w:tc>
          <w:tcPr>
            <w:tcW w:w="734"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451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7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260" w:type="dxa"/>
            <w:gridSpan w:val="2"/>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1,508.27</w:t>
            </w:r>
          </w:p>
        </w:tc>
        <w:tc>
          <w:tcPr>
            <w:tcW w:w="10561" w:type="dxa"/>
            <w:gridSpan w:val="5"/>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7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417"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bCs/>
          <w:kern w:val="0"/>
          <w:szCs w:val="21"/>
        </w:rPr>
        <w:br w:type="page"/>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7"/>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97"/>
        <w:gridCol w:w="923"/>
        <w:gridCol w:w="908"/>
        <w:gridCol w:w="862"/>
        <w:gridCol w:w="908"/>
        <w:gridCol w:w="1279"/>
        <w:gridCol w:w="908"/>
        <w:gridCol w:w="923"/>
        <w:gridCol w:w="908"/>
        <w:gridCol w:w="862"/>
        <w:gridCol w:w="908"/>
        <w:gridCol w:w="3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4055" w:type="dxa"/>
            <w:gridSpan w:val="12"/>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297" w:type="dxa"/>
            <w:shd w:val="clear" w:color="auto" w:fill="auto"/>
            <w:vAlign w:val="bottom"/>
          </w:tcPr>
          <w:p>
            <w:pPr>
              <w:rPr>
                <w:rFonts w:hint="eastAsia" w:ascii="Arial" w:hAnsi="Arial" w:cs="Arial"/>
                <w:i w:val="0"/>
                <w:color w:val="000000"/>
                <w:sz w:val="20"/>
                <w:szCs w:val="20"/>
                <w:u w:val="none"/>
              </w:rPr>
            </w:pPr>
          </w:p>
        </w:tc>
        <w:tc>
          <w:tcPr>
            <w:tcW w:w="923"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862"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1279"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923"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862"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3369"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297"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923"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862"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1279"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923"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862"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3369"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177"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878" w:type="dxa"/>
            <w:gridSpan w:val="6"/>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297"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678"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27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0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678"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336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297"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6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27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0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6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336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2" w:hRule="atLeast"/>
        </w:trPr>
        <w:tc>
          <w:tcPr>
            <w:tcW w:w="1297"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36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3" w:hRule="atLeast"/>
        </w:trPr>
        <w:tc>
          <w:tcPr>
            <w:tcW w:w="12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w:t>
            </w:r>
          </w:p>
        </w:tc>
        <w:tc>
          <w:tcPr>
            <w:tcW w:w="9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0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8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0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27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90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19.21</w:t>
            </w:r>
          </w:p>
        </w:tc>
        <w:tc>
          <w:tcPr>
            <w:tcW w:w="9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0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8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0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336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4055"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p>
      <w:pPr>
        <w:widowControl/>
        <w:wordWrap w:val="0"/>
        <w:jc w:val="both"/>
        <w:rPr>
          <w:rFonts w:hint="eastAsia" w:ascii="Times New Roman" w:hAnsi="Times New Roman" w:eastAsia="仿宋_GB2312" w:cs="Times New Roman"/>
          <w:color w:val="000000"/>
          <w:kern w:val="0"/>
          <w:szCs w:val="21"/>
          <w:lang w:val="en-US" w:eastAsia="zh-CN"/>
        </w:rPr>
      </w:pPr>
    </w:p>
    <w:tbl>
      <w:tblPr>
        <w:tblStyle w:val="7"/>
        <w:tblW w:w="12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754"/>
        <w:gridCol w:w="808"/>
        <w:gridCol w:w="3931"/>
        <w:gridCol w:w="1681"/>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部门：永州市零陵区朝阳办事处</w:t>
            </w:r>
          </w:p>
        </w:tc>
        <w:tc>
          <w:tcPr>
            <w:tcW w:w="754" w:type="dxa"/>
            <w:shd w:val="clear" w:color="auto" w:fill="auto"/>
            <w:vAlign w:val="bottom"/>
          </w:tcPr>
          <w:p>
            <w:pPr>
              <w:rPr>
                <w:rFonts w:hint="eastAsia"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68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880"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8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336.32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336.32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336.32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334.32</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57.71</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266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Layout w:type="fixed"/>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Layout w:type="fixed"/>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Layout w:type="fixed"/>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eastAsia="zh-CN"/>
              </w:rPr>
              <w:t>朝阳街诞办事处</w:t>
            </w: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Layout w:type="fixed"/>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Layout w:type="fixed"/>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Layout w:type="fixed"/>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万元。与</w:t>
      </w:r>
      <w:r>
        <w:rPr>
          <w:rFonts w:hint="eastAsia" w:asciiTheme="minorEastAsia" w:hAnsiTheme="minorEastAsia" w:eastAsiaTheme="minorEastAsia"/>
          <w:sz w:val="32"/>
          <w:szCs w:val="32"/>
          <w:lang w:eastAsia="zh-CN"/>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val="en-US" w:eastAsia="zh-CN"/>
        </w:rPr>
        <w:t>2359.55万元</w:t>
      </w:r>
      <w:r>
        <w:rPr>
          <w:rFonts w:hint="eastAsia" w:asciiTheme="minorEastAsia" w:hAnsiTheme="minorEastAsia" w:eastAsiaTheme="minorEastAsia"/>
          <w:sz w:val="32"/>
          <w:szCs w:val="32"/>
        </w:rPr>
        <w:t>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1278.32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35.14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辖区内老旧小区改造建设项目增加，财政转移支付增加。</w:t>
      </w:r>
    </w:p>
    <w:p>
      <w:pPr>
        <w:pStyle w:val="10"/>
        <w:rPr>
          <w:rFonts w:hAnsi="黑体"/>
          <w:b/>
          <w:sz w:val="32"/>
          <w:szCs w:val="32"/>
        </w:rPr>
      </w:pPr>
      <w:r>
        <w:rPr>
          <w:rFonts w:hint="eastAsia" w:hAnsi="黑体"/>
          <w:b/>
          <w:sz w:val="32"/>
          <w:szCs w:val="32"/>
        </w:rPr>
        <w:t>二、收入决算情况说明</w:t>
      </w:r>
    </w:p>
    <w:p>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p>
    <w:p>
      <w:pPr>
        <w:pStyle w:val="10"/>
        <w:rPr>
          <w:rFonts w:hAnsi="黑体"/>
          <w:b/>
          <w:sz w:val="32"/>
          <w:szCs w:val="32"/>
        </w:rPr>
      </w:pPr>
      <w:r>
        <w:rPr>
          <w:rFonts w:hint="eastAsia" w:hAnsi="黑体"/>
          <w:b/>
          <w:sz w:val="32"/>
          <w:szCs w:val="32"/>
        </w:rPr>
        <w:t>三、支出决算情况说明</w:t>
      </w:r>
      <w:bookmarkStart w:id="2" w:name="_GoBack"/>
      <w:bookmarkEnd w:id="2"/>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元，其中：基本支</w:t>
      </w:r>
      <w:r>
        <w:rPr>
          <w:rFonts w:hint="eastAsia" w:asciiTheme="minorEastAsia" w:hAnsiTheme="minorEastAsia" w:eastAsiaTheme="minorEastAsia"/>
          <w:sz w:val="32"/>
          <w:szCs w:val="32"/>
          <w:lang w:val="en-US" w:eastAsia="zh-CN"/>
        </w:rPr>
        <w:t>3301.55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90.75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336.32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9.25</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万元，与</w:t>
      </w:r>
      <w:r>
        <w:rPr>
          <w:rFonts w:hint="eastAsia" w:asciiTheme="minorEastAsia" w:hAnsiTheme="minorEastAsia" w:eastAsiaTheme="minorEastAsia"/>
          <w:sz w:val="32"/>
          <w:szCs w:val="32"/>
          <w:lang w:eastAsia="zh-CN"/>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val="en-US" w:eastAsia="zh-CN"/>
        </w:rPr>
        <w:t>2359.55万元</w:t>
      </w:r>
      <w:r>
        <w:rPr>
          <w:rFonts w:hint="eastAsia" w:asciiTheme="minorEastAsia" w:hAnsiTheme="minorEastAsia" w:eastAsiaTheme="minorEastAsia"/>
          <w:sz w:val="32"/>
          <w:szCs w:val="32"/>
        </w:rPr>
        <w:t>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1278.32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35.14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辖区内老旧小区改造建设项目增加，财政转移支付增加。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1278.32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35.14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辖区内老旧小区改造建设项目增加，财政转移支付增加。</w:t>
      </w:r>
    </w:p>
    <w:p>
      <w:pPr>
        <w:pStyle w:val="10"/>
        <w:ind w:firstLine="800" w:firstLineChars="250"/>
        <w:rPr>
          <w:rFonts w:asciiTheme="minorEastAsia" w:hAnsiTheme="minorEastAsia" w:eastAsiaTheme="minorEastAsia"/>
          <w:sz w:val="32"/>
          <w:szCs w:val="32"/>
        </w:rPr>
      </w:pP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aj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506.4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13.92</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科学技术</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0.14</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kern w:val="0"/>
          <w:sz w:val="32"/>
          <w:szCs w:val="32"/>
        </w:rPr>
        <w:t>文化旅游体育与传媒</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136.54</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3.75</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kern w:val="0"/>
          <w:sz w:val="32"/>
          <w:szCs w:val="32"/>
        </w:rPr>
        <w:t>社会保障和就业支出</w:t>
      </w:r>
      <w:r>
        <w:rPr>
          <w:rFonts w:hint="eastAsia" w:asciiTheme="majorEastAsia" w:hAnsiTheme="majorEastAsia" w:eastAsiaTheme="majorEastAsia" w:cstheme="majorEastAsia"/>
          <w:sz w:val="32"/>
          <w:szCs w:val="32"/>
          <w:lang w:val="en-US" w:eastAsia="zh-CN"/>
        </w:rPr>
        <w:t>859.1</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23.62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卫生健康</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3.69</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0.1%</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节能环保</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0.19</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城乡社区</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375.14</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10.31</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农林水</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688.13</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18.91%</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交通运输</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8.74</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0.24</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灾害防治及应急管理</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99.33</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2.737</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rPr>
        <w:t>其他</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4.14</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0.11</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，自然资源海洋气象等</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0.08</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lang w:eastAsia="zh-CN"/>
        </w:rPr>
        <w:t>住房保障</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927.38</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25.49%</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color w:val="000000"/>
          <w:kern w:val="0"/>
          <w:sz w:val="32"/>
          <w:szCs w:val="32"/>
          <w:lang w:eastAsia="zh-CN"/>
        </w:rPr>
        <w:t>粮油物资储备</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5.28</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0.15</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w:t>
      </w:r>
    </w:p>
    <w:p>
      <w:pPr>
        <w:pStyle w:val="10"/>
        <w:ind w:firstLine="640" w:firstLineChars="200"/>
        <w:rPr>
          <w:rFonts w:asciiTheme="minorEastAsia" w:hAnsiTheme="minorEastAsia" w:eastAsiaTheme="minorEastAsia"/>
          <w:sz w:val="32"/>
          <w:szCs w:val="32"/>
        </w:rPr>
      </w:pP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1721.45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3637.87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211.33</w:t>
      </w:r>
      <w:r>
        <w:rPr>
          <w:rFonts w:hint="eastAsia" w:asciiTheme="minorEastAsia" w:hAnsiTheme="minorEastAsia" w:eastAsiaTheme="minorEastAsia"/>
          <w:sz w:val="32"/>
          <w:szCs w:val="32"/>
        </w:rPr>
        <w:t>%，其中：</w:t>
      </w:r>
    </w:p>
    <w:p>
      <w:pPr>
        <w:pStyle w:val="10"/>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一般公共服务支出。</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359.91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506.4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140.7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机构调整。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ajorEastAsia" w:hAnsiTheme="majorEastAsia" w:eastAsiaTheme="majorEastAsia" w:cstheme="majorEastAsia"/>
          <w:color w:val="000000"/>
          <w:kern w:val="0"/>
          <w:sz w:val="32"/>
          <w:szCs w:val="32"/>
        </w:rPr>
        <w:t>文化旅游体育与传媒</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162.08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136.54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84.24</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机构人员调整。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社会保障和就业</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793.43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859.1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108.27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机构人员调整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卫生健康</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57.12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6.46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节能环保</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城乡社区</w:t>
      </w:r>
      <w:r>
        <w:rPr>
          <w:rFonts w:hint="eastAsia" w:asciiTheme="majorEastAsia" w:hAnsiTheme="majorEastAsia" w:eastAsiaTheme="majorEastAsia" w:cstheme="majorEastAsia"/>
          <w:color w:val="000000"/>
          <w:kern w:val="0"/>
          <w:sz w:val="32"/>
          <w:szCs w:val="32"/>
          <w:lang w:eastAsia="zh-CN"/>
        </w:rPr>
        <w:t>事务</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375.14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农林水</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349.7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688.13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196.78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各中心人员调整治合并。</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交通运输</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8.74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sz w:val="32"/>
          <w:szCs w:val="32"/>
          <w:lang w:eastAsia="zh-CN"/>
        </w:rPr>
        <w:t>自然资源海洋气象</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lang w:val="en-US"/>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支出预算数据合并调整治。</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其他</w:t>
      </w:r>
      <w:r>
        <w:rPr>
          <w:rFonts w:hint="eastAsia" w:asciiTheme="majorEastAsia" w:hAnsiTheme="majorEastAsia" w:eastAsiaTheme="majorEastAsia" w:cstheme="majorEastAsia"/>
          <w:sz w:val="32"/>
          <w:szCs w:val="32"/>
        </w:rPr>
        <w:t>支出</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rPr>
        <w:t>灾害防治及应急管理</w:t>
      </w:r>
      <w:r>
        <w:rPr>
          <w:rFonts w:hint="eastAsia" w:asciiTheme="majorEastAsia" w:hAnsiTheme="majorEastAsia" w:eastAsiaTheme="majorEastAsia" w:cstheme="majorEastAsia"/>
          <w:sz w:val="32"/>
          <w:szCs w:val="32"/>
        </w:rPr>
        <w:t>支出</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99.33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lang w:eastAsia="zh-CN"/>
        </w:rPr>
        <w:t>粮油物资储备</w:t>
      </w:r>
      <w:r>
        <w:rPr>
          <w:rFonts w:hint="eastAsia" w:asciiTheme="majorEastAsia" w:hAnsiTheme="majorEastAsia" w:eastAsiaTheme="majorEastAsia" w:cstheme="majorEastAsia"/>
          <w:sz w:val="32"/>
          <w:szCs w:val="32"/>
        </w:rPr>
        <w:t>支出</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5.28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在</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lang w:eastAsia="zh-CN"/>
        </w:rPr>
        <w:t>住房保障</w:t>
      </w:r>
      <w:r>
        <w:rPr>
          <w:rFonts w:hint="eastAsia" w:asciiTheme="majorEastAsia" w:hAnsiTheme="majorEastAsia" w:eastAsiaTheme="majorEastAsia" w:cstheme="majorEastAsia"/>
          <w:sz w:val="32"/>
          <w:szCs w:val="32"/>
        </w:rPr>
        <w:t>支出</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927.38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lang w:eastAsia="zh-CN"/>
        </w:rPr>
        <w:t>科学技术支出</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r>
        <w:rPr>
          <w:rFonts w:hint="eastAsia" w:asciiTheme="majorEastAsia" w:hAnsiTheme="majorEastAsia" w:eastAsiaTheme="majorEastAsia" w:cstheme="majorEastAsia"/>
          <w:color w:val="000000"/>
          <w:kern w:val="0"/>
          <w:sz w:val="32"/>
          <w:szCs w:val="32"/>
          <w:lang w:eastAsia="zh-CN"/>
        </w:rPr>
        <w:t>教育支出</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支出预算数据合并调整。</w:t>
      </w:r>
    </w:p>
    <w:p>
      <w:pPr>
        <w:pStyle w:val="10"/>
        <w:ind w:firstLine="800" w:firstLineChars="250"/>
        <w:rPr>
          <w:rFonts w:hint="eastAsia" w:asciiTheme="minorEastAsia" w:hAnsiTheme="minorEastAsia" w:eastAsiaTheme="minorEastAsia"/>
          <w:sz w:val="32"/>
          <w:szCs w:val="32"/>
          <w:lang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2468.17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1508.27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61.1</w:t>
      </w:r>
      <w:r>
        <w:rPr>
          <w:rFonts w:hint="eastAsia" w:asciiTheme="minorEastAsia" w:hAnsiTheme="minorEastAsia" w:eastAsiaTheme="minorEastAsia"/>
          <w:sz w:val="32"/>
          <w:szCs w:val="32"/>
        </w:rPr>
        <w:t>%,主要包括基本工资、津贴补贴、奖金、伙食补助</w:t>
      </w:r>
      <w:r>
        <w:rPr>
          <w:rFonts w:hint="eastAsia" w:asciiTheme="minorEastAsia" w:hAnsiTheme="minorEastAsia" w:eastAsiaTheme="minorEastAsia"/>
          <w:sz w:val="32"/>
          <w:szCs w:val="32"/>
          <w:lang w:eastAsia="zh-CN"/>
        </w:rPr>
        <w:t>，对个人和家庭的补助等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959.9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38.9</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、差旅费、租赁费、会议费、培训费、公务接待费、劳务费、公务用车运行维护费等</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19.21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96.05</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于年初预算数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8.41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w:t>
      </w:r>
      <w:r>
        <w:rPr>
          <w:rFonts w:hint="eastAsia" w:asciiTheme="majorEastAsia" w:hAnsiTheme="majorEastAsia" w:eastAsiaTheme="majorEastAsia" w:cstheme="majorEastAsia"/>
          <w:sz w:val="32"/>
          <w:szCs w:val="32"/>
        </w:rPr>
        <w:t>数的主要原因是本年度预算安排经费减少，</w:t>
      </w:r>
      <w:r>
        <w:rPr>
          <w:rFonts w:hint="eastAsia" w:asciiTheme="majorEastAsia" w:hAnsiTheme="majorEastAsia" w:eastAsiaTheme="majorEastAsia" w:cstheme="majorEastAsia"/>
          <w:sz w:val="32"/>
          <w:szCs w:val="32"/>
          <w:lang w:eastAsia="zh-CN"/>
        </w:rPr>
        <w:t>主</w:t>
      </w:r>
      <w:r>
        <w:rPr>
          <w:rFonts w:hint="eastAsia" w:asciiTheme="minorEastAsia" w:hAnsiTheme="minorEastAsia" w:eastAsiaTheme="minorEastAsia"/>
          <w:sz w:val="32"/>
          <w:szCs w:val="32"/>
        </w:rPr>
        <w:t>要原因是</w:t>
      </w:r>
      <w:r>
        <w:rPr>
          <w:rFonts w:hint="eastAsia" w:asciiTheme="minorEastAsia" w:hAnsiTheme="minorEastAsia" w:eastAsiaTheme="minorEastAsia"/>
          <w:sz w:val="32"/>
          <w:szCs w:val="32"/>
          <w:lang w:eastAsia="zh-CN"/>
        </w:rPr>
        <w:t>：</w:t>
      </w:r>
      <w:r>
        <w:rPr>
          <w:rFonts w:hint="eastAsia" w:asciiTheme="majorEastAsia" w:hAnsiTheme="majorEastAsia" w:eastAsiaTheme="majorEastAsia" w:cstheme="majorEastAsia"/>
          <w:sz w:val="32"/>
          <w:szCs w:val="32"/>
          <w:lang w:eastAsia="zh-CN"/>
        </w:rPr>
        <w:t>相对于往年</w:t>
      </w:r>
      <w:r>
        <w:rPr>
          <w:rFonts w:hint="eastAsia" w:asciiTheme="minorEastAsia" w:hAnsiTheme="minorEastAsia" w:eastAsiaTheme="minorEastAsia"/>
          <w:sz w:val="32"/>
          <w:szCs w:val="32"/>
          <w:lang w:eastAsia="zh-CN"/>
        </w:rPr>
        <w:t>接待人员批次反而增加</w:t>
      </w:r>
      <w:r>
        <w:rPr>
          <w:rFonts w:hint="eastAsia" w:asciiTheme="minorEastAsia" w:hAnsiTheme="minorEastAsia" w:eastAsiaTheme="minorEastAsia"/>
          <w:sz w:val="32"/>
          <w:szCs w:val="32"/>
        </w:rPr>
        <w:t>。</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86.4</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严格</w:t>
      </w:r>
      <w:r>
        <w:rPr>
          <w:rFonts w:hint="eastAsia" w:asciiTheme="minorEastAsia" w:hAnsiTheme="minorEastAsia" w:eastAsiaTheme="minorEastAsia"/>
          <w:sz w:val="32"/>
          <w:szCs w:val="32"/>
          <w:lang w:val="en-US" w:eastAsia="zh-CN"/>
        </w:rPr>
        <w:t>执行“三公”经费预算的要求</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13.2万元</w:t>
      </w:r>
      <w:r>
        <w:rPr>
          <w:rFonts w:hint="eastAsia" w:asciiTheme="minorEastAsia" w:hAnsiTheme="minorEastAsia" w:eastAsiaTheme="minorEastAsia"/>
          <w:sz w:val="32"/>
          <w:szCs w:val="32"/>
        </w:rPr>
        <w:t>相比减少</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22.2</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党委政府严把公车运行开支</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8.6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44.77</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56.23</w:t>
      </w:r>
      <w:r>
        <w:rPr>
          <w:rFonts w:hint="eastAsia" w:asciiTheme="minorEastAsia" w:hAnsiTheme="minorEastAsia" w:eastAsiaTheme="minorEastAsia"/>
          <w:sz w:val="32"/>
          <w:szCs w:val="32"/>
        </w:rPr>
        <w:t>%。其中：</w:t>
      </w:r>
    </w:p>
    <w:p>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8.6</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105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892</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其他乡镇交流学习</w:t>
      </w:r>
      <w:r>
        <w:rPr>
          <w:rFonts w:hint="eastAsia" w:asciiTheme="minorEastAsia" w:hAnsiTheme="minorEastAsia" w:eastAsiaTheme="minorEastAsia"/>
          <w:sz w:val="32"/>
          <w:szCs w:val="32"/>
        </w:rPr>
        <w:t>来宾发生的接待支出。</w:t>
      </w:r>
    </w:p>
    <w:p>
      <w:pPr>
        <w:pStyle w:val="10"/>
        <w:rPr>
          <w:rFonts w:asciiTheme="minorEastAsia" w:hAnsiTheme="minorEastAsia" w:eastAsiaTheme="minorEastAsia"/>
          <w:sz w:val="32"/>
          <w:szCs w:val="32"/>
        </w:rPr>
      </w:pP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10.8</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10.8</w:t>
      </w:r>
      <w:r>
        <w:rPr>
          <w:rFonts w:hint="eastAsia" w:asciiTheme="minorEastAsia" w:hAnsiTheme="minorEastAsia"/>
          <w:sz w:val="32"/>
          <w:szCs w:val="32"/>
        </w:rPr>
        <w:t>X万元，主要是</w:t>
      </w:r>
      <w:r>
        <w:rPr>
          <w:rFonts w:hint="eastAsia" w:asciiTheme="minorEastAsia" w:hAnsiTheme="minorEastAsia"/>
          <w:sz w:val="32"/>
          <w:szCs w:val="32"/>
          <w:lang w:eastAsia="zh-CN"/>
        </w:rPr>
        <w:t>用于日常公务、差旅、车辆维护</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336.32</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336.32</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336.32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支出预算数据合并调整。</w:t>
      </w:r>
    </w:p>
    <w:p>
      <w:pPr>
        <w:pStyle w:val="10"/>
        <w:numPr>
          <w:ilvl w:val="0"/>
          <w:numId w:val="3"/>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征地拆迁补偿支出：276.61万元</w:t>
      </w:r>
    </w:p>
    <w:p>
      <w:pPr>
        <w:pStyle w:val="10"/>
        <w:numPr>
          <w:ilvl w:val="0"/>
          <w:numId w:val="3"/>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基础设施建设支出：</w:t>
      </w:r>
      <w:r>
        <w:rPr>
          <w:rFonts w:hint="eastAsia" w:asciiTheme="minorEastAsia" w:hAnsiTheme="minorEastAsia" w:eastAsiaTheme="minorEastAsia"/>
          <w:sz w:val="32"/>
          <w:szCs w:val="32"/>
          <w:lang w:val="en-US" w:eastAsia="zh-CN"/>
        </w:rPr>
        <w:t>57.71万元</w:t>
      </w:r>
    </w:p>
    <w:p>
      <w:pPr>
        <w:pStyle w:val="10"/>
        <w:numPr>
          <w:ilvl w:val="0"/>
          <w:numId w:val="3"/>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福利公益金支出：2万元</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759.9</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val="en-US" w:eastAsia="zh-CN"/>
        </w:rPr>
        <w:t>349.55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%。主要原因是</w:t>
      </w:r>
      <w:r>
        <w:rPr>
          <w:rFonts w:hint="eastAsia" w:cs="黑体" w:asciiTheme="minorEastAsia" w:hAnsiTheme="minorEastAsia"/>
          <w:color w:val="000000"/>
          <w:kern w:val="0"/>
          <w:sz w:val="32"/>
          <w:szCs w:val="32"/>
          <w:lang w:eastAsia="zh-CN"/>
        </w:rPr>
        <w:t>老旧小区改造等项目工作经费年终结算支出增加。</w:t>
      </w:r>
    </w:p>
    <w:p>
      <w:pPr>
        <w:pStyle w:val="10"/>
        <w:rPr>
          <w:rFonts w:hAnsi="黑体"/>
          <w:b/>
          <w:sz w:val="32"/>
          <w:szCs w:val="32"/>
        </w:rPr>
      </w:pPr>
      <w:r>
        <w:rPr>
          <w:rFonts w:hint="eastAsia" w:hAnsi="黑体"/>
          <w:b/>
          <w:sz w:val="32"/>
          <w:szCs w:val="32"/>
        </w:rPr>
        <w:t>十、一般性支出情况说明</w:t>
      </w:r>
    </w:p>
    <w:p>
      <w:pPr>
        <w:ind w:firstLine="640" w:firstLineChars="200"/>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年本部门开支会议费</w:t>
      </w:r>
      <w:r>
        <w:rPr>
          <w:rFonts w:hint="eastAsia" w:cs="黑体" w:asciiTheme="minorEastAsia" w:hAnsiTheme="minorEastAsia"/>
          <w:color w:val="000000"/>
          <w:kern w:val="0"/>
          <w:sz w:val="32"/>
          <w:szCs w:val="32"/>
          <w:lang w:val="en-US" w:eastAsia="zh-CN"/>
        </w:rPr>
        <w:t>7.52</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主要</w:t>
      </w:r>
      <w:r>
        <w:rPr>
          <w:rFonts w:hint="eastAsia" w:cs="黑体" w:asciiTheme="minorEastAsia" w:hAnsiTheme="minorEastAsia"/>
          <w:color w:val="000000"/>
          <w:kern w:val="0"/>
          <w:sz w:val="32"/>
          <w:szCs w:val="32"/>
        </w:rPr>
        <w:t>用于召开</w:t>
      </w:r>
      <w:r>
        <w:rPr>
          <w:rFonts w:hint="eastAsia" w:cs="黑体" w:asciiTheme="minorEastAsia" w:hAnsiTheme="minorEastAsia"/>
          <w:color w:val="000000"/>
          <w:kern w:val="0"/>
          <w:sz w:val="32"/>
          <w:szCs w:val="32"/>
          <w:lang w:eastAsia="zh-CN"/>
        </w:rPr>
        <w:t>征地拆迁、传达学习上级精神等</w:t>
      </w:r>
      <w:r>
        <w:rPr>
          <w:rFonts w:hint="eastAsia" w:cs="黑体" w:asciiTheme="minorEastAsia" w:hAnsiTheme="minorEastAsia"/>
          <w:color w:val="000000"/>
          <w:kern w:val="0"/>
          <w:sz w:val="32"/>
          <w:szCs w:val="32"/>
        </w:rPr>
        <w:t>会议，人数</w:t>
      </w:r>
      <w:r>
        <w:rPr>
          <w:rFonts w:hint="eastAsia" w:cs="黑体" w:asciiTheme="minorEastAsia" w:hAnsiTheme="minorEastAsia"/>
          <w:color w:val="000000"/>
          <w:kern w:val="0"/>
          <w:sz w:val="32"/>
          <w:szCs w:val="32"/>
          <w:lang w:val="en-US" w:eastAsia="zh-CN"/>
        </w:rPr>
        <w:t>1108</w:t>
      </w:r>
      <w:r>
        <w:rPr>
          <w:rFonts w:hint="eastAsia"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lang w:eastAsia="zh-CN"/>
        </w:rPr>
        <w:t>拆迁矛盾调解、政策贯彻落实</w:t>
      </w:r>
      <w:r>
        <w:rPr>
          <w:rFonts w:hint="eastAsia" w:cs="黑体" w:asciiTheme="minorEastAsia" w:hAnsiTheme="minorEastAsia"/>
          <w:color w:val="000000"/>
          <w:kern w:val="0"/>
          <w:sz w:val="32"/>
          <w:szCs w:val="32"/>
        </w:rPr>
        <w:t>；开支培训费</w:t>
      </w:r>
      <w:r>
        <w:rPr>
          <w:rFonts w:hint="eastAsia" w:cs="黑体" w:asciiTheme="minorEastAsia" w:hAnsiTheme="minorEastAsia"/>
          <w:color w:val="000000"/>
          <w:kern w:val="0"/>
          <w:sz w:val="32"/>
          <w:szCs w:val="32"/>
          <w:lang w:val="en-US" w:eastAsia="zh-CN"/>
        </w:rPr>
        <w:t>3.48</w:t>
      </w:r>
      <w:r>
        <w:rPr>
          <w:rFonts w:hint="eastAsia" w:cs="黑体" w:asciiTheme="minorEastAsia" w:hAnsiTheme="minorEastAsia"/>
          <w:color w:val="000000"/>
          <w:kern w:val="0"/>
          <w:sz w:val="32"/>
          <w:szCs w:val="32"/>
        </w:rPr>
        <w:t>万元，用于开展</w:t>
      </w:r>
      <w:r>
        <w:rPr>
          <w:rFonts w:hint="eastAsia" w:cs="黑体" w:asciiTheme="minorEastAsia" w:hAnsiTheme="minorEastAsia"/>
          <w:color w:val="000000"/>
          <w:kern w:val="0"/>
          <w:sz w:val="32"/>
          <w:szCs w:val="32"/>
          <w:lang w:eastAsia="zh-CN"/>
        </w:rPr>
        <w:t>能力提升</w:t>
      </w:r>
      <w:r>
        <w:rPr>
          <w:rFonts w:hint="eastAsia" w:cs="黑体" w:asciiTheme="minorEastAsia" w:hAnsiTheme="minorEastAsia"/>
          <w:color w:val="000000"/>
          <w:kern w:val="0"/>
          <w:sz w:val="32"/>
          <w:szCs w:val="32"/>
        </w:rPr>
        <w:t>培训</w:t>
      </w:r>
      <w:r>
        <w:rPr>
          <w:rFonts w:hint="eastAsia" w:cs="黑体" w:asciiTheme="minorEastAsia" w:hAnsiTheme="minorEastAsia"/>
          <w:color w:val="000000"/>
          <w:kern w:val="0"/>
          <w:sz w:val="32"/>
          <w:szCs w:val="32"/>
          <w:lang w:eastAsia="zh-CN"/>
        </w:rPr>
        <w:t>等</w:t>
      </w:r>
      <w:r>
        <w:rPr>
          <w:rFonts w:hint="eastAsia" w:cs="黑体" w:asciiTheme="minorEastAsia" w:hAnsiTheme="minorEastAsia"/>
          <w:color w:val="000000"/>
          <w:kern w:val="0"/>
          <w:sz w:val="32"/>
          <w:szCs w:val="32"/>
        </w:rPr>
        <w:t>，人数</w:t>
      </w:r>
      <w:r>
        <w:rPr>
          <w:rFonts w:hint="eastAsia" w:cs="黑体" w:asciiTheme="minorEastAsia" w:hAnsiTheme="minorEastAsia"/>
          <w:color w:val="000000"/>
          <w:kern w:val="0"/>
          <w:sz w:val="32"/>
          <w:szCs w:val="32"/>
          <w:lang w:val="en-US" w:eastAsia="zh-CN"/>
        </w:rPr>
        <w:t>587</w:t>
      </w:r>
      <w:r>
        <w:rPr>
          <w:rFonts w:hint="eastAsia"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lang w:eastAsia="zh-CN"/>
        </w:rPr>
        <w:t>上岗就业技能培训。</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十一、政府采购支出说明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w:t>
      </w:r>
      <w:r>
        <w:rPr>
          <w:rFonts w:hint="eastAsia" w:cs="黑体" w:asciiTheme="minorEastAsia" w:hAnsiTheme="minorEastAsia"/>
          <w:color w:val="000000"/>
          <w:kern w:val="0"/>
          <w:sz w:val="32"/>
          <w:szCs w:val="32"/>
          <w:lang w:eastAsia="zh-CN"/>
        </w:rPr>
        <w:t>日常公务用车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snapToGrid w:val="0"/>
        <w:spacing w:line="520" w:lineRule="exact"/>
        <w:ind w:firstLine="1280" w:firstLineChars="400"/>
        <w:rPr>
          <w:rFonts w:hint="eastAsia" w:ascii="宋体" w:hAnsi="宋体" w:eastAsia="宋体" w:cs="宋体"/>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8.5</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8.2</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asciiTheme="minorEastAsia" w:hAnsiTheme="minorEastAsia" w:eastAsiaTheme="minorEastAsia"/>
          <w:sz w:val="32"/>
          <w:szCs w:val="32"/>
          <w:lang w:val="en-US" w:eastAsia="zh-CN"/>
        </w:rPr>
        <w:t>征地拆迁补偿</w:t>
      </w:r>
      <w:r>
        <w:rPr>
          <w:rFonts w:hint="eastAsia" w:cs="黑体" w:asciiTheme="minorEastAsia" w:hAnsiTheme="minorEastAsia"/>
          <w:color w:val="000000"/>
          <w:kern w:val="0"/>
          <w:sz w:val="32"/>
          <w:szCs w:val="32"/>
        </w:rPr>
        <w:t>、</w:t>
      </w:r>
      <w:r>
        <w:rPr>
          <w:rFonts w:hint="eastAsia" w:asciiTheme="minorEastAsia" w:hAnsiTheme="minorEastAsia" w:eastAsiaTheme="minorEastAsia"/>
          <w:sz w:val="32"/>
          <w:szCs w:val="32"/>
          <w:lang w:eastAsia="zh-CN"/>
        </w:rPr>
        <w:t>基础设施建设</w:t>
      </w:r>
      <w:r>
        <w:rPr>
          <w:rFonts w:hint="eastAsia" w:asciiTheme="minorEastAsia" w:hAnsiTheme="minorEastAsia"/>
          <w:sz w:val="32"/>
          <w:szCs w:val="32"/>
          <w:lang w:val="en-US" w:eastAsia="zh-CN"/>
        </w:rPr>
        <w:t>,</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334.32</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99.4</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rPr>
        <w:t>从评价情况来看</w:t>
      </w:r>
      <w:r>
        <w:rPr>
          <w:rFonts w:hint="eastAsia" w:ascii="宋体" w:hAnsi="宋体" w:eastAsia="宋体" w:cs="宋体"/>
          <w:b w:val="0"/>
          <w:bCs w:val="0"/>
          <w:color w:val="333333"/>
          <w:kern w:val="0"/>
          <w:sz w:val="32"/>
          <w:szCs w:val="32"/>
          <w:lang w:val="en-US" w:eastAsia="zh-CN" w:bidi="ar-SA"/>
        </w:rPr>
        <w:t>突出了预算绩效管理，提高资金使用效益</w:t>
      </w:r>
      <w:r>
        <w:rPr>
          <w:rFonts w:hint="eastAsia" w:ascii="宋体" w:hAnsi="宋体" w:eastAsia="宋体" w:cs="宋体"/>
          <w:color w:val="000000"/>
          <w:kern w:val="0"/>
          <w:sz w:val="32"/>
          <w:szCs w:val="32"/>
        </w:rPr>
        <w:t>。</w:t>
      </w:r>
    </w:p>
    <w:p>
      <w:pPr>
        <w:numPr>
          <w:ilvl w:val="0"/>
          <w:numId w:val="4"/>
        </w:numPr>
        <w:autoSpaceDE w:val="0"/>
        <w:autoSpaceDN w:val="0"/>
        <w:adjustRightInd w:val="0"/>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部门决算中项目绩效自评结果（如有）。</w:t>
      </w:r>
    </w:p>
    <w:p>
      <w:pPr>
        <w:numPr>
          <w:ilvl w:val="0"/>
          <w:numId w:val="0"/>
        </w:numPr>
        <w:autoSpaceDE w:val="0"/>
        <w:autoSpaceDN w:val="0"/>
        <w:adjustRightInd w:val="0"/>
        <w:ind w:firstLine="1280" w:firstLineChars="4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lang w:eastAsia="zh-CN"/>
        </w:rPr>
        <w:t>无</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snapToGrid w:val="0"/>
        <w:spacing w:line="520" w:lineRule="exact"/>
        <w:ind w:firstLine="1280" w:firstLineChars="400"/>
        <w:rPr>
          <w:rFonts w:hint="eastAsia" w:asciiTheme="minorEastAsia" w:hAnsiTheme="minorEastAsia" w:eastAsiaTheme="minorEastAsia" w:cstheme="minorEastAsia"/>
          <w:color w:val="333333"/>
          <w:kern w:val="0"/>
          <w:sz w:val="32"/>
          <w:szCs w:val="32"/>
          <w:lang w:val="en-US" w:eastAsia="zh-CN" w:bidi="ar-SA"/>
        </w:rPr>
      </w:pPr>
      <w:r>
        <w:rPr>
          <w:rFonts w:hint="eastAsia" w:asciiTheme="minorEastAsia" w:hAnsiTheme="minorEastAsia" w:eastAsiaTheme="minorEastAsia" w:cstheme="minorEastAsia"/>
          <w:color w:val="333333"/>
          <w:kern w:val="0"/>
          <w:sz w:val="32"/>
          <w:szCs w:val="32"/>
          <w:lang w:val="en-US" w:eastAsia="zh-CN" w:bidi="ar-SA"/>
        </w:rPr>
        <w:t>我办事处根据职能和职责积极谋划，确定目标任务，积极发挥政府职能作用，推动落实稳增长、促改革、调结构、防风险各项工作。认真贯彻落实绩效管理方面的规定及关于推进绩效管理改革各项要求，对2021年</w:t>
      </w:r>
      <w:r>
        <w:rPr>
          <w:rFonts w:hint="eastAsia" w:asciiTheme="minorEastAsia" w:hAnsiTheme="minorEastAsia" w:cstheme="minorEastAsia"/>
          <w:color w:val="333333"/>
          <w:kern w:val="0"/>
          <w:sz w:val="32"/>
          <w:szCs w:val="32"/>
          <w:lang w:val="en-US" w:eastAsia="zh-CN" w:bidi="ar-SA"/>
        </w:rPr>
        <w:t>项目</w:t>
      </w:r>
      <w:r>
        <w:rPr>
          <w:rFonts w:hint="eastAsia" w:asciiTheme="minorEastAsia" w:hAnsiTheme="minorEastAsia" w:eastAsiaTheme="minorEastAsia" w:cstheme="minorEastAsia"/>
          <w:color w:val="333333"/>
          <w:kern w:val="0"/>
          <w:sz w:val="32"/>
          <w:szCs w:val="32"/>
          <w:lang w:val="en-US" w:eastAsia="zh-CN" w:bidi="ar-SA"/>
        </w:rPr>
        <w:t>支出围绕“预算编制有目标、预算执行有监控、预算完成有评价、评价结果有反馈、反馈结果有应用”开展工作，并按要求开展绩效自评，梳理填报在预算执行过程中本部门突出预算绩效管理，提高资金使用效益。</w:t>
      </w:r>
    </w:p>
    <w:p>
      <w:pPr>
        <w:snapToGrid w:val="0"/>
        <w:spacing w:line="520" w:lineRule="exact"/>
        <w:ind w:firstLine="640" w:firstLineChars="200"/>
        <w:rPr>
          <w:rFonts w:hint="eastAsia" w:asciiTheme="minorEastAsia" w:hAnsiTheme="minorEastAsia" w:eastAsiaTheme="minorEastAsia" w:cstheme="minorEastAsia"/>
          <w:color w:val="333333"/>
          <w:kern w:val="0"/>
          <w:sz w:val="32"/>
          <w:szCs w:val="32"/>
          <w:lang w:val="en-US" w:eastAsia="zh-CN" w:bidi="ar-SA"/>
        </w:rPr>
      </w:pPr>
      <w:r>
        <w:rPr>
          <w:rFonts w:hint="eastAsia" w:asciiTheme="minorEastAsia" w:hAnsiTheme="minorEastAsia" w:eastAsiaTheme="minorEastAsia" w:cstheme="minorEastAsia"/>
          <w:color w:val="333333"/>
          <w:kern w:val="0"/>
          <w:sz w:val="32"/>
          <w:szCs w:val="32"/>
          <w:lang w:val="en-US" w:eastAsia="zh-CN" w:bidi="ar-SA"/>
        </w:rPr>
        <w:t>认真履行了部门职能职责。按照预算绩效管理要求,本部门对2021年1-12月项目支出开展绩效自评,自查自评结果良好项目支出保障了重点工作的开展,达到预期绩效目标自评得分93分。</w:t>
      </w:r>
    </w:p>
    <w:p>
      <w:pPr>
        <w:pStyle w:val="10"/>
        <w:jc w:val="both"/>
        <w:rPr>
          <w:rFonts w:hint="eastAsia" w:asciiTheme="minorEastAsia" w:hAnsiTheme="minorEastAsia" w:eastAsiaTheme="minorEastAsia" w:cstheme="minorEastAsia"/>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rFonts w:hint="eastAsia"/>
          <w:sz w:val="72"/>
          <w:szCs w:val="72"/>
        </w:rPr>
      </w:pPr>
    </w:p>
    <w:p>
      <w:pPr>
        <w:pStyle w:val="10"/>
        <w:ind w:firstLine="3600" w:firstLineChars="5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5"/>
        <w:shd w:val="clear" w:color="auto" w:fill="FFFFFF"/>
        <w:spacing w:before="0" w:beforeAutospacing="0" w:after="0" w:afterAutospacing="0" w:line="300" w:lineRule="atLeast"/>
        <w:ind w:firstLine="832" w:firstLineChars="260"/>
        <w:rPr>
          <w:rFonts w:cs="黑体"/>
          <w:color w:val="000000"/>
          <w:sz w:val="32"/>
          <w:szCs w:val="32"/>
        </w:rPr>
      </w:pPr>
      <w:r>
        <w:rPr>
          <w:rFonts w:hint="eastAsia" w:cs="黑体"/>
          <w:color w:val="000000"/>
          <w:sz w:val="32"/>
          <w:szCs w:val="32"/>
        </w:rPr>
        <w:t>一、财政拨款收入:指单位从同级财政部门取得的财政预算资金。</w:t>
      </w:r>
    </w:p>
    <w:p>
      <w:pPr>
        <w:pStyle w:val="5"/>
        <w:shd w:val="clear" w:color="auto" w:fill="FFFFFF"/>
        <w:spacing w:before="0" w:beforeAutospacing="0" w:after="0" w:afterAutospacing="0" w:line="300" w:lineRule="atLeast"/>
        <w:ind w:firstLine="200"/>
        <w:rPr>
          <w:rFonts w:cs="黑体"/>
          <w:color w:val="000000"/>
          <w:sz w:val="32"/>
          <w:szCs w:val="32"/>
        </w:rPr>
      </w:pPr>
      <w:r>
        <w:rPr>
          <w:rFonts w:hint="eastAsia" w:cs="黑体"/>
          <w:color w:val="000000"/>
          <w:sz w:val="32"/>
          <w:szCs w:val="32"/>
        </w:rPr>
        <w:t>　</w:t>
      </w:r>
      <w:r>
        <w:rPr>
          <w:rFonts w:hint="eastAsia" w:cs="黑体"/>
          <w:color w:val="000000"/>
          <w:sz w:val="32"/>
          <w:szCs w:val="32"/>
          <w:lang w:val="en-US" w:eastAsia="zh-CN"/>
        </w:rPr>
        <w:t xml:space="preserve">  二</w:t>
      </w:r>
      <w:r>
        <w:rPr>
          <w:rFonts w:hint="eastAsia" w:cs="黑体"/>
          <w:color w:val="000000"/>
          <w:sz w:val="32"/>
          <w:szCs w:val="32"/>
          <w:lang w:eastAsia="zh-CN"/>
        </w:rPr>
        <w:t>、</w:t>
      </w:r>
      <w:r>
        <w:rPr>
          <w:rFonts w:hint="eastAsia" w:cs="黑体"/>
          <w:color w:val="000000"/>
          <w:sz w:val="32"/>
          <w:szCs w:val="32"/>
        </w:rPr>
        <w:t>基本支出:指为保障机构正常运转、完成日常工作任务而发生的人员支出和公用支出。</w:t>
      </w:r>
    </w:p>
    <w:p>
      <w:pPr>
        <w:pStyle w:val="5"/>
        <w:shd w:val="clear" w:color="auto" w:fill="FFFFFF"/>
        <w:spacing w:before="0" w:beforeAutospacing="0" w:after="0" w:afterAutospacing="0" w:line="300" w:lineRule="atLeast"/>
        <w:ind w:firstLine="200"/>
        <w:rPr>
          <w:rFonts w:hint="eastAsia" w:cs="黑体"/>
          <w:color w:val="000000"/>
          <w:sz w:val="32"/>
          <w:szCs w:val="32"/>
        </w:rPr>
      </w:pPr>
      <w:r>
        <w:rPr>
          <w:rFonts w:hint="eastAsia" w:cs="黑体"/>
          <w:color w:val="000000"/>
          <w:sz w:val="32"/>
          <w:szCs w:val="32"/>
        </w:rPr>
        <w:t>　　</w:t>
      </w:r>
      <w:r>
        <w:rPr>
          <w:rFonts w:hint="eastAsia" w:cs="黑体"/>
          <w:color w:val="000000"/>
          <w:sz w:val="32"/>
          <w:szCs w:val="32"/>
          <w:lang w:eastAsia="zh-CN"/>
        </w:rPr>
        <w:t>三</w:t>
      </w:r>
      <w:r>
        <w:rPr>
          <w:rFonts w:hint="eastAsia" w:cs="黑体"/>
          <w:color w:val="000000"/>
          <w:sz w:val="32"/>
          <w:szCs w:val="32"/>
        </w:rPr>
        <w:t>、项目支出:指在基本支出之外为完成特定行政任务和事业发展目标所发生的支出。</w:t>
      </w:r>
    </w:p>
    <w:p>
      <w:pPr>
        <w:pStyle w:val="5"/>
        <w:shd w:val="clear" w:color="auto" w:fill="FFFFFF"/>
        <w:spacing w:before="0" w:beforeAutospacing="0" w:after="0" w:afterAutospacing="0" w:line="300" w:lineRule="atLeast"/>
        <w:ind w:firstLine="200"/>
        <w:rPr>
          <w:rFonts w:cs="黑体"/>
          <w:color w:val="000000"/>
          <w:sz w:val="32"/>
          <w:szCs w:val="32"/>
        </w:rPr>
      </w:pPr>
      <w:r>
        <w:rPr>
          <w:rFonts w:hint="eastAsia" w:cs="黑体"/>
          <w:color w:val="000000"/>
          <w:sz w:val="32"/>
          <w:szCs w:val="32"/>
          <w:lang w:val="en-US" w:eastAsia="zh-CN"/>
        </w:rPr>
        <w:t xml:space="preserve">    </w:t>
      </w:r>
      <w:r>
        <w:rPr>
          <w:rFonts w:hint="eastAsia" w:cs="黑体"/>
          <w:color w:val="000000"/>
          <w:sz w:val="32"/>
          <w:szCs w:val="32"/>
          <w:lang w:eastAsia="zh-CN"/>
        </w:rPr>
        <w:t>四、</w:t>
      </w:r>
      <w:r>
        <w:rPr>
          <w:rFonts w:hint="eastAsia" w:cs="黑体"/>
          <w:color w:val="000000"/>
          <w:sz w:val="32"/>
          <w:szCs w:val="32"/>
        </w:rPr>
        <w:t>机关运行经费:</w:t>
      </w:r>
      <w:r>
        <w:rPr>
          <w:rFonts w:hint="eastAsia" w:cs="黑体"/>
          <w:color w:val="000000"/>
          <w:sz w:val="32"/>
          <w:szCs w:val="32"/>
          <w:lang w:eastAsia="zh-CN"/>
        </w:rPr>
        <w:t>指为保障行政单位</w:t>
      </w:r>
      <w:r>
        <w:rPr>
          <w:rFonts w:hint="eastAsia" w:cs="黑体"/>
          <w:color w:val="000000"/>
          <w:sz w:val="32"/>
          <w:szCs w:val="32"/>
          <w:lang w:val="en-US" w:eastAsia="zh-CN"/>
        </w:rPr>
        <w:t>(含参照公务员法管理的事业单位)</w:t>
      </w:r>
      <w:r>
        <w:rPr>
          <w:rFonts w:hint="eastAsia" w:cs="黑体"/>
          <w:color w:val="000000"/>
          <w:sz w:val="32"/>
          <w:szCs w:val="32"/>
          <w:lang w:eastAsia="zh-CN"/>
        </w:rPr>
        <w:t>运行用于购买货物和服务的各项资金</w:t>
      </w:r>
      <w:r>
        <w:rPr>
          <w:rFonts w:hint="eastAsia" w:cs="黑体"/>
          <w:color w:val="000000"/>
          <w:sz w:val="32"/>
          <w:szCs w:val="32"/>
        </w:rPr>
        <w:t>,包括办公及印刷费、邮电费、差旅费、会议费、福利费、日常维修费、专用资料及一般设备购置费、办公用房水电费、办公用房取暖费、办公用房物业管理费、公务用车运行维护费以及其他费用。</w:t>
      </w:r>
    </w:p>
    <w:p>
      <w:pPr>
        <w:pStyle w:val="5"/>
        <w:shd w:val="clear" w:color="auto" w:fill="FFFFFF"/>
        <w:spacing w:before="0" w:beforeAutospacing="0" w:after="0" w:afterAutospacing="0" w:line="300" w:lineRule="atLeast"/>
        <w:ind w:firstLine="200"/>
        <w:rPr>
          <w:rFonts w:cs="黑体"/>
          <w:color w:val="000000"/>
          <w:sz w:val="32"/>
          <w:szCs w:val="32"/>
        </w:rPr>
      </w:pPr>
      <w:r>
        <w:rPr>
          <w:rFonts w:hint="eastAsia" w:cs="黑体"/>
          <w:color w:val="000000"/>
          <w:sz w:val="32"/>
          <w:szCs w:val="32"/>
        </w:rPr>
        <w:t>　　</w:t>
      </w:r>
      <w:r>
        <w:rPr>
          <w:rFonts w:hint="eastAsia" w:cs="黑体"/>
          <w:color w:val="000000"/>
          <w:sz w:val="32"/>
          <w:szCs w:val="32"/>
          <w:lang w:val="en-US" w:eastAsia="zh-CN"/>
        </w:rPr>
        <w:t>五</w:t>
      </w:r>
      <w:r>
        <w:rPr>
          <w:rFonts w:hint="eastAsia" w:cs="黑体"/>
          <w:color w:val="000000"/>
          <w:sz w:val="32"/>
          <w:szCs w:val="32"/>
        </w:rPr>
        <w:t>、“三公”经费:</w:t>
      </w:r>
      <w:r>
        <w:rPr>
          <w:rFonts w:hint="eastAsia" w:cs="黑体"/>
          <w:color w:val="000000"/>
          <w:sz w:val="32"/>
          <w:szCs w:val="32"/>
          <w:lang w:eastAsia="zh-CN"/>
        </w:rPr>
        <w:t>指通过财政拨款资金安排</w:t>
      </w:r>
      <w:r>
        <w:rPr>
          <w:rFonts w:hint="eastAsia" w:cs="黑体"/>
          <w:color w:val="000000"/>
          <w:sz w:val="32"/>
          <w:szCs w:val="32"/>
        </w:rPr>
        <w:t>的公务接待费、公务用车购置及运行维护费和因公出国(境)费。其中,公务接待费反映单位按规定开支的各类公务接待</w:t>
      </w:r>
      <w:r>
        <w:rPr>
          <w:rFonts w:hint="eastAsia" w:cs="黑体"/>
          <w:color w:val="000000"/>
          <w:sz w:val="32"/>
          <w:szCs w:val="32"/>
          <w:lang w:eastAsia="zh-CN"/>
        </w:rPr>
        <w:t>（含外宾接待）</w:t>
      </w:r>
      <w:r>
        <w:rPr>
          <w:rFonts w:hint="eastAsia" w:cs="黑体"/>
          <w:color w:val="000000"/>
          <w:sz w:val="32"/>
          <w:szCs w:val="32"/>
        </w:rPr>
        <w:t>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eastAsia="黑体" w:cs="黑体" w:asciiTheme="minorEastAsia" w:hAnsiTheme="minorEastAsia"/>
          <w:color w:val="000000"/>
          <w:kern w:val="0"/>
          <w:sz w:val="28"/>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hint="eastAsia" w:asciiTheme="minorEastAsia" w:hAnsiTheme="minorEastAsia"/>
          <w:color w:val="FF0000"/>
          <w:sz w:val="32"/>
          <w:szCs w:val="32"/>
          <w:lang w:eastAsia="zh-CN"/>
        </w:rPr>
      </w:pPr>
      <w:r>
        <w:rPr>
          <w:rFonts w:hint="eastAsia" w:ascii="宋体" w:hAnsi="宋体" w:eastAsia="宋体" w:cs="宋体"/>
          <w:i w:val="0"/>
          <w:caps w:val="0"/>
          <w:color w:val="333333"/>
          <w:spacing w:val="0"/>
          <w:sz w:val="32"/>
          <w:szCs w:val="32"/>
          <w:shd w:val="clear" w:color="auto" w:fill="FFFFFF"/>
          <w:lang w:eastAsia="zh-CN"/>
        </w:rPr>
        <w:t>20</w:t>
      </w:r>
      <w:r>
        <w:rPr>
          <w:rFonts w:hint="eastAsia" w:ascii="宋体" w:hAnsi="宋体" w:eastAsia="宋体" w:cs="宋体"/>
          <w:i w:val="0"/>
          <w:caps w:val="0"/>
          <w:color w:val="333333"/>
          <w:spacing w:val="0"/>
          <w:sz w:val="32"/>
          <w:szCs w:val="32"/>
          <w:shd w:val="clear" w:color="auto" w:fill="FFFFFF"/>
          <w:lang w:val="en-US" w:eastAsia="zh-CN"/>
        </w:rPr>
        <w:t>21</w:t>
      </w:r>
      <w:r>
        <w:rPr>
          <w:rFonts w:hint="eastAsia" w:ascii="宋体" w:hAnsi="宋体" w:eastAsia="宋体" w:cs="宋体"/>
          <w:i w:val="0"/>
          <w:caps w:val="0"/>
          <w:color w:val="333333"/>
          <w:spacing w:val="0"/>
          <w:sz w:val="32"/>
          <w:szCs w:val="32"/>
          <w:shd w:val="clear" w:color="auto" w:fill="FFFFFF"/>
          <w:lang w:eastAsia="zh-CN"/>
        </w:rPr>
        <w:t>年，我办严格贯彻落实省委、省政府关于党政机关厉行节约的有关要求，坚持精打细算、勤俭节约，优化支出结构，压减一般性支出，保障重点支出，严格审核把关，加强“三公”经费管理，优化资产配置，切实规范有关资产管理，严格政府采购，强化国有资产信息化管理和动态监控，完善内控制度，切实严肃财经纪律，圆满完成了全年各项工作任务，得到了社会各界的普遍好评。</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5EBE3"/>
    <w:multiLevelType w:val="singleLevel"/>
    <w:tmpl w:val="8B65EBE3"/>
    <w:lvl w:ilvl="0" w:tentative="0">
      <w:start w:val="1"/>
      <w:numFmt w:val="decimal"/>
      <w:suff w:val="nothing"/>
      <w:lvlText w:val="%1、"/>
      <w:lvlJc w:val="left"/>
    </w:lvl>
  </w:abstractNum>
  <w:abstractNum w:abstractNumId="1">
    <w:nsid w:val="BBA48A3E"/>
    <w:multiLevelType w:val="singleLevel"/>
    <w:tmpl w:val="BBA48A3E"/>
    <w:lvl w:ilvl="0" w:tentative="0">
      <w:start w:val="2"/>
      <w:numFmt w:val="decimal"/>
      <w:suff w:val="nothing"/>
      <w:lvlText w:val="（%1）"/>
      <w:lvlJc w:val="left"/>
    </w:lvl>
  </w:abstractNum>
  <w:abstractNum w:abstractNumId="2">
    <w:nsid w:val="2E7E84F2"/>
    <w:multiLevelType w:val="singleLevel"/>
    <w:tmpl w:val="2E7E84F2"/>
    <w:lvl w:ilvl="0" w:tentative="0">
      <w:start w:val="1"/>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BE3EBC"/>
    <w:rsid w:val="0C7B20E8"/>
    <w:rsid w:val="10686B52"/>
    <w:rsid w:val="10A54F50"/>
    <w:rsid w:val="13F618E0"/>
    <w:rsid w:val="1566157F"/>
    <w:rsid w:val="1AB97D74"/>
    <w:rsid w:val="24694C31"/>
    <w:rsid w:val="27E955B7"/>
    <w:rsid w:val="2A085DA9"/>
    <w:rsid w:val="307A630A"/>
    <w:rsid w:val="313D565D"/>
    <w:rsid w:val="3D907AA9"/>
    <w:rsid w:val="3E6C57F7"/>
    <w:rsid w:val="4E755CA6"/>
    <w:rsid w:val="579160E2"/>
    <w:rsid w:val="5B0C6904"/>
    <w:rsid w:val="643175F5"/>
    <w:rsid w:val="67B74F77"/>
    <w:rsid w:val="6EA052BA"/>
    <w:rsid w:val="7BBD4002"/>
    <w:rsid w:val="7D856F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1452</Words>
  <Characters>8281</Characters>
  <Lines>69</Lines>
  <Paragraphs>19</Paragraphs>
  <TotalTime>1</TotalTime>
  <ScaleCrop>false</ScaleCrop>
  <LinksUpToDate>false</LinksUpToDate>
  <CharactersWithSpaces>9714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2022-08-04T07:10:57Z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