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color w:val="auto"/>
          <w:spacing w:val="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pacing w:val="0"/>
          <w:kern w:val="0"/>
          <w:sz w:val="44"/>
          <w:szCs w:val="44"/>
        </w:rPr>
        <w:t>蓝山县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pacing w:val="0"/>
          <w:kern w:val="0"/>
          <w:sz w:val="44"/>
          <w:szCs w:val="44"/>
          <w:lang w:val="en-US" w:eastAsia="zh-CN"/>
        </w:rPr>
        <w:t>浩友非法吸收公众存款案集资参与人委员会</w:t>
      </w:r>
      <w:r>
        <w:rPr>
          <w:rFonts w:hint="eastAsia" w:ascii="方正小标宋简体" w:hAnsi="方正小标宋简体" w:eastAsia="方正小标宋简体" w:cs="方正小标宋简体"/>
          <w:b/>
          <w:bCs/>
          <w:color w:val="auto"/>
          <w:spacing w:val="0"/>
          <w:kern w:val="0"/>
          <w:sz w:val="44"/>
          <w:szCs w:val="44"/>
        </w:rPr>
        <w:t>组织与工作规程</w:t>
      </w:r>
      <w:bookmarkStart w:id="0" w:name="_GoBack"/>
      <w:bookmarkEnd w:id="0"/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本规程所称蓝山县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浩友非法吸收公众存款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案，是指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湖南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浩友房地产开发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有限公司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及其相关公司、人员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所涉非法吸收公众存款案。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一、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工作任务与工作原则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第一条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蓝山县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浩友非法吸收公众存款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案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，系“蓝山县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浩友非法吸收公众存款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案”的案涉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（即投资人、受害人）的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自参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自决自治组织。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委员会代表全体案涉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，在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和律师团队的指导监督下，依法依规参与案涉资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的管理与处置工作、案涉资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的清退工作，以增进案涉资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管理与处置工作的公开透明度，切实维护全体案涉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的合法权益。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蓝山县浩友非法吸收公众存款案集资参与人委员会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的具体工作职责如下：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1.接受与核实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蓝山县浩友非法吸收公众存款案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申报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2.与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建立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和保持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联系，做好解释说明工作，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随时听取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对相关工作的意见与建议，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依法向司法机关提出案涉集资资金处置意见，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并做好案涉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的信访维稳工作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3.依法依规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参与案涉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核实、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管理与处置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工作；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4.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定期向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公示工作进展情况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5.依法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拟定案涉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清退方案，报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审核通过后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实施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第三条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开展工作，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需依照法律法规规章，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需遵守公开透明、公平公正、合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理合法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的原则。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二、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组织架构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第四条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由依法产生的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13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名成员组成。在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履行职责过程中，出现其成员提出辞任、不能妥为履行职责等情形的，经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审核后，对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的法定人数予以核减。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以举行会议作出决议的方式，行使职权。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原则上每季度举行一次全体会议。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常务委员会不能正常开展工作时，监督委员会有权代为召集和主持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，直至集资参与人委员会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常务委员会正常开展工作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时止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具有下列情形时，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得举行临时会议，以处理相应工作：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蓝山县政府主管机构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或监督委员会提出要求的；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584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lang w:val="en-US"/>
        </w:rPr>
        <w:t>2.不少于三分之一的</w:t>
      </w: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lang w:val="en-US"/>
        </w:rPr>
        <w:t>委员联名提出要求的；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3.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常务委员会认为有必要的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第五条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设立常务委员会，由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名人员组成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，均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集资参与人委员会选举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产生，对其负责。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常务委员会负责主持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的日常工作，召集并主持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常务委员会设主任1名，副主任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名。由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产生，对其负责。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常务委员会主任，负责召集和主持常务委员会会议。主任不能履职，或者作出授权时，副主任代为履行职责。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常务委员会每旬需举行会议，总结上旬工作情况，并确定下旬及其后的相应工作计划与安排。常务委员会主任有权根据工作需要，随时召集常务委员会会议。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第六条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常务委员会的工作职责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如下：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和律师团队的指导监督下开展工作。在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闭会期间履行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职责，负责处理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的日常管理事务；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2.召集和主持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会议，并依法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执行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作出的决定；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3.可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根据工作需要，委任或者聘请一定数量工作人员，处理行政等事务性工作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；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4.定期向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进行工作汇报；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5.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拟订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各项案涉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核实、保值增值工作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的初步方案，经决定和批准后组织实施。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第七条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设立秘书处，在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及其常务委员会的领导下开展工作。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秘书处负责协助处理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及其常务委员会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的行政管理类事务，并提供行政支持。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秘书处设秘书长1名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>第八条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秘书长由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常务委员会在委员或常务委员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中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指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或选举产生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第九条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设立监督委员会。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监督委员会由下列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名人员组成：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自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推选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1名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委员；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2.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自其组成人员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（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非常务委员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中推选产生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名委员。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第十条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监督委员会设主任1人，副主任1人。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监督委员会主任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依据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本规程第九条第二款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第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1项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规定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产生的委员担任。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监督委员会副主任，由依据本规程第九条第二款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第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2项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规定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产生的委员互相推选产生。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第十一条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监督委员会主任主持监督委员会全面工作，负责召集和主持监督委员会会议。主任不能履职，或者作出授权时，副主任得代为主持工作。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监督委员会每月需举行会议，以总结上月工作情况，并确定下一月及其后的相应工作计划与安排。监督委员会主任有权根据工作需要，随时召集监督委员会会议。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>第十二条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监督委员会负责对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委员、常务委员会及其成员、秘书处各项工作的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真实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合法合规性，以及案涉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的管理、处置与清退工作等进行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依法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监督。监督委员会全体或者派员列席常务委员会会议，并行使监督权或发表意见的权利，但没有表决权。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rightChars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监督委员会发现、查实集资参与人委员会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委员、常务委员会及其成员、秘书处各项工作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存在虚假行为、违法行为，直接出具文书予以制止，或者罢免集资参与人委员会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委员、常务委员会及其成员、秘书处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及成员。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第十三条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在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常务委员会不能正常履职时，监督委员会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代行集资参与人委员会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履职，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召集和主持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会议，以罢免常务委员会，并重新选举产生新的常务委员会。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三、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会议规则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第十四条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</w:t>
      </w: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lang w:val="en-US"/>
        </w:rPr>
        <w:t>务委员会召集并主持，由秘书处向全体应参会人员发出会议通知。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会议通知内容应该包括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会议的时间、地点；提交会议审议的事项；会议联系人姓名、联系电话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会议通知，需提前3日送达于参会人员。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第十五条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会议，得由秘书处委派的秘书参加并拟备会议记录文件，对会议进行全程录音记录。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每次会议休会后，秘书应于休会后24小时内将会议记录发送给出席人员审阅。出席人员认为对本人的发言记录有错漏的，需于24小时内，将修改意见发送给秘书。出席人员未有依据本条提出修改意见的，此后不得再行提出修改意见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第十六条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需由其半数以上委员出席，方为有效。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会议通知指明的会议时间，出席人员未达半数的，主持人需等待30分钟。等待期间，出席人员达到半数以上时，会议方可开始；等待30分钟后，出席人数仍不达半数的，主持人得宣布休会，并择日再行召集会议。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第十七条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会议过程中，参会人员需在主持人的主持下，对会议通知所列事项逐一进行审议。议案获参会人员过半数赞成，方为通过。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参会人员可就他人提出的议案，提出修正案。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第十八条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会议过程中，发言与辩论、表决，均需遵守以下规则：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（1）会议开始后，出席人员在获主持人叫唤发言时，方可发言。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（2）出席人员按照下列次序发言，并对议题进行辩论：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a.议案提出人动议其所提出的议案。在主持人向会议提出该议题后，议案提出人发言，发言时限为10分钟；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b.如有就该议案提出修正案时，由该修正案提出人动议其所提出的修正案。在主持人向会议提出议案予以修正的待议议题后，该修正案动议人发言，发言时限5分钟。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c.如对同一议案提出了多于一份修正案的，由主持人按照原议案文本拟修正字句的先后次序，让修正案提出人依次动议修正案及发言。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d.其他出席人员就议题进行辩论发言，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或已作发言者要求再次辩论发言的，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发言时限为5分钟；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e.当无人示意欲就该项议题再行发言时，主持人得请议案提出人作答辩发言，发言时限为5分钟；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f.主持人可以决定会议就原议案与修正案予以合并辩论；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584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-6"/>
          <w:kern w:val="0"/>
          <w:sz w:val="32"/>
          <w:szCs w:val="32"/>
          <w:lang w:val="en-US"/>
        </w:rPr>
        <w:t>g.主持人可以不安排修正案提出人就修正案辩论作答辩发言。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3）在议题辩论过程中，主持人得让持不同意见与立场的人获得均衡的发言辩论机会。多人轮候发言时，与前一位发言者观点相左者，得安排其优先发言；有优先发言权的人有2人以上时，由主持人按照示意发言的先后次序叫唤其发言；主持人不能辨别示意发言的先后次序时，由主持人决定发言次序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（4）满足下列条件之一时，主持人需将议题交付会议表决：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a.经主持人提示，出席人员无人示意需要发言时；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b.为有效推进会议进行，主持人为该议题所设定的辩论时限届满时。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（5）议案经参会人员过半数以上表决赞成，即为通过。未获通过的议案，即为被否决。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（6）对议案的表决，按照下列方式进行：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a.无修正案的议案，主持人向会议提出议案予以通过的待决议题，先请同意的出席人员举手表决，再请反对的出席人员举手表决。根据表决情况，现场宣告待决议题的表决结果。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b.有修正案的议案，主持人先向会议提出议案予以修正的待决议题，根据表决情况，现场宣告待决议题的表决结果。之后，再向会议提出原议案或经修正的议案（视修正案表决情况而定）予以通过的待决议题，并根据表决情况，现场宣告待决议题的表决结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c.有多于一项修正案的议案，则按照修正案次序（如本条（2）c条所述）安排表决。但是，在前修正案如获表决通过，则与其相抵触的在后修正案将不被付诸会议表决。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（7）在对任一议题进行表决的过程中，如有任一出席人员要求记名表决时，主持人得指示秘书将对该议题表示赞成、反对意见的出席人员姓名予以记载，主持人并需将表决赞成、反对的人员名单予以宣读，并据此宣布表决结果。出席人员认为自己的表决意向被错误记录的，可以向主持人要求修改，但需在主持人宣布表决结果之前提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第十九条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秘书需根据会议表决结果，拟备会议决议。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召开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常务委员会、监督委员会会议时，参照上述会议规则；但会议通知需提前24小时送达于参会人员。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会议表决采用少数服从多数的原则。在对会议议题进行表决时，如出现赞成与反对人数相同时，会议的主持人可以对该表决议题加投一票，以使该议题获得通过或被否决。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四、其他工作事务规则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第二十一条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及其常务委员会、监督委员会与秘书处人员，外出执行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有关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接受和核实债权申报、调查核实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状况、参与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管理与处置事务等相关工作的，均需获得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常务委员会的委派，并至少二人同行。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第二十二条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进行本规程第二十一条所列工作的人员，需逐日详细填制工作记录，并于单项工作处理结束后2日内，向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常务委员会提交工作报告，附工作记录及相应资料。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五、财务费用开支标准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第二十三条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及其常务委员会、监督委员会履行职务所需的办公费用、人员津贴、差旅费用、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资金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管理与处置费用等，作为全体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的共益费用，从案涉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资金（含其孳息）中支出。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第二十四条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常务委员会、监督委员会在进行财务开支时，应严格遵循必要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、节约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原则，严格控制各项费用。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第二十五条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及其常务委员会、监督委员会履行职务时，可以按照下表所列标准，向相关人员计付职务津贴。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35"/>
        <w:gridCol w:w="1488"/>
        <w:gridCol w:w="41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职   务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津贴标准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备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常务委员会主任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00元/月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不同时获发第3、4项津贴，全脱产工作。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2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常务委员会副主任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00元/月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不同时获发第3、4项津贴，全脱产工作。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常务委员会委员、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i w:val="0"/>
                <w:i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秘书长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1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00元/月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不同时获发第4项津贴，全脱产工作。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4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.集资参与人委员会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委员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50元/天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本项为按次发放。需全程现场参与了一次会议，方予计发。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5.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监督委员会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副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主任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500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元/月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不同时获发第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7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项津贴，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半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脱产工作。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6.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监督委员会委员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50元/天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本项为按次发放。需全程现场参与了一次会议，方予计发。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7.受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指派外出执行任务者</w:t>
            </w:r>
          </w:p>
        </w:tc>
        <w:tc>
          <w:tcPr>
            <w:tcW w:w="148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50元/天</w:t>
            </w:r>
          </w:p>
        </w:tc>
        <w:tc>
          <w:tcPr>
            <w:tcW w:w="4198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无论职务，按日计发。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83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特别说明</w:t>
            </w:r>
          </w:p>
        </w:tc>
        <w:tc>
          <w:tcPr>
            <w:tcW w:w="5686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政府提出人选获委任者，不依本规程获发任何津贴。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聘请人员按聘请合同发放工资。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第二十六条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及其常务委员会、监督委员会履行职务时，可以按照下表所列标准，为相关人员报销差旅费用。</w:t>
      </w:r>
    </w:p>
    <w:tbl>
      <w:tblPr>
        <w:tblStyle w:val="6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2"/>
        <w:gridCol w:w="4357"/>
        <w:gridCol w:w="26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14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项  目</w:t>
            </w:r>
          </w:p>
        </w:tc>
        <w:tc>
          <w:tcPr>
            <w:tcW w:w="435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费用标准</w:t>
            </w:r>
          </w:p>
        </w:tc>
        <w:tc>
          <w:tcPr>
            <w:tcW w:w="267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备  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  <w:jc w:val="center"/>
        </w:trPr>
        <w:tc>
          <w:tcPr>
            <w:tcW w:w="14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交通费</w:t>
            </w:r>
          </w:p>
        </w:tc>
        <w:tc>
          <w:tcPr>
            <w:tcW w:w="435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飞机经济舱，高铁二等座，火车硬卧以下</w:t>
            </w:r>
          </w:p>
        </w:tc>
        <w:tc>
          <w:tcPr>
            <w:tcW w:w="267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据实报销。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atLeast"/>
          <w:jc w:val="center"/>
        </w:trPr>
        <w:tc>
          <w:tcPr>
            <w:tcW w:w="14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伙食费</w:t>
            </w:r>
          </w:p>
        </w:tc>
        <w:tc>
          <w:tcPr>
            <w:tcW w:w="435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除蓝山县外100元/天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人，蓝山县内无。</w:t>
            </w:r>
          </w:p>
        </w:tc>
        <w:tc>
          <w:tcPr>
            <w:tcW w:w="267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造表报账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  <w:jc w:val="center"/>
        </w:trPr>
        <w:tc>
          <w:tcPr>
            <w:tcW w:w="14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住宿费</w:t>
            </w:r>
          </w:p>
        </w:tc>
        <w:tc>
          <w:tcPr>
            <w:tcW w:w="4357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省外：不高于200元/天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 w:eastAsia="zh-CN"/>
              </w:rPr>
              <w:t>/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人；省内：不高于150元/天.人；蓝山县内无。</w:t>
            </w:r>
          </w:p>
        </w:tc>
        <w:tc>
          <w:tcPr>
            <w:tcW w:w="2673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凭票据按不高于左列标准报销，超标自负。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49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特别说明</w:t>
            </w:r>
          </w:p>
        </w:tc>
        <w:tc>
          <w:tcPr>
            <w:tcW w:w="7030" w:type="dxa"/>
            <w:gridSpan w:val="2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ind w:left="0" w:right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auto"/>
                <w:spacing w:val="0"/>
                <w:kern w:val="0"/>
                <w:sz w:val="24"/>
                <w:szCs w:val="24"/>
                <w:lang w:val="en-US"/>
              </w:rPr>
              <w:t>政府提出人选获委任者，可依本规程获报销差旅费用。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第二十七条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本规程所列津贴的发放、差旅费用及其他支出，按照如下程序进行处理：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1.由经办人员（依常务委员会或监督委员会所作工作安排而确定）填报请款单或报销单，并附相应工作任务单与费用单据，交秘书处审核；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2.秘书处主管人员审核无误后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形成书面材料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，由政府聘请的律师审核并出具律师函，报蓝山县政府主管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机构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指定人员审签后，予以支出，并作记账处理。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default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第二十八条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 xml:space="preserve">   依据本规程所产生的任何财务支出，均需由常务委员会负责向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及全体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进行公示。其中，向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应每月公示不少于一次；向全体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进行公示应每季度不少于一次。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公示期间七天，收到异议的，常务委员会应当开会作出专题讨论决定后，报监督委员会审议。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六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、政府监督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>二十九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蓝山县打击和处置非法集资工作领导小组依法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监督、指导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及其常务委员会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的工作。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第三十条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出现下列情形之一时，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可以解散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或常务委员会，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并重新筹组新的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或常务委员会：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1.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蓝山县打击和处置非法集资工作领导小组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提出的待议事项，交付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后逾10日，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未有开展相应工作的；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2.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常务委员会不能正常履职，且未能选举产生新的常务委员会逾30日的；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3.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  <w:t>或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常务委员会履职期间出现违背现行政策法规、在广大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中信任度不高、产生大量负面信息或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反响强烈的。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</w:pP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 w:eastAsia="zh-CN"/>
        </w:rPr>
        <w:t>七</w:t>
      </w:r>
      <w:r>
        <w:rPr>
          <w:rFonts w:hint="eastAsia" w:ascii="黑体" w:hAnsi="黑体" w:eastAsia="黑体" w:cs="黑体"/>
          <w:b w:val="0"/>
          <w:bCs w:val="0"/>
          <w:color w:val="auto"/>
          <w:spacing w:val="0"/>
          <w:kern w:val="0"/>
          <w:sz w:val="32"/>
          <w:szCs w:val="32"/>
          <w:lang w:val="en-US"/>
        </w:rPr>
        <w:t>、其他</w:t>
      </w:r>
    </w:p>
    <w:p>
      <w:pPr>
        <w:pStyle w:val="2"/>
        <w:keepNext w:val="0"/>
        <w:keepLines w:val="0"/>
        <w:pageBreakBefore w:val="0"/>
        <w:widowControl w:val="0"/>
        <w:numPr>
          <w:ilvl w:val="255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right="0" w:firstLine="608" w:firstLineChars="200"/>
        <w:jc w:val="both"/>
        <w:textAlignment w:val="auto"/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</w:rPr>
      </w:pP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第三十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b/>
          <w:bCs/>
          <w:color w:val="auto"/>
          <w:spacing w:val="0"/>
          <w:kern w:val="0"/>
          <w:sz w:val="32"/>
          <w:szCs w:val="32"/>
          <w:lang w:val="en-US"/>
        </w:rPr>
        <w:t>条</w:t>
      </w:r>
      <w:r>
        <w:rPr>
          <w:rFonts w:hint="eastAsia" w:ascii="仿宋_GB2312" w:hAnsi="仿宋_GB2312" w:eastAsia="仿宋_GB2312" w:cs="仿宋_GB2312"/>
          <w:b/>
          <w:bCs/>
          <w:color w:val="auto"/>
          <w:spacing w:val="0"/>
          <w:kern w:val="0"/>
          <w:sz w:val="32"/>
          <w:szCs w:val="32"/>
          <w:lang w:val="en-US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本规程由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eastAsia="zh-CN"/>
        </w:rPr>
        <w:t>蓝山县浩友非法吸收公众存款案集资参与人委员会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筹备组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2022年7月14日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审议通过，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报蓝山县打击和处置非法集资工作领导小组审核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同意后进行公告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，已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广泛听取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了集资参与人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意见和建议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后作了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修改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，现予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公告，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自公告之日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予以施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 w:eastAsia="zh-CN"/>
        </w:rPr>
        <w:t>行</w:t>
      </w:r>
      <w:r>
        <w:rPr>
          <w:rFonts w:hint="eastAsia" w:ascii="仿宋_GB2312" w:hAnsi="仿宋_GB2312" w:eastAsia="仿宋_GB2312" w:cs="仿宋_GB2312"/>
          <w:color w:val="auto"/>
          <w:spacing w:val="0"/>
          <w:kern w:val="0"/>
          <w:sz w:val="32"/>
          <w:szCs w:val="32"/>
          <w:lang w:val="en-US"/>
        </w:rPr>
        <w:t>。</w:t>
      </w:r>
    </w:p>
    <w:sectPr>
      <w:footerReference r:id="rId3" w:type="default"/>
      <w:pgSz w:w="11906" w:h="16838"/>
      <w:pgMar w:top="1701" w:right="1587" w:bottom="1440" w:left="1587" w:header="851" w:footer="992" w:gutter="0"/>
      <w:pgNumType w:fmt="numberInDash"/>
      <w:cols w:space="0" w:num="1"/>
      <w:docGrid w:type="linesAndChars" w:linePitch="290" w:charSpace="-34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CF3C50" w:usb2="00000016" w:usb3="00000000" w:csb0="0004001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HorizontalSpacing w:val="97"/>
  <w:drawingGridVerticalSpacing w:val="145"/>
  <w:displayHorizontalDrawingGridEvery w:val="2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JmOWQ5MWJkNGQ1ZTA0YzZjNTcxMjU1MjRiMjRhZmIifQ=="/>
  </w:docVars>
  <w:rsids>
    <w:rsidRoot w:val="327FFFED"/>
    <w:rsid w:val="00112C28"/>
    <w:rsid w:val="00336901"/>
    <w:rsid w:val="003757D9"/>
    <w:rsid w:val="0052523F"/>
    <w:rsid w:val="005C1FA6"/>
    <w:rsid w:val="005D046F"/>
    <w:rsid w:val="006A52C7"/>
    <w:rsid w:val="0073519A"/>
    <w:rsid w:val="008B69E0"/>
    <w:rsid w:val="00A516C7"/>
    <w:rsid w:val="00AA255D"/>
    <w:rsid w:val="00AE7D21"/>
    <w:rsid w:val="00BD5733"/>
    <w:rsid w:val="00C93DAE"/>
    <w:rsid w:val="00DF1AFE"/>
    <w:rsid w:val="00ED52DC"/>
    <w:rsid w:val="05C70D29"/>
    <w:rsid w:val="06BE7A3E"/>
    <w:rsid w:val="072A42D8"/>
    <w:rsid w:val="087E7DB6"/>
    <w:rsid w:val="0981364A"/>
    <w:rsid w:val="0A974C88"/>
    <w:rsid w:val="0B8A0EBE"/>
    <w:rsid w:val="0C0F30E2"/>
    <w:rsid w:val="11B976FA"/>
    <w:rsid w:val="13C11860"/>
    <w:rsid w:val="13DE46A6"/>
    <w:rsid w:val="14DD5513"/>
    <w:rsid w:val="1988354C"/>
    <w:rsid w:val="1B397DE9"/>
    <w:rsid w:val="1E0D2F79"/>
    <w:rsid w:val="2234674E"/>
    <w:rsid w:val="24D420AB"/>
    <w:rsid w:val="25645050"/>
    <w:rsid w:val="25896A5C"/>
    <w:rsid w:val="25A349A0"/>
    <w:rsid w:val="28717098"/>
    <w:rsid w:val="29AA4798"/>
    <w:rsid w:val="29D9159C"/>
    <w:rsid w:val="2A401A4E"/>
    <w:rsid w:val="2AE67529"/>
    <w:rsid w:val="2B7C5766"/>
    <w:rsid w:val="2BA55819"/>
    <w:rsid w:val="2ED44F00"/>
    <w:rsid w:val="30700A26"/>
    <w:rsid w:val="30A24E04"/>
    <w:rsid w:val="30FC044D"/>
    <w:rsid w:val="31F73546"/>
    <w:rsid w:val="327FFFED"/>
    <w:rsid w:val="3363254D"/>
    <w:rsid w:val="33856D40"/>
    <w:rsid w:val="354B32CB"/>
    <w:rsid w:val="356F6271"/>
    <w:rsid w:val="363629BC"/>
    <w:rsid w:val="372E5B39"/>
    <w:rsid w:val="399611DB"/>
    <w:rsid w:val="3B8E67A0"/>
    <w:rsid w:val="3C2C79E4"/>
    <w:rsid w:val="3D054348"/>
    <w:rsid w:val="3DAC76CD"/>
    <w:rsid w:val="3DD05246"/>
    <w:rsid w:val="410D71E8"/>
    <w:rsid w:val="424F14CB"/>
    <w:rsid w:val="443B0256"/>
    <w:rsid w:val="45664779"/>
    <w:rsid w:val="4C8E280A"/>
    <w:rsid w:val="4D936D4F"/>
    <w:rsid w:val="4E3E0B9C"/>
    <w:rsid w:val="4ED15816"/>
    <w:rsid w:val="518568D3"/>
    <w:rsid w:val="519B7B99"/>
    <w:rsid w:val="531D4190"/>
    <w:rsid w:val="538C48C1"/>
    <w:rsid w:val="54EE6BFE"/>
    <w:rsid w:val="55403CF1"/>
    <w:rsid w:val="55AF05D2"/>
    <w:rsid w:val="5975740D"/>
    <w:rsid w:val="5ADF26E4"/>
    <w:rsid w:val="5DE479BB"/>
    <w:rsid w:val="631242A3"/>
    <w:rsid w:val="634B7354"/>
    <w:rsid w:val="646D6ACB"/>
    <w:rsid w:val="6474677C"/>
    <w:rsid w:val="653D45B1"/>
    <w:rsid w:val="689E3494"/>
    <w:rsid w:val="69AD6436"/>
    <w:rsid w:val="69DC36CC"/>
    <w:rsid w:val="6D1A4CDE"/>
    <w:rsid w:val="6E38125C"/>
    <w:rsid w:val="6FCDF30B"/>
    <w:rsid w:val="71D73234"/>
    <w:rsid w:val="7270369E"/>
    <w:rsid w:val="74881CAB"/>
    <w:rsid w:val="76226211"/>
    <w:rsid w:val="762F5634"/>
    <w:rsid w:val="76507882"/>
    <w:rsid w:val="7B7142F5"/>
    <w:rsid w:val="7BDA2F72"/>
    <w:rsid w:val="7D0C6AA9"/>
    <w:rsid w:val="B4FD99CE"/>
    <w:rsid w:val="D7FF4C13"/>
    <w:rsid w:val="DF5DC213"/>
    <w:rsid w:val="E9EF115F"/>
    <w:rsid w:val="F6885818"/>
    <w:rsid w:val="FBB71CB5"/>
    <w:rsid w:val="FF3925AD"/>
    <w:rsid w:val="FFFE6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ind w:left="119"/>
    </w:pPr>
    <w:rPr>
      <w:rFonts w:ascii="仿宋" w:hAnsi="仿宋" w:eastAsia="仿宋" w:cs="仿宋"/>
      <w:sz w:val="28"/>
      <w:szCs w:val="28"/>
      <w:lang w:val="zh-CN" w:bidi="zh-CN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5507</Words>
  <Characters>5581</Characters>
  <Lines>45</Lines>
  <Paragraphs>12</Paragraphs>
  <TotalTime>23</TotalTime>
  <ScaleCrop>false</ScaleCrop>
  <LinksUpToDate>false</LinksUpToDate>
  <CharactersWithSpaces>5657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2020-11-24T13:25:00Z</dcterms:created>
  <dc:creator>王娟律师</dc:creator>
  <cp:lastModifiedBy>Administrator</cp:lastModifiedBy>
  <dcterms:modified xsi:type="dcterms:W3CDTF">2022-08-17T09:36:11Z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5C42F46D13E4479AAAA81EC0010FB966</vt:lpwstr>
  </property>
</Properties>
</file>