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kern w:val="0"/>
          <w:sz w:val="24"/>
          <w:szCs w:val="24"/>
          <w:bdr w:val="none" w:color="auto" w:sz="0" w:space="0"/>
          <w:lang w:val="en-US" w:eastAsia="zh-CN" w:bidi="ar"/>
        </w:rPr>
      </w:pPr>
      <w:r>
        <w:rPr>
          <w:rFonts w:hint="eastAsia" w:ascii="微软雅黑" w:hAnsi="微软雅黑" w:eastAsia="微软雅黑" w:cs="微软雅黑"/>
          <w:color w:val="333333"/>
          <w:kern w:val="0"/>
          <w:sz w:val="24"/>
          <w:szCs w:val="24"/>
          <w:bdr w:val="none" w:color="auto" w:sz="0" w:space="0"/>
          <w:lang w:val="en-US" w:eastAsia="zh-CN" w:bidi="ar"/>
        </w:rPr>
        <w:t>国家税务总局关于进一步完善税务登记管理有关问题的公告</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ascii="微软雅黑" w:hAnsi="微软雅黑" w:eastAsia="微软雅黑" w:cs="微软雅黑"/>
          <w:color w:val="333333"/>
          <w:sz w:val="24"/>
          <w:szCs w:val="24"/>
        </w:rPr>
      </w:pPr>
      <w:bookmarkStart w:id="0" w:name="_GoBack"/>
      <w:bookmarkEnd w:id="0"/>
      <w:r>
        <w:rPr>
          <w:rStyle w:val="8"/>
          <w:rFonts w:hint="eastAsia" w:ascii="微软雅黑" w:hAnsi="微软雅黑" w:eastAsia="微软雅黑" w:cs="微软雅黑"/>
          <w:sz w:val="24"/>
          <w:szCs w:val="24"/>
          <w:bdr w:val="none" w:color="auto" w:sz="0" w:space="0"/>
          <w:lang w:val="en-US" w:eastAsia="zh-CN" w:bidi="ar"/>
        </w:rPr>
        <w:t xml:space="preserve">国家税务总局公告2011年第21号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FF0000"/>
          <w:kern w:val="0"/>
          <w:sz w:val="24"/>
          <w:szCs w:val="24"/>
          <w:bdr w:val="none" w:color="auto" w:sz="0" w:space="0"/>
          <w:lang w:val="en-US" w:eastAsia="zh-CN" w:bidi="ar"/>
        </w:rPr>
        <w:t>部分有效</w:t>
      </w:r>
      <w:r>
        <w:rPr>
          <w:rFonts w:hint="eastAsia" w:ascii="微软雅黑" w:hAnsi="微软雅黑" w:eastAsia="微软雅黑" w:cs="微软雅黑"/>
          <w:color w:val="333333"/>
          <w:kern w:val="0"/>
          <w:sz w:val="24"/>
          <w:szCs w:val="24"/>
          <w:bdr w:val="none" w:color="auto" w:sz="0" w:space="0"/>
          <w:lang w:val="en-US" w:eastAsia="zh-CN" w:bidi="ar"/>
        </w:rPr>
        <w:t xml:space="preserve">    成文日期:</w:t>
      </w:r>
      <w:r>
        <w:rPr>
          <w:rFonts w:hint="eastAsia" w:ascii="微软雅黑" w:hAnsi="微软雅黑" w:eastAsia="微软雅黑" w:cs="微软雅黑"/>
          <w:color w:val="005DDC"/>
          <w:kern w:val="0"/>
          <w:sz w:val="24"/>
          <w:szCs w:val="24"/>
          <w:bdr w:val="none" w:color="auto" w:sz="0" w:space="0"/>
          <w:lang w:val="en-US" w:eastAsia="zh-CN" w:bidi="ar"/>
        </w:rPr>
        <w:t>2011-3-21</w:t>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kern w:val="0"/>
          <w:sz w:val="24"/>
          <w:szCs w:val="24"/>
          <w:bdr w:val="none" w:color="auto" w:sz="0" w:space="0"/>
          <w:lang w:val="en-US" w:eastAsia="zh-CN" w:bidi="ar"/>
        </w:rPr>
        <w:fldChar w:fldCharType="begin"/>
      </w:r>
      <w:r>
        <w:rPr>
          <w:rFonts w:hint="eastAsia" w:ascii="微软雅黑" w:hAnsi="微软雅黑" w:eastAsia="微软雅黑" w:cs="微软雅黑"/>
          <w:kern w:val="0"/>
          <w:sz w:val="24"/>
          <w:szCs w:val="24"/>
          <w:bdr w:val="none" w:color="auto" w:sz="0" w:space="0"/>
          <w:lang w:val="en-US" w:eastAsia="zh-CN" w:bidi="ar"/>
        </w:rPr>
        <w:instrText xml:space="preserve"> HYPERLINK "http://www.chinatax.gov.cn/chinatax/n810341/n810825/c101434/c155912/javascript:;" \o "分享到微信" </w:instrText>
      </w:r>
      <w:r>
        <w:rPr>
          <w:rFonts w:hint="eastAsia" w:ascii="微软雅黑" w:hAnsi="微软雅黑" w:eastAsia="微软雅黑" w:cs="微软雅黑"/>
          <w:kern w:val="0"/>
          <w:sz w:val="24"/>
          <w:szCs w:val="24"/>
          <w:bdr w:val="none" w:color="auto" w:sz="0" w:space="0"/>
          <w:lang w:val="en-US" w:eastAsia="zh-CN" w:bidi="ar"/>
        </w:rPr>
        <w:fldChar w:fldCharType="separate"/>
      </w:r>
      <w:r>
        <w:rPr>
          <w:rStyle w:val="7"/>
          <w:rFonts w:hint="eastAsia" w:ascii="微软雅黑" w:hAnsi="微软雅黑" w:eastAsia="微软雅黑" w:cs="微软雅黑"/>
          <w:sz w:val="24"/>
          <w:szCs w:val="24"/>
        </w:rPr>
        <w:t> </w:t>
      </w:r>
      <w:r>
        <w:rPr>
          <w:rFonts w:hint="eastAsia" w:ascii="微软雅黑" w:hAnsi="微软雅黑" w:eastAsia="微软雅黑" w:cs="微软雅黑"/>
          <w:kern w:val="0"/>
          <w:sz w:val="24"/>
          <w:szCs w:val="24"/>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kern w:val="0"/>
          <w:sz w:val="24"/>
          <w:szCs w:val="24"/>
          <w:bdr w:val="none" w:color="auto" w:sz="0" w:space="0"/>
          <w:lang w:val="en-US" w:eastAsia="zh-CN" w:bidi="ar"/>
        </w:rPr>
        <w:fldChar w:fldCharType="begin"/>
      </w:r>
      <w:r>
        <w:rPr>
          <w:rFonts w:hint="eastAsia" w:ascii="微软雅黑" w:hAnsi="微软雅黑" w:eastAsia="微软雅黑" w:cs="微软雅黑"/>
          <w:kern w:val="0"/>
          <w:sz w:val="24"/>
          <w:szCs w:val="24"/>
          <w:bdr w:val="none" w:color="auto" w:sz="0" w:space="0"/>
          <w:lang w:val="en-US" w:eastAsia="zh-CN" w:bidi="ar"/>
        </w:rPr>
        <w:instrText xml:space="preserve"> HYPERLINK "http://www.chinatax.gov.cn/chinatax/n810341/n810825/c101434/c155912/javascript:;" \o "分享到新浪微博" </w:instrText>
      </w:r>
      <w:r>
        <w:rPr>
          <w:rFonts w:hint="eastAsia" w:ascii="微软雅黑" w:hAnsi="微软雅黑" w:eastAsia="微软雅黑" w:cs="微软雅黑"/>
          <w:kern w:val="0"/>
          <w:sz w:val="24"/>
          <w:szCs w:val="24"/>
          <w:bdr w:val="none" w:color="auto" w:sz="0" w:space="0"/>
          <w:lang w:val="en-US" w:eastAsia="zh-CN" w:bidi="ar"/>
        </w:rPr>
        <w:fldChar w:fldCharType="separate"/>
      </w:r>
      <w:r>
        <w:rPr>
          <w:rStyle w:val="7"/>
          <w:rFonts w:hint="eastAsia" w:ascii="微软雅黑" w:hAnsi="微软雅黑" w:eastAsia="微软雅黑" w:cs="微软雅黑"/>
          <w:sz w:val="24"/>
          <w:szCs w:val="24"/>
        </w:rPr>
        <w:t> </w:t>
      </w:r>
      <w:r>
        <w:rPr>
          <w:rFonts w:hint="eastAsia" w:ascii="微软雅黑" w:hAnsi="微软雅黑" w:eastAsia="微软雅黑" w:cs="微软雅黑"/>
          <w:kern w:val="0"/>
          <w:sz w:val="24"/>
          <w:szCs w:val="24"/>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ind w:left="150"/>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u w:val="none"/>
          <w:lang w:val="en-US" w:eastAsia="zh-CN" w:bidi="ar"/>
        </w:rPr>
        <w:fldChar w:fldCharType="begin"/>
      </w:r>
      <w:r>
        <w:rPr>
          <w:rFonts w:hint="eastAsia" w:ascii="微软雅黑" w:hAnsi="微软雅黑" w:eastAsia="微软雅黑" w:cs="微软雅黑"/>
          <w:color w:val="333333"/>
          <w:kern w:val="0"/>
          <w:sz w:val="24"/>
          <w:szCs w:val="24"/>
          <w:u w:val="none"/>
          <w:lang w:val="en-US" w:eastAsia="zh-CN" w:bidi="ar"/>
        </w:rPr>
        <w:instrText xml:space="preserve"> HYPERLINK "http://www.chinatax.gov.cn/chinatax/n810341/n810825/c101434/c155912/javascript:window.print()" </w:instrText>
      </w:r>
      <w:r>
        <w:rPr>
          <w:rFonts w:hint="eastAsia" w:ascii="微软雅黑" w:hAnsi="微软雅黑" w:eastAsia="微软雅黑" w:cs="微软雅黑"/>
          <w:color w:val="333333"/>
          <w:kern w:val="0"/>
          <w:sz w:val="24"/>
          <w:szCs w:val="24"/>
          <w:u w:val="none"/>
          <w:lang w:val="en-US" w:eastAsia="zh-CN" w:bidi="ar"/>
        </w:rPr>
        <w:fldChar w:fldCharType="separate"/>
      </w:r>
      <w:r>
        <w:rPr>
          <w:rStyle w:val="7"/>
          <w:rFonts w:hint="eastAsia" w:ascii="微软雅黑" w:hAnsi="微软雅黑" w:eastAsia="微软雅黑" w:cs="微软雅黑"/>
          <w:color w:val="333333"/>
          <w:sz w:val="24"/>
          <w:szCs w:val="24"/>
          <w:u w:val="none"/>
        </w:rPr>
        <w:t>打印本页</w:t>
      </w:r>
      <w:r>
        <w:rPr>
          <w:rFonts w:hint="eastAsia" w:ascii="微软雅黑" w:hAnsi="微软雅黑" w:eastAsia="微软雅黑" w:cs="微软雅黑"/>
          <w:color w:val="333333"/>
          <w:kern w:val="0"/>
          <w:sz w:val="24"/>
          <w:szCs w:val="24"/>
          <w:u w:val="none"/>
          <w:lang w:val="en-US" w:eastAsia="zh-CN" w:bidi="ar"/>
        </w:rPr>
        <w:fldChar w:fldCharType="end"/>
      </w:r>
      <w:r>
        <w:rPr>
          <w:rFonts w:hint="eastAsia" w:ascii="微软雅黑" w:hAnsi="微软雅黑" w:eastAsia="微软雅黑" w:cs="微软雅黑"/>
          <w:color w:val="333333"/>
          <w:kern w:val="0"/>
          <w:sz w:val="24"/>
          <w:szCs w:val="24"/>
          <w:lang w:val="en-US" w:eastAsia="zh-CN" w:bidi="ar"/>
        </w:rPr>
        <w:t xml:space="preserve"> </w:t>
      </w:r>
    </w:p>
    <w:p>
      <w:pPr>
        <w:keepNext w:val="0"/>
        <w:keepLines w:val="0"/>
        <w:widowControl/>
        <w:suppressLineNumbers w:val="0"/>
        <w:pBdr>
          <w:top w:val="none" w:color="auto" w:sz="0" w:space="0"/>
          <w:left w:val="none" w:color="auto" w:sz="0" w:space="0"/>
          <w:bottom w:val="none" w:color="auto" w:sz="0" w:space="0"/>
          <w:right w:val="none" w:color="auto" w:sz="0" w:space="0"/>
        </w:pBdr>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 xml:space="preserve">字体：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"http://www.chinatax.gov.cn/chinatax/n810341/n810825/c101434/c155912/javascript:fontZoom(16)"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【大】</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"http://www.chinatax.gov.cn/chinatax/n810341/n810825/c101434/c155912/javascript:fontZoom(14)"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【中】</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color w:val="333333"/>
          <w:kern w:val="0"/>
          <w:sz w:val="24"/>
          <w:szCs w:val="24"/>
          <w:u w:val="none"/>
          <w:bdr w:val="none" w:color="auto" w:sz="0" w:space="0"/>
          <w:lang w:val="en-US" w:eastAsia="zh-CN" w:bidi="ar"/>
        </w:rPr>
        <w:fldChar w:fldCharType="begin"/>
      </w:r>
      <w:r>
        <w:rPr>
          <w:rFonts w:hint="eastAsia" w:ascii="微软雅黑" w:hAnsi="微软雅黑" w:eastAsia="微软雅黑" w:cs="微软雅黑"/>
          <w:color w:val="333333"/>
          <w:kern w:val="0"/>
          <w:sz w:val="24"/>
          <w:szCs w:val="24"/>
          <w:u w:val="none"/>
          <w:bdr w:val="none" w:color="auto" w:sz="0" w:space="0"/>
          <w:lang w:val="en-US" w:eastAsia="zh-CN" w:bidi="ar"/>
        </w:rPr>
        <w:instrText xml:space="preserve"> HYPERLINK "http://www.chinatax.gov.cn/chinatax/n810341/n810825/c101434/c155912/javascript:fontZoom(12)" </w:instrText>
      </w:r>
      <w:r>
        <w:rPr>
          <w:rFonts w:hint="eastAsia" w:ascii="微软雅黑" w:hAnsi="微软雅黑" w:eastAsia="微软雅黑" w:cs="微软雅黑"/>
          <w:color w:val="333333"/>
          <w:kern w:val="0"/>
          <w:sz w:val="24"/>
          <w:szCs w:val="24"/>
          <w:u w:val="none"/>
          <w:bdr w:val="none" w:color="auto" w:sz="0" w:space="0"/>
          <w:lang w:val="en-US" w:eastAsia="zh-CN" w:bidi="ar"/>
        </w:rPr>
        <w:fldChar w:fldCharType="separate"/>
      </w:r>
      <w:r>
        <w:rPr>
          <w:rStyle w:val="7"/>
          <w:rFonts w:hint="eastAsia" w:ascii="微软雅黑" w:hAnsi="微软雅黑" w:eastAsia="微软雅黑" w:cs="微软雅黑"/>
          <w:color w:val="333333"/>
          <w:sz w:val="24"/>
          <w:szCs w:val="24"/>
          <w:u w:val="none"/>
          <w:bdr w:val="none" w:color="auto" w:sz="0" w:space="0"/>
        </w:rPr>
        <w:t>【小】</w:t>
      </w:r>
      <w:r>
        <w:rPr>
          <w:rFonts w:hint="eastAsia" w:ascii="微软雅黑" w:hAnsi="微软雅黑" w:eastAsia="微软雅黑" w:cs="微软雅黑"/>
          <w:color w:val="333333"/>
          <w:kern w:val="0"/>
          <w:sz w:val="24"/>
          <w:szCs w:val="24"/>
          <w:u w:val="none"/>
          <w:bdr w:val="none" w:color="auto" w:sz="0" w:space="0"/>
          <w:lang w:val="en-US" w:eastAsia="zh-CN" w:bidi="ar"/>
        </w:rPr>
        <w:fldChar w:fldCharType="end"/>
      </w:r>
      <w:r>
        <w:rPr>
          <w:rFonts w:hint="eastAsia" w:ascii="微软雅黑" w:hAnsi="微软雅黑" w:eastAsia="微软雅黑" w:cs="微软雅黑"/>
          <w:color w:val="333333"/>
          <w:kern w:val="0"/>
          <w:sz w:val="24"/>
          <w:szCs w:val="24"/>
          <w:bdr w:val="none" w:color="auto" w:sz="0" w:space="0"/>
          <w:lang w:val="en-US" w:eastAsia="zh-CN" w:bidi="ar"/>
        </w:rPr>
        <w:t xml:space="preserve"> </w:t>
      </w:r>
    </w:p>
    <w:p>
      <w:pPr>
        <w:pStyle w:val="2"/>
        <w:keepNext w:val="0"/>
        <w:keepLines w:val="0"/>
        <w:widowControl/>
        <w:suppressLineNumbers w:val="0"/>
        <w:spacing w:after="376" w:afterAutospacing="0" w:line="390" w:lineRule="atLeast"/>
        <w:jc w:val="left"/>
        <w:rPr>
          <w:color w:val="333333"/>
          <w:sz w:val="27"/>
          <w:szCs w:val="27"/>
        </w:rPr>
      </w:pPr>
      <w:r>
        <w:rPr>
          <w:color w:val="333333"/>
          <w:sz w:val="27"/>
          <w:szCs w:val="27"/>
        </w:rPr>
        <w:t>注释：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7" w:lineRule="atLeast"/>
        <w:ind w:left="0" w:right="0"/>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sz w:val="24"/>
          <w:szCs w:val="24"/>
          <w:bdr w:val="none" w:color="auto" w:sz="0" w:space="0"/>
        </w:rPr>
        <w:t xml:space="preserve">条款第二条第一款废止。参见：《国家税务总局关于税收征管若干事项的公告》（国家税务总局公告2019年第48号）。 第三条废止。参见：《国家税务总局关于公布全文失效废止和部分条款失效废止的税收规范性文件目录的公告》（国家税务总局公告2018年第33号）。 </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kern w:val="0"/>
          <w:sz w:val="24"/>
          <w:szCs w:val="24"/>
          <w:bdr w:val="none" w:color="auto" w:sz="0" w:space="0"/>
          <w:lang w:val="en-US" w:eastAsia="zh-CN" w:bidi="ar"/>
        </w:rPr>
      </w:pPr>
      <w:r>
        <w:rPr>
          <w:rFonts w:hint="eastAsia" w:ascii="微软雅黑" w:hAnsi="微软雅黑" w:eastAsia="微软雅黑" w:cs="微软雅黑"/>
          <w:color w:val="333333"/>
          <w:kern w:val="0"/>
          <w:sz w:val="24"/>
          <w:szCs w:val="24"/>
          <w:bdr w:val="none" w:color="auto" w:sz="0" w:space="0"/>
          <w:lang w:val="en-US" w:eastAsia="zh-CN" w:bidi="ar"/>
        </w:rPr>
        <w:t>    为进一步完善税务登记管理制度，规范税务登记管理，强化税源监控，现就有关问题公告如下：</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一、无照户纳税人的管理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从事生产、经营的纳税人，应办而未办工商营业执照，或不需办理工商营业执照而需经有关部门批准设立但未经有关部门批准的（简称无照户纳税人），应当自纳税义务发生之日起30日内申报办理税务登记。税务机关对无照户纳税人核发临时税务登记证及副本，并限量供应发票。</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无照户纳税人已领取营业执照或已经有关部门批准的，应当自领取营业执照或自有关部门批准设立之日起30日内，向税务机关申报办理税务登记，税务机关核发税务登记证及副本；已领取临时税务登记证及副本的，税务机关应当同时收回并做作废处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二、非正常户管理</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xml:space="preserve">    </w:t>
      </w:r>
      <w:r>
        <w:rPr>
          <w:rFonts w:hint="eastAsia" w:ascii="微软雅黑" w:hAnsi="微软雅黑" w:eastAsia="微软雅黑" w:cs="微软雅黑"/>
          <w:color w:val="333333"/>
          <w:kern w:val="0"/>
          <w:sz w:val="24"/>
          <w:szCs w:val="24"/>
          <w:bdr w:val="none" w:color="auto" w:sz="0" w:space="0"/>
          <w:shd w:val="clear" w:fill="CCCCCC"/>
          <w:lang w:val="en-US" w:eastAsia="zh-CN" w:bidi="ar"/>
        </w:rPr>
        <w:t>严格非正常户认定管理。对经税务机关派员实地核查，查无下落的纳税人，如有欠税且有可以强制执行的财物的，税务机关应按照《税收征收管理法》第四十条的规定采取强制执行措施；纳税人无可以强制执行的财物或虽有可以强制执行的财物但经采取强制执行措施仍无法使其履行纳税义务的，方可认定为非正常户。</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开展非正常户公告。税务机关应在非正常户认定的次月，在办税场所或者广播、电视、报纸、期刊、网络等媒体上公告非正常户。纳税人为企业或单位的，公告企业或单位的名称、纳税人识别号、法定代表人或负责人姓名、居民身份证或其他有效身份证件号码、经营地点；纳税人为个体工商户的，公告业户名称、业主姓名、纳税人识别号、居民身份证或其他有效身份证件号码、经营地点。</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实施非正常户追踪管理。税务机关发现非正常户纳税人恢复正常生产经营的，应及时处理，并督促其到税务机关办理相关手续。对没有欠税且没有未缴销发票的纳税人，认定为非正常户超过两年的，税务机关可以注销其税务登记证件。</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加强非正常户异地协作管理。税务机关要加强非正常户信息交换，形成对非正常户管理的工作合力。对非正常户纳税人的法定代表人或经营者申报办理新的税务登记的，税务机关核发临时税务登记证及副本，限量供应发票。税务机关发现纳税人的法定代表人或经营者在异地为非正常户的法定代表人或经营者的，应通知其回原税务机关办理相关涉税事宜。纳税人的法定代表人或经营者在原税务机关办结相关涉税事宜后，方可申报转办正式的税务登记。</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ascii="微软雅黑" w:hAnsi="微软雅黑" w:eastAsia="微软雅黑" w:cs="微软雅黑"/>
          <w:b w:val="0"/>
          <w:i w:val="0"/>
          <w:caps w:val="0"/>
          <w:color w:val="000000"/>
          <w:spacing w:val="0"/>
          <w:kern w:val="0"/>
          <w:sz w:val="24"/>
          <w:szCs w:val="24"/>
          <w:bdr w:val="none" w:color="auto" w:sz="0" w:space="0"/>
          <w:shd w:val="clear" w:fill="FFFFFF"/>
          <w:lang w:val="en-US" w:eastAsia="zh-CN" w:bidi="ar"/>
        </w:rPr>
        <w:t xml:space="preserve">    </w:t>
      </w:r>
      <w:r>
        <w:rPr>
          <w:rFonts w:hint="eastAsia" w:ascii="微软雅黑" w:hAnsi="微软雅黑" w:eastAsia="微软雅黑" w:cs="微软雅黑"/>
          <w:color w:val="333333"/>
          <w:kern w:val="0"/>
          <w:sz w:val="24"/>
          <w:szCs w:val="24"/>
          <w:bdr w:val="none" w:color="auto" w:sz="0" w:space="0"/>
          <w:shd w:val="clear" w:fill="CCCCCC"/>
          <w:lang w:val="en-US" w:eastAsia="zh-CN" w:bidi="ar"/>
        </w:rPr>
        <w:t>三、《外出经营活动税收管理证明》的管理</w:t>
      </w:r>
      <w:r>
        <w:rPr>
          <w:rFonts w:hint="eastAsia" w:ascii="微软雅黑" w:hAnsi="微软雅黑" w:eastAsia="微软雅黑" w:cs="微软雅黑"/>
          <w:color w:val="333333"/>
          <w:kern w:val="0"/>
          <w:sz w:val="24"/>
          <w:szCs w:val="24"/>
          <w:bdr w:val="none" w:color="auto" w:sz="0" w:space="0"/>
          <w:shd w:val="clear" w:fill="CCCCCC"/>
          <w:lang w:val="en-US" w:eastAsia="zh-CN" w:bidi="ar"/>
        </w:rPr>
        <w:br w:type="textWrapping"/>
      </w:r>
      <w:r>
        <w:rPr>
          <w:rFonts w:hint="eastAsia" w:ascii="微软雅黑" w:hAnsi="微软雅黑" w:eastAsia="微软雅黑" w:cs="微软雅黑"/>
          <w:color w:val="333333"/>
          <w:kern w:val="0"/>
          <w:sz w:val="24"/>
          <w:szCs w:val="24"/>
          <w:bdr w:val="none" w:color="auto" w:sz="0" w:space="0"/>
          <w:shd w:val="clear" w:fill="CCCCCC"/>
          <w:lang w:val="en-US" w:eastAsia="zh-CN" w:bidi="ar"/>
        </w:rPr>
        <w:t>    纳税人到外县（市）临时从事生产经营活动的，应当在外出生产经营以前，按照外出经营活动所应缴纳的货物与劳务税税种向相应的县级以上（含本级）主管税务机关申请开具《外出经营活动税收管理证明》。外出经营活动应缴纳增值税的，向国税机关申请开具；外出经营活动应缴纳营业税的，向地税机关申请开具；外出经营活动为兼营行为的，可向国税或地税机关申请开具，税务机关不得拒绝。</w:t>
      </w:r>
      <w:r>
        <w:rPr>
          <w:rFonts w:hint="eastAsia" w:ascii="微软雅黑" w:hAnsi="微软雅黑" w:eastAsia="微软雅黑" w:cs="微软雅黑"/>
          <w:color w:val="333333"/>
          <w:kern w:val="0"/>
          <w:sz w:val="24"/>
          <w:szCs w:val="24"/>
          <w:bdr w:val="none" w:color="auto" w:sz="0" w:space="0"/>
          <w:shd w:val="clear" w:fill="CCCCCC"/>
          <w:lang w:val="en-US" w:eastAsia="zh-CN" w:bidi="ar"/>
        </w:rPr>
        <w:br w:type="textWrapping"/>
      </w:r>
      <w:r>
        <w:rPr>
          <w:rFonts w:hint="eastAsia" w:ascii="微软雅黑" w:hAnsi="微软雅黑" w:eastAsia="微软雅黑" w:cs="微软雅黑"/>
          <w:color w:val="333333"/>
          <w:kern w:val="0"/>
          <w:sz w:val="24"/>
          <w:szCs w:val="24"/>
          <w:bdr w:val="none" w:color="auto" w:sz="0" w:space="0"/>
          <w:shd w:val="clear" w:fill="CCCCCC"/>
          <w:lang w:val="en-US" w:eastAsia="zh-CN" w:bidi="ar"/>
        </w:rPr>
        <w:t>    税务机关应当按照《国家税务总局关于印发全国统一税收执法文书式样的通知》（国税发〔2005〕179号）规定的式样为纳税人开具《外出经营活动税收管理证明》，并加盖县以上（含本级）税务局（分局）印章。</w:t>
      </w:r>
      <w:r>
        <w:rPr>
          <w:rFonts w:hint="eastAsia" w:ascii="微软雅黑" w:hAnsi="微软雅黑" w:eastAsia="微软雅黑" w:cs="微软雅黑"/>
          <w:color w:val="333333"/>
          <w:kern w:val="0"/>
          <w:sz w:val="24"/>
          <w:szCs w:val="24"/>
          <w:bdr w:val="none" w:color="auto" w:sz="0" w:space="0"/>
          <w:shd w:val="clear" w:fill="CCCCCC"/>
          <w:lang w:val="en-US" w:eastAsia="zh-CN" w:bidi="ar"/>
        </w:rPr>
        <w:br w:type="textWrapping"/>
      </w:r>
      <w:r>
        <w:rPr>
          <w:rFonts w:hint="eastAsia" w:ascii="微软雅黑" w:hAnsi="微软雅黑" w:eastAsia="微软雅黑" w:cs="微软雅黑"/>
          <w:color w:val="333333"/>
          <w:kern w:val="0"/>
          <w:sz w:val="24"/>
          <w:szCs w:val="24"/>
          <w:bdr w:val="none" w:color="auto" w:sz="0" w:space="0"/>
          <w:shd w:val="clear" w:fill="CCCCCC"/>
          <w:lang w:val="en-US" w:eastAsia="zh-CN" w:bidi="ar"/>
        </w:rPr>
        <w:t>    纳税人应当于外出经营地开始前，持《外出经营活动税收管理证明》向外出经营地税务机关报验登记；自《外出经营活动税收管理证明》签发之日起30日内未办理报验登记的，所持证明作废，纳税人需要向税务机关重新申请开具。</w:t>
      </w:r>
      <w:r>
        <w:rPr>
          <w:rFonts w:hint="eastAsia" w:ascii="微软雅黑" w:hAnsi="微软雅黑" w:eastAsia="微软雅黑" w:cs="微软雅黑"/>
          <w:color w:val="333333"/>
          <w:kern w:val="0"/>
          <w:sz w:val="24"/>
          <w:szCs w:val="24"/>
          <w:bdr w:val="none" w:color="auto" w:sz="0" w:space="0"/>
          <w:shd w:val="clear" w:fill="CCCCCC"/>
          <w:lang w:val="en-US" w:eastAsia="zh-CN" w:bidi="ar"/>
        </w:rPr>
        <w:br w:type="textWrapping"/>
      </w:r>
      <w:r>
        <w:rPr>
          <w:rFonts w:hint="eastAsia" w:ascii="微软雅黑" w:hAnsi="微软雅黑" w:eastAsia="微软雅黑" w:cs="微软雅黑"/>
          <w:color w:val="333333"/>
          <w:kern w:val="0"/>
          <w:sz w:val="24"/>
          <w:szCs w:val="24"/>
          <w:bdr w:val="none" w:color="auto" w:sz="0" w:space="0"/>
          <w:shd w:val="clear" w:fill="CCCCCC"/>
          <w:lang w:val="en-US" w:eastAsia="zh-CN" w:bidi="ar"/>
        </w:rPr>
        <w:t xml:space="preserve">纳税人税务登记地税务机关应当加强对外出经营纳税人的税收管理，定期通报《外出经营活动税收管理证明》开具情况。 </w:t>
      </w:r>
      <w:r>
        <w:rPr>
          <w:rFonts w:hint="eastAsia" w:ascii="微软雅黑" w:hAnsi="微软雅黑" w:eastAsia="微软雅黑" w:cs="微软雅黑"/>
          <w:color w:val="333333"/>
          <w:kern w:val="0"/>
          <w:sz w:val="24"/>
          <w:szCs w:val="24"/>
          <w:bdr w:val="none" w:color="auto" w:sz="0" w:space="0"/>
          <w:lang w:val="en-US" w:eastAsia="zh-CN" w:bidi="ar"/>
        </w:rPr>
        <w:br w:type="textWrapping"/>
      </w:r>
      <w:r>
        <w:rPr>
          <w:rFonts w:hint="eastAsia" w:ascii="微软雅黑" w:hAnsi="微软雅黑" w:eastAsia="微软雅黑" w:cs="微软雅黑"/>
          <w:color w:val="333333"/>
          <w:kern w:val="0"/>
          <w:sz w:val="24"/>
          <w:szCs w:val="24"/>
          <w:bdr w:val="none" w:color="auto" w:sz="0" w:space="0"/>
          <w:lang w:val="en-US" w:eastAsia="zh-CN" w:bidi="ar"/>
        </w:rPr>
        <w:t>    四、本公告自公布之日起30日后施行。《国家税务总局关于完善税务登记管理若干问题的通知》（国税发〔2006〕37号）中的第六条第三款“对应领取而未领取工商营业执照临时经营的，不得办理临时税务登记，但必须照章征税，也不得向其出售发票；确需开具发票的，可以向税务机关申请，先缴税再由税务机关为其代开发票。”同时作废。</w:t>
      </w:r>
      <w:r>
        <w:rPr>
          <w:rFonts w:hint="eastAsia" w:ascii="微软雅黑" w:hAnsi="微软雅黑" w:eastAsia="微软雅黑" w:cs="微软雅黑"/>
          <w:color w:val="333333"/>
          <w:kern w:val="0"/>
          <w:sz w:val="24"/>
          <w:szCs w:val="24"/>
          <w:bdr w:val="none" w:color="auto" w:sz="0" w:space="0"/>
          <w:lang w:val="en-US" w:eastAsia="zh-CN" w:bidi="ar"/>
        </w:rPr>
        <w:br w:type="textWrapping"/>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kern w:val="0"/>
          <w:sz w:val="24"/>
          <w:szCs w:val="24"/>
          <w:bdr w:val="none" w:color="auto" w:sz="0" w:space="0"/>
          <w:lang w:val="en-US" w:eastAsia="zh-CN" w:bidi="ar"/>
        </w:rPr>
      </w:pP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    分送：各省、自治区、直辖市和计划单列市国家税务局、地方税务局。</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lef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righ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国家税务总局</w:t>
      </w:r>
    </w:p>
    <w:p>
      <w:pPr>
        <w:keepNext w:val="0"/>
        <w:keepLines w:val="0"/>
        <w:widowControl/>
        <w:suppressLineNumbers w:val="0"/>
        <w:pBdr>
          <w:top w:val="none" w:color="auto" w:sz="0" w:space="0"/>
          <w:left w:val="none" w:color="auto" w:sz="0" w:space="0"/>
          <w:bottom w:val="none" w:color="auto" w:sz="0" w:space="0"/>
          <w:right w:val="none" w:color="auto" w:sz="0" w:space="0"/>
        </w:pBdr>
        <w:spacing w:line="540" w:lineRule="atLeast"/>
        <w:jc w:val="right"/>
        <w:rPr>
          <w:rFonts w:hint="eastAsia" w:ascii="微软雅黑" w:hAnsi="微软雅黑" w:eastAsia="微软雅黑" w:cs="微软雅黑"/>
          <w:color w:val="333333"/>
          <w:sz w:val="24"/>
          <w:szCs w:val="24"/>
        </w:rPr>
      </w:pPr>
      <w:r>
        <w:rPr>
          <w:rFonts w:hint="eastAsia" w:ascii="微软雅黑" w:hAnsi="微软雅黑" w:eastAsia="微软雅黑" w:cs="微软雅黑"/>
          <w:color w:val="333333"/>
          <w:kern w:val="0"/>
          <w:sz w:val="24"/>
          <w:szCs w:val="24"/>
          <w:bdr w:val="none" w:color="auto" w:sz="0" w:space="0"/>
          <w:lang w:val="en-US" w:eastAsia="zh-CN" w:bidi="ar"/>
        </w:rPr>
        <w:t>二○一一年三月二十一日</w:t>
      </w:r>
    </w:p>
    <w:p>
      <w:pPr>
        <w:rPr>
          <w:b/>
          <w:bCs/>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50F3C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hint="eastAsia" w:ascii="宋体" w:hAnsi="宋体" w:eastAsia="宋体" w:cs="宋体"/>
      <w:b/>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rPr>
      <w:sz w:val="24"/>
    </w:rPr>
  </w:style>
  <w:style w:type="character" w:styleId="6">
    <w:name w:val="FollowedHyperlink"/>
    <w:basedOn w:val="5"/>
    <w:uiPriority w:val="0"/>
    <w:rPr>
      <w:color w:val="333333"/>
      <w:u w:val="none"/>
    </w:rPr>
  </w:style>
  <w:style w:type="character" w:styleId="7">
    <w:name w:val="Hyperlink"/>
    <w:basedOn w:val="5"/>
    <w:uiPriority w:val="0"/>
    <w:rPr>
      <w:color w:val="333333"/>
      <w:u w:val="none"/>
    </w:rPr>
  </w:style>
  <w:style w:type="character" w:customStyle="1" w:styleId="8">
    <w:name w:val="hao1"/>
    <w:basedOn w:val="5"/>
    <w:uiPriority w:val="0"/>
    <w:rPr>
      <w:b/>
    </w:rPr>
  </w:style>
  <w:style w:type="character" w:customStyle="1" w:styleId="9">
    <w:name w:val="wz"/>
    <w:basedOn w:val="5"/>
    <w:uiPriority w:val="0"/>
    <w:rPr>
      <w:vanish/>
      <w:color w:val="80808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2020-11-17T06:49:59Z</dcterms:created>
  <dc:creator>Administrator</dc:creator>
  <cp:lastModifiedBy>Administrator</cp:lastModifiedBy>
  <dcterms:modified xsi:type="dcterms:W3CDTF">2020-11-17T06:50:29Z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