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0CF42">
      <w:pPr>
        <w:pStyle w:val="7"/>
        <w:widowControl/>
      </w:pPr>
      <mc:AlternateContent>
        <mc:Choice Requires="wpsCustomData">
          <wpsCustomData:docfieldStart id="0" docfieldname="标题_1" hidden="0" print="1" readonly="0" index="3"/>
        </mc:Choice>
      </mc:AlternateContent>
      <w:r>
        <w:rPr>
          <w:rFonts w:hint="eastAsia"/>
          <w:lang w:val="en-US" w:eastAsia="zh-CN"/>
        </w:rPr>
        <w:t>关于</w:t>
      </w:r>
      <w:r>
        <w:t>收取农村供水工程</w:t>
      </w:r>
      <w:r>
        <w:rPr>
          <w:rFonts w:hint="eastAsia"/>
          <w:lang w:val="en-US" w:eastAsia="zh-CN"/>
        </w:rPr>
        <w:t>建设</w:t>
      </w:r>
      <w:r>
        <w:t>安装配套费</w:t>
      </w:r>
    </w:p>
    <w:p w14:paraId="29EB2EA6">
      <w:pPr>
        <w:pStyle w:val="7"/>
        <w:widowControl/>
      </w:pPr>
      <w:r>
        <w:rPr>
          <w:rFonts w:hint="eastAsia"/>
          <w:lang w:val="en-US" w:eastAsia="zh-CN"/>
        </w:rPr>
        <w:t>拟定</w:t>
      </w:r>
      <w:r>
        <w:t>方案</w:t>
      </w:r>
      <mc:AlternateContent>
        <mc:Choice Requires="wpsCustomData">
          <wpsCustomData:docfieldEnd id="0"/>
        </mc:Choice>
      </mc:AlternateContent>
      <w:bookmarkStart w:id="0" w:name="_GoBack"/>
      <w:bookmarkEnd w:id="0"/>
    </w:p>
    <w:p w14:paraId="11501F25">
      <w:pPr>
        <w:pStyle w:val="5"/>
        <w:bidi w:val="0"/>
        <w:spacing w:beforeAutospacing="0" w:afterAutospacing="0" w:line="300" w:lineRule="exact"/>
      </w:pPr>
    </w:p>
    <w:p w14:paraId="56B72C32">
      <w:pPr>
        <w:pStyle w:val="5"/>
        <w:widowControl/>
      </w:pPr>
      <w:r>
        <w:t>为深入推进</w:t>
      </w:r>
      <w:r>
        <w:rPr>
          <w:rFonts w:hint="eastAsia"/>
          <w:lang w:val="en-US" w:eastAsia="zh-CN"/>
        </w:rPr>
        <w:t>我县城乡供水一体化</w:t>
      </w:r>
      <w:r>
        <w:t>进村入户工程，解决农村居民饮水安全问题，夯实乡村振兴水利基础，根据国家乡村振兴战略部署</w:t>
      </w:r>
      <w:r>
        <w:rPr>
          <w:spacing w:val="-6"/>
        </w:rPr>
        <w:t>及水利工程建设要求，结合我县农村供水工程实际，制定本</w:t>
      </w:r>
      <w:r>
        <w:t>方案。</w:t>
      </w:r>
    </w:p>
    <w:p w14:paraId="6875480A">
      <w:pPr>
        <w:pStyle w:val="5"/>
        <w:widowControl/>
      </w:pPr>
      <w:r>
        <w:t>本方案旨在通过明确</w:t>
      </w:r>
      <w:r>
        <w:rPr>
          <w:rFonts w:hint="eastAsia"/>
          <w:lang w:val="en-US" w:eastAsia="zh-CN"/>
        </w:rPr>
        <w:t>城乡供水一体化</w:t>
      </w:r>
      <w:r>
        <w:t>进村入户</w:t>
      </w:r>
      <w:r>
        <w:rPr>
          <w:rFonts w:hint="eastAsia"/>
          <w:lang w:val="en-US" w:eastAsia="zh-CN"/>
        </w:rPr>
        <w:t>工</w:t>
      </w:r>
      <w:r>
        <w:t>程</w:t>
      </w:r>
      <w:r>
        <w:rPr>
          <w:rFonts w:hint="eastAsia"/>
          <w:lang w:val="en-US" w:eastAsia="zh-CN"/>
        </w:rPr>
        <w:t>建设</w:t>
      </w:r>
      <w:r>
        <w:t>安装配套费的收取标准、依据及保障措施，实现 “三个确保”：确保收费行为符合国家及省级政策规定，确保费用标准与工程成本相匹配，确保农户负担固定可控（</w:t>
      </w:r>
      <w:r>
        <w:rPr>
          <w:rFonts w:hint="eastAsia"/>
          <w:lang w:val="en-US" w:eastAsia="zh-CN"/>
        </w:rPr>
        <w:t>拟定</w:t>
      </w:r>
      <w:r>
        <w:t>统一按 1200 元／户收取），为农村供水工程顺利实施提供制度支撑。</w:t>
      </w:r>
    </w:p>
    <w:p w14:paraId="65BDEDDC">
      <w:pPr>
        <w:pStyle w:val="2"/>
        <w:widowControl/>
        <w:numPr>
          <w:ilvl w:val="0"/>
          <w:numId w:val="0"/>
        </w:numPr>
        <w:topLinePunct w:val="0"/>
        <w:ind w:left="0" w:leftChars="0" w:firstLine="640" w:firstLineChars="0"/>
        <w:rPr>
          <w:b w:val="0"/>
        </w:rPr>
      </w:pPr>
      <w:r>
        <w:rPr>
          <w:rFonts w:hint="eastAsia" w:ascii="黑体" w:hAnsi="黑体" w:eastAsia="黑体" w:cs="黑体"/>
          <w:b w:val="0"/>
          <w:kern w:val="44"/>
          <w:sz w:val="32"/>
          <w:szCs w:val="32"/>
        </w:rPr>
        <w:t>一、</w:t>
      </w:r>
      <w:r>
        <w:t>政策依据</w:t>
      </w:r>
    </w:p>
    <w:p w14:paraId="612778DF">
      <w:pPr>
        <w:pStyle w:val="5"/>
        <w:widowControl/>
        <w:numPr>
          <w:ilvl w:val="0"/>
          <w:numId w:val="1"/>
        </w:numPr>
        <w:topLinePunct w:val="0"/>
        <w:ind w:left="0" w:leftChars="0" w:firstLine="616" w:firstLineChars="0"/>
        <w:rPr>
          <w:b w:val="0"/>
        </w:rPr>
      </w:pPr>
      <w:r>
        <w:rPr>
          <w:rStyle w:val="11"/>
        </w:rPr>
        <w:t>国家层面</w:t>
      </w:r>
      <w:r>
        <w:t>：《农村饮水安全工程建设管理办法》（发改农经〔2013〕2673 号）</w:t>
      </w:r>
      <w:r>
        <w:rPr>
          <w:rFonts w:hint="eastAsia"/>
          <w:lang w:eastAsia="zh-CN"/>
        </w:rPr>
        <w:t>、</w:t>
      </w:r>
      <w:r>
        <w:t>《关于做好农村供水保障工作的指导意见》（水农〔2021〕244 号）及农村饮水安全工程建设管理相关规定，明确农村供水工程费用需通过合规程序制定，兼顾成本与民生需求，允许通过财政补贴弥补成本缺口。</w:t>
      </w:r>
    </w:p>
    <w:p w14:paraId="154D620B">
      <w:pPr>
        <w:pStyle w:val="5"/>
        <w:widowControl/>
        <w:numPr>
          <w:ilvl w:val="0"/>
          <w:numId w:val="1"/>
        </w:numPr>
        <w:topLinePunct w:val="0"/>
        <w:ind w:left="0" w:leftChars="0" w:firstLine="616" w:firstLineChars="0"/>
        <w:rPr>
          <w:b w:val="0"/>
        </w:rPr>
      </w:pPr>
      <w:r>
        <w:rPr>
          <w:rStyle w:val="11"/>
        </w:rPr>
        <w:t>省级层面</w:t>
      </w:r>
      <w:r>
        <w:t>：</w:t>
      </w:r>
    </w:p>
    <w:p w14:paraId="2B0C551C">
      <w:pPr>
        <w:pStyle w:val="5"/>
        <w:widowControl/>
        <w:numPr>
          <w:ilvl w:val="0"/>
          <w:numId w:val="0"/>
        </w:numPr>
        <w:topLinePunct w:val="0"/>
        <w:ind w:firstLine="616" w:firstLineChars="200"/>
      </w:pPr>
      <w:r>
        <w:rPr>
          <w:rFonts w:hint="eastAsia"/>
          <w:lang w:val="en-US" w:eastAsia="zh-CN"/>
        </w:rPr>
        <w:t>1.</w:t>
      </w:r>
      <w:r>
        <w:t>《湖南省城镇供水价格管理实施细则》（湘发改价调规〔2022〕620 号）：明确供水工程安装费可按规定向自愿安装的特殊居民用户收取，严禁滥用垄断地位收费，支持财政补贴降低用户负担。</w:t>
      </w:r>
    </w:p>
    <w:p w14:paraId="7CE077FD">
      <w:pPr>
        <w:pStyle w:val="5"/>
        <w:widowControl/>
        <w:numPr>
          <w:ilvl w:val="0"/>
          <w:numId w:val="0"/>
        </w:numPr>
        <w:topLinePunct w:val="0"/>
        <w:ind w:firstLine="616" w:firstLineChars="200"/>
        <w:rPr>
          <w:rFonts w:hint="eastAsia" w:ascii="仿宋_GB2312" w:hAnsi="仿宋_GB2312" w:eastAsia="仿宋_GB2312" w:cs="仿宋_GB2312"/>
          <w:b w:val="0"/>
          <w:color w:val="3370FF"/>
        </w:rPr>
      </w:pPr>
      <w:r>
        <w:rPr>
          <w:rFonts w:hint="eastAsia"/>
          <w:lang w:val="en-US" w:eastAsia="zh-CN"/>
        </w:rPr>
        <w:t>2.湖南省和改革委员会解读</w:t>
      </w:r>
      <w:r>
        <w:t>《湖南省定价目录》(湘发改价调规〔2023〕125 号)</w:t>
      </w:r>
      <w:r>
        <w:rPr>
          <w:rFonts w:hint="default"/>
        </w:rPr>
        <w:t> </w:t>
      </w:r>
      <w:r>
        <w:t>：</w:t>
      </w:r>
      <w:r>
        <w:rPr>
          <w:rFonts w:hint="eastAsia"/>
          <w:lang w:eastAsia="zh-CN"/>
        </w:rPr>
        <w:t>“</w:t>
      </w:r>
      <w:r>
        <w:rPr>
          <w:rFonts w:hint="eastAsia"/>
          <w:lang w:val="en-US" w:eastAsia="zh-CN"/>
        </w:rPr>
        <w:t>重要专业服务”收费项目所包含的“电力工程安装配套费”和“自来水工程安装配套费”实行市场调节价。</w:t>
      </w:r>
    </w:p>
    <w:p w14:paraId="5F2DFB5D">
      <w:pPr>
        <w:pStyle w:val="5"/>
        <w:widowControl/>
        <w:numPr>
          <w:ilvl w:val="0"/>
          <w:numId w:val="0"/>
        </w:numPr>
        <w:topLinePunct w:val="0"/>
        <w:ind w:firstLine="616" w:firstLineChars="200"/>
      </w:pPr>
      <w:r>
        <w:rPr>
          <w:rFonts w:hint="eastAsia"/>
          <w:lang w:val="en-US" w:eastAsia="zh-CN"/>
        </w:rPr>
        <w:t>3.</w:t>
      </w:r>
      <w:r>
        <w:t>《关于印发清理规范城镇供水供电供气供暖行业收费促进行业高质量发展的实施方案的通知》（湘发改价调规〔2021〕607 号）：明确安装费用构成及成本核算要求，鼓励通过政府补贴、企业让利等方式降低用户缴费金额。</w:t>
      </w:r>
    </w:p>
    <w:p w14:paraId="4D2AEF01">
      <w:pPr>
        <w:pStyle w:val="5"/>
        <w:widowControl/>
        <w:numPr>
          <w:ilvl w:val="0"/>
          <w:numId w:val="2"/>
        </w:numPr>
        <w:topLinePunct w:val="0"/>
        <w:ind w:firstLine="616" w:firstLineChars="200"/>
      </w:pPr>
      <w:r>
        <w:rPr>
          <w:rStyle w:val="11"/>
        </w:rPr>
        <w:t>县级层面</w:t>
      </w:r>
      <w:r>
        <w:t>：</w:t>
      </w:r>
    </w:p>
    <w:p w14:paraId="73BBBF66">
      <w:pPr>
        <w:pStyle w:val="5"/>
        <w:widowControl/>
        <w:numPr>
          <w:ilvl w:val="0"/>
          <w:numId w:val="0"/>
        </w:numPr>
        <w:topLinePunct w:val="0"/>
        <w:ind w:firstLine="616" w:firstLineChars="200"/>
        <w:rPr>
          <w:rFonts w:hint="default" w:eastAsia="仿宋_GB2312"/>
          <w:lang w:val="en-US" w:eastAsia="zh-CN"/>
        </w:rPr>
      </w:pPr>
      <w:r>
        <w:t>县财政投资评审中心《</w:t>
      </w:r>
      <w:r>
        <w:rPr>
          <w:rFonts w:hint="eastAsia"/>
        </w:rPr>
        <w:t>蓝山县城乡供水一体化进村入户(农村饮用水保障)项目--村庄项目名称:给水管道安装项目</w:t>
      </w:r>
      <w:r>
        <w:t>》（</w:t>
      </w:r>
      <w:r>
        <w:rPr>
          <w:rFonts w:hint="eastAsia"/>
          <w:lang w:val="en-US" w:eastAsia="zh-CN"/>
        </w:rPr>
        <w:t>蓝财评预</w:t>
      </w:r>
      <w:r>
        <w:rPr>
          <w:rFonts w:hint="eastAsia" w:ascii="仿宋_GB2312" w:hAnsi="仿宋_GB2312" w:eastAsia="仿宋_GB2312" w:cs="仿宋_GB2312"/>
          <w:lang w:val="en-US" w:eastAsia="zh-CN"/>
        </w:rPr>
        <w:t>［</w:t>
      </w:r>
      <w:r>
        <w:t>2025</w:t>
      </w:r>
      <w:r>
        <w:rPr>
          <w:rFonts w:hint="eastAsia" w:ascii="仿宋_GB2312" w:hAnsi="仿宋_GB2312" w:eastAsia="仿宋_GB2312" w:cs="仿宋_GB2312"/>
          <w:lang w:val="en-US" w:eastAsia="zh-CN"/>
        </w:rPr>
        <w:t>］</w:t>
      </w:r>
      <w:r>
        <w:rPr>
          <w:rFonts w:hint="eastAsia"/>
          <w:lang w:val="en-US" w:eastAsia="zh-CN"/>
        </w:rPr>
        <w:t>120~125号</w:t>
      </w:r>
      <w:r>
        <w:t>），</w:t>
      </w:r>
      <w:r>
        <w:rPr>
          <w:rFonts w:hint="eastAsia"/>
          <w:lang w:eastAsia="zh-CN"/>
        </w:rPr>
        <w:t>城乡供水一体化进村入户项目六村预算结论</w:t>
      </w:r>
      <w:r>
        <w:rPr>
          <w:rFonts w:hint="eastAsia"/>
          <w:lang w:val="en-US" w:eastAsia="zh-CN"/>
        </w:rPr>
        <w:t>11813842.21元，户数3363户，每户均价3512.89元，</w:t>
      </w:r>
      <w:r>
        <w:t xml:space="preserve">确定安装费用区间为 </w:t>
      </w:r>
      <w:r>
        <w:rPr>
          <w:rFonts w:hint="eastAsia"/>
          <w:lang w:eastAsia="zh-CN"/>
        </w:rPr>
        <w:t>2400－4800</w:t>
      </w:r>
      <w:r>
        <w:t>元 ／ 户，为成本分摊与补贴测算提供依据。</w:t>
      </w:r>
    </w:p>
    <w:p w14:paraId="1B324902">
      <w:pPr>
        <w:pStyle w:val="2"/>
        <w:widowControl/>
        <w:numPr>
          <w:ilvl w:val="0"/>
          <w:numId w:val="0"/>
        </w:numPr>
        <w:topLinePunct w:val="0"/>
        <w:ind w:firstLine="640" w:firstLineChars="200"/>
        <w:rPr>
          <w:b w:val="0"/>
        </w:rPr>
      </w:pPr>
      <w:r>
        <w:rPr>
          <w:rFonts w:hint="eastAsia" w:ascii="黑体" w:hAnsi="黑体" w:eastAsia="黑体" w:cs="黑体"/>
          <w:b w:val="0"/>
          <w:kern w:val="44"/>
          <w:sz w:val="32"/>
          <w:szCs w:val="32"/>
        </w:rPr>
        <w:t>二、</w:t>
      </w:r>
      <w:r>
        <w:t>收费标准拟定</w:t>
      </w:r>
    </w:p>
    <w:p w14:paraId="2DDF3BE8">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（一）</w:t>
      </w:r>
      <w:r>
        <w:t>核心原则</w:t>
      </w:r>
    </w:p>
    <w:p w14:paraId="70391AA0">
      <w:pPr>
        <w:pStyle w:val="5"/>
        <w:widowControl/>
        <w:numPr>
          <w:ilvl w:val="0"/>
          <w:numId w:val="3"/>
        </w:numPr>
        <w:topLinePunct w:val="0"/>
        <w:ind w:left="0" w:leftChars="0" w:firstLine="616" w:firstLineChars="0"/>
        <w:rPr>
          <w:b w:val="0"/>
        </w:rPr>
      </w:pPr>
      <w:r>
        <w:rPr>
          <w:rStyle w:val="12"/>
        </w:rPr>
        <w:t>固定收费原则</w:t>
      </w:r>
      <w:r>
        <w:t>：统一执行 1200 元 ／ 户的农户实收标准</w:t>
      </w:r>
      <w:r>
        <w:rPr>
          <w:spacing wpsCustomData:val="-6" w:val="7"/>
        </w:rPr>
        <w:t>，不区分地形、管线长度，简化收费流程，降</w:t>
      </w:r>
      <w:r>
        <w:rPr>
          <w:spacing wpsCustomData:val="7" w:val="13"/>
        </w:rPr>
        <w:t>低农户理</w:t>
      </w:r>
      <w:r>
        <w:rPr>
          <w:spacing wpsCustomData:val="-6" w:val="-6"/>
        </w:rPr>
        <w:t>解</w:t>
      </w:r>
      <w:r>
        <w:t>成本。</w:t>
      </w:r>
    </w:p>
    <w:p w14:paraId="6EE9C7F1">
      <w:pPr>
        <w:pStyle w:val="5"/>
        <w:widowControl/>
        <w:numPr>
          <w:ilvl w:val="0"/>
          <w:numId w:val="3"/>
        </w:numPr>
        <w:topLinePunct w:val="0"/>
        <w:ind w:left="0" w:leftChars="0" w:firstLine="616" w:firstLineChars="0"/>
        <w:rPr>
          <w:b w:val="0"/>
        </w:rPr>
      </w:pPr>
      <w:r>
        <w:rPr>
          <w:rStyle w:val="12"/>
        </w:rPr>
        <w:t>成本兜底原则</w:t>
      </w:r>
      <w:r>
        <w:t>：县财政及项目资金共同覆盖工程成本（</w:t>
      </w:r>
      <w:r>
        <w:rPr>
          <w:rFonts w:hint="eastAsia"/>
          <w:lang w:eastAsia="zh-CN"/>
        </w:rPr>
        <w:t>2400－4800</w:t>
      </w:r>
      <w:r>
        <w:t>元 ／ 户）与农户实收的差额，确保工程可持续。</w:t>
      </w:r>
    </w:p>
    <w:p w14:paraId="0BCD058A">
      <w:pPr>
        <w:pStyle w:val="5"/>
        <w:widowControl/>
        <w:numPr>
          <w:ilvl w:val="0"/>
          <w:numId w:val="3"/>
        </w:numPr>
        <w:topLinePunct w:val="0"/>
        <w:ind w:left="0" w:leftChars="0" w:firstLine="616" w:firstLineChars="0"/>
        <w:rPr>
          <w:b w:val="0"/>
        </w:rPr>
      </w:pPr>
      <w:r>
        <w:rPr>
          <w:rStyle w:val="12"/>
        </w:rPr>
        <w:t>公开透明原则</w:t>
      </w:r>
      <w:r>
        <w:t>：收费标准、成本构成全程公示，接受</w:t>
      </w:r>
      <w:r>
        <w:rPr>
          <w:rFonts w:hint="eastAsia"/>
          <w:lang w:val="en-US" w:eastAsia="zh-CN"/>
        </w:rPr>
        <w:t>用</w:t>
      </w:r>
      <w:r>
        <w:t>户及社会监督。</w:t>
      </w:r>
    </w:p>
    <w:p w14:paraId="2EC686E5">
      <w:pPr>
        <w:pStyle w:val="5"/>
        <w:widowControl/>
        <w:numPr>
          <w:ilvl w:val="0"/>
          <w:numId w:val="3"/>
        </w:numPr>
        <w:topLinePunct w:val="0"/>
        <w:ind w:left="0" w:leftChars="0" w:firstLine="616" w:firstLineChars="0"/>
        <w:rPr>
          <w:b w:val="0"/>
        </w:rPr>
      </w:pPr>
      <w:r>
        <w:rPr>
          <w:rStyle w:val="12"/>
        </w:rPr>
        <w:t>特困减免原则</w:t>
      </w:r>
      <w:r>
        <w:t>：对低保户、五保户等特殊群体实行全额或部分减免，确保饮水安全普惠性。</w:t>
      </w:r>
    </w:p>
    <w:p w14:paraId="60A20723">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（二）</w:t>
      </w:r>
      <w:r>
        <w:t>具体收费标准</w:t>
      </w:r>
    </w:p>
    <w:p w14:paraId="0671FB36">
      <w:pPr>
        <w:pStyle w:val="5"/>
        <w:widowControl/>
      </w:pPr>
      <w:r>
        <w:rPr>
          <w:rStyle w:val="12"/>
        </w:rPr>
        <w:t>统一收费标准</w:t>
      </w:r>
      <w:r>
        <w:t>：1200元／户（农户实际缴纳金额）</w:t>
      </w:r>
    </w:p>
    <w:p w14:paraId="7C2609CB">
      <w:pPr>
        <w:pStyle w:val="5"/>
        <w:widowControl/>
      </w:pPr>
      <w:r>
        <w:rPr>
          <w:b/>
        </w:rPr>
        <w:t>费用覆盖范围</w:t>
      </w:r>
      <w:r>
        <w:t>：</w:t>
      </w:r>
    </w:p>
    <w:p w14:paraId="25ECFD3B">
      <w:pPr>
        <w:pStyle w:val="5"/>
        <w:widowControl/>
        <w:numPr>
          <w:ilvl w:val="0"/>
          <w:numId w:val="0"/>
        </w:numPr>
        <w:topLinePunct w:val="0"/>
        <w:ind w:firstLine="924" w:firstLineChars="300"/>
        <w:rPr>
          <w:b w:val="0"/>
          <w:color w:val="3370FF"/>
        </w:rPr>
      </w:pPr>
      <w:r>
        <w:t>计量设备、安装人工费等已纳入工程总成本，不单独向终端用户收取。</w:t>
      </w:r>
    </w:p>
    <w:p w14:paraId="766EE2B6">
      <w:pPr>
        <w:pStyle w:val="2"/>
        <w:widowControl/>
        <w:numPr>
          <w:ilvl w:val="0"/>
          <w:numId w:val="0"/>
        </w:numPr>
        <w:topLinePunct w:val="0"/>
        <w:ind w:left="0" w:leftChars="0" w:firstLine="640" w:firstLineChars="0"/>
        <w:rPr>
          <w:b w:val="0"/>
        </w:rPr>
      </w:pPr>
      <w:r>
        <w:rPr>
          <w:rFonts w:hint="eastAsia" w:ascii="黑体" w:hAnsi="黑体" w:eastAsia="黑体" w:cs="黑体"/>
          <w:b w:val="0"/>
          <w:kern w:val="44"/>
          <w:sz w:val="32"/>
          <w:szCs w:val="32"/>
        </w:rPr>
        <w:t>三、</w:t>
      </w:r>
      <w:r>
        <w:t>费用构成与补贴机制</w:t>
      </w:r>
    </w:p>
    <w:p w14:paraId="44E18309">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（一）</w:t>
      </w:r>
      <w:r>
        <w:t>费用构成（参照湘发改价调规〔2021〕607 号）</w:t>
      </w:r>
    </w:p>
    <w:p w14:paraId="49B75EBB">
      <w:pPr>
        <w:pStyle w:val="5"/>
        <w:widowControl/>
        <w:numPr>
          <w:ilvl w:val="0"/>
          <w:numId w:val="0"/>
        </w:numPr>
        <w:topLinePunct w:val="0"/>
        <w:ind w:left="0" w:leftChars="0" w:firstLine="616" w:firstLineChars="0"/>
        <w:rPr>
          <w:b w:val="0"/>
        </w:rPr>
      </w:pPr>
      <w:r>
        <w:rPr>
          <w:rFonts w:hint="default" w:ascii="Times New Roman" w:hAnsi="Times New Roman" w:eastAsia="仿宋_GB2312" w:cs="仿宋_GB2312"/>
          <w:b w:val="0"/>
          <w:spacing w:val="-6"/>
          <w:sz w:val="32"/>
          <w:szCs w:val="32"/>
        </w:rPr>
        <w:t>1．</w:t>
      </w:r>
      <w:r>
        <w:rPr>
          <w:rStyle w:val="12"/>
        </w:rPr>
        <w:t>工程材料费（占比 60％）</w:t>
      </w:r>
      <w:r>
        <w:t>：管道、水表、闸阀等设备采购费用，户均 1440－3000元。</w:t>
      </w:r>
    </w:p>
    <w:p w14:paraId="75A86643">
      <w:pPr>
        <w:pStyle w:val="5"/>
        <w:widowControl/>
        <w:numPr>
          <w:ilvl w:val="0"/>
          <w:numId w:val="0"/>
        </w:numPr>
        <w:topLinePunct w:val="0"/>
        <w:ind w:left="0" w:leftChars="0" w:firstLine="616" w:firstLineChars="0"/>
        <w:rPr>
          <w:b w:val="0"/>
        </w:rPr>
      </w:pPr>
      <w:r>
        <w:rPr>
          <w:rFonts w:hint="default" w:ascii="Times New Roman" w:hAnsi="Times New Roman" w:eastAsia="仿宋_GB2312" w:cs="仿宋_GB2312"/>
          <w:b w:val="0"/>
          <w:spacing w:val="-6"/>
          <w:sz w:val="32"/>
          <w:szCs w:val="32"/>
        </w:rPr>
        <w:t>2．</w:t>
      </w:r>
      <w:r>
        <w:rPr>
          <w:rStyle w:val="12"/>
        </w:rPr>
        <w:t>施工安装费（占比 25％）</w:t>
      </w:r>
      <w:r>
        <w:t>：开挖、铺设、调试等人工费用，户均 600－1250元。</w:t>
      </w:r>
    </w:p>
    <w:p w14:paraId="057866FA">
      <w:pPr>
        <w:pStyle w:val="5"/>
        <w:widowControl/>
        <w:numPr>
          <w:ilvl w:val="0"/>
          <w:numId w:val="0"/>
        </w:numPr>
        <w:topLinePunct w:val="0"/>
        <w:ind w:left="0" w:leftChars="0" w:firstLine="616" w:firstLineChars="0"/>
        <w:rPr>
          <w:b w:val="0"/>
        </w:rPr>
      </w:pPr>
      <w:r>
        <w:rPr>
          <w:rFonts w:hint="default" w:ascii="Times New Roman" w:hAnsi="Times New Roman" w:eastAsia="仿宋_GB2312" w:cs="仿宋_GB2312"/>
          <w:b w:val="0"/>
          <w:spacing w:val="-6"/>
          <w:sz w:val="32"/>
          <w:szCs w:val="32"/>
        </w:rPr>
        <w:t>3．</w:t>
      </w:r>
      <w:r>
        <w:rPr>
          <w:rStyle w:val="12"/>
        </w:rPr>
        <w:t>其他费用（占比 15％）</w:t>
      </w:r>
      <w:r>
        <w:t>：监理、质量检测、临时设施等费用，户均 360－</w:t>
      </w:r>
      <w:r>
        <w:rPr>
          <w:rFonts w:hint="eastAsia"/>
          <w:lang w:val="en-US" w:eastAsia="zh-CN"/>
        </w:rPr>
        <w:t>5</w:t>
      </w:r>
      <w:r>
        <w:t>50元。</w:t>
      </w:r>
    </w:p>
    <w:p w14:paraId="276DD174">
      <w:pPr>
        <w:pStyle w:val="5"/>
        <w:widowControl/>
        <w:numPr>
          <w:ilvl w:val="0"/>
          <w:numId w:val="0"/>
        </w:numPr>
        <w:topLinePunct w:val="0"/>
        <w:ind w:left="0" w:leftChars="0" w:firstLine="616" w:firstLineChars="0"/>
        <w:rPr>
          <w:b w:val="0"/>
        </w:rPr>
      </w:pPr>
      <w:r>
        <w:rPr>
          <w:rFonts w:hint="default" w:ascii="Times New Roman" w:hAnsi="Times New Roman" w:eastAsia="仿宋_GB2312" w:cs="仿宋_GB2312"/>
          <w:b w:val="0"/>
          <w:spacing w:val="-6"/>
          <w:sz w:val="32"/>
          <w:szCs w:val="32"/>
        </w:rPr>
        <w:t>4．</w:t>
      </w:r>
      <w:r>
        <w:rPr>
          <w:rStyle w:val="12"/>
        </w:rPr>
        <w:t>户均总成本</w:t>
      </w:r>
      <w:r>
        <w:rPr>
          <w:rStyle w:val="12"/>
          <w:rFonts w:hint="eastAsia"/>
          <w:lang w:val="en-US" w:eastAsia="zh-CN"/>
        </w:rPr>
        <w:t>区间</w:t>
      </w:r>
      <w:r>
        <w:t>：</w:t>
      </w:r>
      <w:r>
        <w:rPr>
          <w:rFonts w:hint="eastAsia"/>
          <w:lang w:eastAsia="zh-CN"/>
        </w:rPr>
        <w:t>2400－4800</w:t>
      </w:r>
      <w:r>
        <w:t>元（与县财政评审中心预审结论一致）。</w:t>
      </w:r>
    </w:p>
    <w:p w14:paraId="476C6B40">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（二）</w:t>
      </w:r>
      <w:r>
        <w:t>差额补贴方案（户均补贴1200－3</w:t>
      </w:r>
      <w:r>
        <w:rPr>
          <w:rFonts w:hint="eastAsia"/>
          <w:lang w:val="en-US" w:eastAsia="zh-CN"/>
        </w:rPr>
        <w:t>6</w:t>
      </w:r>
      <w:r>
        <w:t>00元）</w:t>
      </w:r>
    </w:p>
    <w:p w14:paraId="427A9011">
      <w:pPr>
        <w:pStyle w:val="5"/>
        <w:widowControl/>
        <w:numPr>
          <w:ilvl w:val="0"/>
          <w:numId w:val="0"/>
        </w:numPr>
        <w:topLinePunct w:val="0"/>
        <w:ind w:firstLine="616" w:firstLineChars="200"/>
        <w:rPr>
          <w:b w:val="0"/>
        </w:rPr>
      </w:pPr>
      <w:r>
        <w:rPr>
          <w:rStyle w:val="12"/>
        </w:rPr>
        <w:t>县财政</w:t>
      </w:r>
      <w:r>
        <w:rPr>
          <w:rStyle w:val="12"/>
          <w:rFonts w:hint="eastAsia"/>
          <w:lang w:val="en-US" w:eastAsia="zh-CN"/>
        </w:rPr>
        <w:t>与</w:t>
      </w:r>
      <w:r>
        <w:rPr>
          <w:rStyle w:val="12"/>
        </w:rPr>
        <w:t>项目资金补充</w:t>
      </w:r>
      <w:r>
        <w:rPr>
          <w:rStyle w:val="12"/>
          <w:rFonts w:hint="eastAsia"/>
          <w:lang w:eastAsia="zh-CN"/>
        </w:rPr>
        <w:t>（</w:t>
      </w:r>
      <w:r>
        <w:rPr>
          <w:rFonts w:hint="eastAsia" w:ascii="仿宋_GB2312" w:hAnsi="仿宋_GB2312" w:eastAsia="仿宋_GB2312" w:cs="仿宋_GB2312"/>
          <w:b w:val="0"/>
          <w:bCs w:val="0"/>
          <w:color w:val="0C0C0C"/>
          <w:kern w:val="0"/>
          <w:sz w:val="32"/>
          <w:szCs w:val="32"/>
          <w:lang w:eastAsia="zh-CN"/>
        </w:rPr>
        <w:t>中央预算内资金</w:t>
      </w:r>
      <w:r>
        <w:rPr>
          <w:rFonts w:hint="eastAsia" w:ascii="仿宋_GB2312" w:hAnsi="仿宋_GB2312" w:cs="仿宋_GB2312"/>
          <w:b w:val="0"/>
          <w:bCs w:val="0"/>
          <w:color w:val="0C0C0C"/>
          <w:kern w:val="0"/>
          <w:sz w:val="32"/>
          <w:szCs w:val="32"/>
          <w:lang w:eastAsia="zh-CN"/>
        </w:rPr>
        <w:t>、</w:t>
      </w:r>
      <w:r>
        <w:t>农村饮水安全巩固提升工程等项目资金中统筹</w:t>
      </w:r>
      <w:r>
        <w:rPr>
          <w:rFonts w:hint="eastAsia"/>
          <w:lang w:eastAsia="zh-CN"/>
        </w:rPr>
        <w:t>）</w:t>
      </w:r>
      <w:r>
        <w:t>。</w:t>
      </w:r>
    </w:p>
    <w:p w14:paraId="608307CC">
      <w:pPr>
        <w:pStyle w:val="2"/>
        <w:widowControl/>
        <w:numPr>
          <w:ilvl w:val="0"/>
          <w:numId w:val="0"/>
        </w:numPr>
        <w:topLinePunct w:val="0"/>
        <w:ind w:left="640" w:leftChars="0"/>
        <w:rPr>
          <w:rFonts w:hint="eastAsia" w:ascii="楷体_GB2312" w:hAnsi="楷体_GB2312" w:eastAsia="楷体_GB2312" w:cs="楷体_GB2312"/>
          <w:b w:val="0"/>
        </w:rPr>
      </w:pPr>
      <w:r>
        <w:rPr>
          <w:rFonts w:hint="eastAsia"/>
          <w:lang w:val="en-US" w:eastAsia="zh-CN"/>
        </w:rPr>
        <w:t>四、</w:t>
      </w:r>
      <w:r>
        <w:t>流程</w:t>
      </w:r>
    </w:p>
    <w:p w14:paraId="386B1E0E">
      <w:pPr>
        <w:pStyle w:val="5"/>
        <w:widowControl/>
        <w:numPr>
          <w:ilvl w:val="0"/>
          <w:numId w:val="0"/>
        </w:numPr>
        <w:topLinePunct w:val="0"/>
        <w:ind w:left="0" w:leftChars="0" w:firstLine="616" w:firstLineChars="0"/>
        <w:rPr>
          <w:b w:val="0"/>
        </w:rPr>
      </w:pPr>
      <w:r>
        <w:rPr>
          <w:rFonts w:hint="default" w:ascii="Times New Roman" w:hAnsi="Times New Roman" w:eastAsia="仿宋_GB2312" w:cs="仿宋_GB2312"/>
          <w:b w:val="0"/>
          <w:spacing w:val="-6"/>
          <w:sz w:val="32"/>
          <w:szCs w:val="32"/>
        </w:rPr>
        <w:t>1．</w:t>
      </w:r>
      <w:r>
        <w:rPr>
          <w:rStyle w:val="12"/>
        </w:rPr>
        <w:t>公示告知</w:t>
      </w:r>
      <w:r>
        <w:t>：施工前 15 日，由乡镇联合</w:t>
      </w:r>
      <w:r>
        <w:rPr>
          <w:rFonts w:hint="eastAsia"/>
          <w:lang w:val="en-US" w:eastAsia="zh-CN"/>
        </w:rPr>
        <w:t>自来水公司</w:t>
      </w:r>
      <w:r>
        <w:t>、村委会公示</w:t>
      </w:r>
      <w:r>
        <w:rPr>
          <w:rFonts w:hint="eastAsia"/>
          <w:lang w:eastAsia="zh-CN"/>
        </w:rPr>
        <w:t>《</w:t>
      </w:r>
      <w:r>
        <w:rPr>
          <w:rFonts w:hint="eastAsia"/>
          <w:lang w:val="en-US" w:eastAsia="zh-CN"/>
        </w:rPr>
        <w:t>关于</w:t>
      </w:r>
      <w:r>
        <w:t>收取农村供水工程</w:t>
      </w:r>
      <w:r>
        <w:rPr>
          <w:rFonts w:hint="eastAsia"/>
          <w:lang w:val="en-US" w:eastAsia="zh-CN"/>
        </w:rPr>
        <w:t>建设</w:t>
      </w:r>
      <w:r>
        <w:t>安装配套费</w:t>
      </w:r>
      <w:r>
        <w:rPr>
          <w:rFonts w:hint="eastAsia"/>
          <w:lang w:val="en-US" w:eastAsia="zh-CN"/>
        </w:rPr>
        <w:t>的拟定</w:t>
      </w:r>
      <w:r>
        <w:t>方案</w:t>
      </w:r>
      <w:r>
        <w:rPr>
          <w:rFonts w:hint="eastAsia"/>
          <w:lang w:eastAsia="zh-CN"/>
        </w:rPr>
        <w:t>》</w:t>
      </w:r>
      <w:r>
        <w:t>，公示期不少于 7 天。</w:t>
      </w:r>
    </w:p>
    <w:p w14:paraId="39312E7C">
      <w:pPr>
        <w:pStyle w:val="5"/>
        <w:widowControl/>
        <w:numPr>
          <w:ilvl w:val="0"/>
          <w:numId w:val="0"/>
        </w:numPr>
        <w:topLinePunct w:val="0"/>
        <w:ind w:left="0" w:leftChars="0" w:firstLine="616" w:firstLineChars="0"/>
        <w:rPr>
          <w:b w:val="0"/>
        </w:rPr>
      </w:pPr>
      <w:r>
        <w:rPr>
          <w:rFonts w:hint="default" w:ascii="Times New Roman" w:hAnsi="Times New Roman" w:eastAsia="仿宋_GB2312" w:cs="仿宋_GB2312"/>
          <w:b w:val="0"/>
          <w:spacing w:val="-6"/>
          <w:sz w:val="32"/>
          <w:szCs w:val="32"/>
        </w:rPr>
        <w:t>2．</w:t>
      </w:r>
      <w:r>
        <w:rPr>
          <w:rStyle w:val="12"/>
        </w:rPr>
        <w:t>意愿确认</w:t>
      </w:r>
      <w:r>
        <w:t>：以户为单位填写《农村供水工程安装申请表</w:t>
      </w:r>
      <w:r>
        <w:rPr>
          <w:spacing wpsCustomData:val="-6" w:val="0"/>
        </w:rPr>
        <w:t>》</w:t>
      </w:r>
      <w:r>
        <w:rPr>
          <w:spacing wpsCustomData:val="-6" w:val="1"/>
        </w:rPr>
        <w:t>，</w:t>
      </w:r>
      <w:r>
        <w:rPr>
          <w:spacing wpsCustomData:val="-6" w:val="0"/>
        </w:rPr>
        <w:t>明确是否自愿安装及是否符合减免条件</w:t>
      </w:r>
      <w:r>
        <w:rPr>
          <w:spacing wpsCustomData:val="-6" w:val="1"/>
        </w:rPr>
        <w:t>，</w:t>
      </w:r>
      <w:r>
        <w:rPr>
          <w:spacing wpsCustomData:val="-6" w:val="0"/>
        </w:rPr>
        <w:t>由村委会汇</w:t>
      </w:r>
      <w:r>
        <w:rPr>
          <w:spacing wpsCustomData:val="-6" w:val="-6"/>
        </w:rPr>
        <w:t>总</w:t>
      </w:r>
      <w:r>
        <w:t>备案。</w:t>
      </w:r>
    </w:p>
    <w:p w14:paraId="70612175">
      <w:pPr>
        <w:pStyle w:val="5"/>
        <w:widowControl/>
        <w:numPr>
          <w:ilvl w:val="0"/>
          <w:numId w:val="0"/>
        </w:numPr>
        <w:topLinePunct w:val="0"/>
        <w:ind w:left="0" w:leftChars="0" w:firstLine="616" w:firstLineChars="0"/>
        <w:rPr>
          <w:b w:val="0"/>
          <w:color w:val="000000" w:themeColor="text1"/>
          <w14:textFill>
            <w14:solidFill>
              <w14:schemeClr w14:val="tx1"/>
            </w14:solidFill>
          </w14:textFill>
        </w:rPr>
      </w:pPr>
      <w:r>
        <w:rPr>
          <w:rFonts w:hint="default" w:ascii="Times New Roman" w:hAnsi="Times New Roman" w:eastAsia="仿宋_GB2312" w:cs="仿宋_GB2312"/>
          <w:b w:val="0"/>
          <w:color w:val="000000" w:themeColor="text1"/>
          <w:spacing w:val="-6"/>
          <w:sz w:val="32"/>
          <w:szCs w:val="32"/>
          <w14:textFill>
            <w14:solidFill>
              <w14:schemeClr w14:val="tx1"/>
            </w14:solidFill>
          </w14:textFill>
        </w:rPr>
        <w:t>3．</w:t>
      </w:r>
      <w:r>
        <w:rPr>
          <w:rStyle w:val="12"/>
          <w:color w:val="000000" w:themeColor="text1"/>
          <w14:textFill>
            <w14:solidFill>
              <w14:schemeClr w14:val="tx1"/>
            </w14:solidFill>
          </w14:textFill>
        </w:rPr>
        <w:t>费用缴纳</w:t>
      </w:r>
      <w:r>
        <w:rPr>
          <w:color w:val="000000" w:themeColor="text1"/>
          <w14:textFill>
            <w14:solidFill>
              <w14:schemeClr w14:val="tx1"/>
            </w14:solidFill>
          </w14:textFill>
        </w:rPr>
        <w:t>：农户凭申请表到</w:t>
      </w:r>
      <w:r>
        <w:rPr>
          <w:rFonts w:hint="eastAsia"/>
          <w:color w:val="000000" w:themeColor="text1"/>
          <w:lang w:val="en-US" w:eastAsia="zh-CN"/>
          <w14:textFill>
            <w14:solidFill>
              <w14:schemeClr w14:val="tx1"/>
            </w14:solidFill>
          </w14:textFill>
        </w:rPr>
        <w:t>村委会</w:t>
      </w:r>
      <w:r>
        <w:rPr>
          <w:color w:val="000000" w:themeColor="text1"/>
          <w14:textFill>
            <w14:solidFill>
              <w14:schemeClr w14:val="tx1"/>
            </w14:solidFill>
          </w14:textFill>
        </w:rPr>
        <w:t>缴费（特困户凭</w:t>
      </w:r>
      <w:r>
        <w:rPr>
          <w:color w:val="000000" w:themeColor="text1"/>
          <w:spacing w:val="-6"/>
          <w14:textFill>
            <w14:solidFill>
              <w14:schemeClr w14:val="tx1"/>
            </w14:solidFill>
          </w14:textFill>
        </w:rPr>
        <w:t>证明办理减免），开具正规票据，缴费完成后</w:t>
      </w:r>
      <w:r>
        <w:rPr>
          <w:rFonts w:hint="eastAsia"/>
          <w:color w:val="000000" w:themeColor="text1"/>
          <w:spacing w:val="-6"/>
          <w:lang w:val="en-US" w:eastAsia="zh-CN"/>
          <w14:textFill>
            <w14:solidFill>
              <w14:schemeClr w14:val="tx1"/>
            </w14:solidFill>
          </w14:textFill>
        </w:rPr>
        <w:t>统一存入县财政指定的农村供水工程建设资金专户。资金到账后，由项目实施单位（蓝山县俊蓝供水有限公司）依据工程进度安排施工。</w:t>
      </w:r>
    </w:p>
    <w:p w14:paraId="0AC3DF87">
      <w:pPr>
        <w:pStyle w:val="5"/>
        <w:widowControl/>
        <w:numPr>
          <w:ilvl w:val="0"/>
          <w:numId w:val="0"/>
        </w:numPr>
        <w:topLinePunct w:val="0"/>
        <w:ind w:left="0" w:leftChars="0" w:firstLine="616" w:firstLineChars="0"/>
        <w:rPr>
          <w:b w:val="0"/>
        </w:rPr>
      </w:pPr>
      <w:r>
        <w:rPr>
          <w:rFonts w:hint="default" w:ascii="Times New Roman" w:hAnsi="Times New Roman" w:eastAsia="仿宋_GB2312" w:cs="仿宋_GB2312"/>
          <w:b w:val="0"/>
          <w:spacing w:val="-6"/>
          <w:sz w:val="32"/>
          <w:szCs w:val="32"/>
        </w:rPr>
        <w:t>4．</w:t>
      </w:r>
      <w:r>
        <w:rPr>
          <w:rStyle w:val="12"/>
        </w:rPr>
        <w:t>决算公示</w:t>
      </w:r>
      <w:r>
        <w:t>：工程完工后 30 日内，公示分户工程实际成本、农户缴费明细，确保资金流向可追溯。</w:t>
      </w:r>
    </w:p>
    <w:p w14:paraId="70072242">
      <w:pPr>
        <w:pStyle w:val="2"/>
        <w:widowControl/>
        <w:numPr>
          <w:ilvl w:val="0"/>
          <w:numId w:val="0"/>
        </w:numPr>
        <w:topLinePunct w:val="0"/>
        <w:ind w:left="640" w:leftChars="0"/>
        <w:rPr>
          <w:b w:val="0"/>
        </w:rPr>
      </w:pPr>
      <w:r>
        <w:rPr>
          <w:rFonts w:hint="eastAsia"/>
          <w:lang w:val="en-US" w:eastAsia="zh-CN"/>
        </w:rPr>
        <w:t>五、</w:t>
      </w:r>
      <w:r>
        <w:t>保障措施</w:t>
      </w:r>
    </w:p>
    <w:p w14:paraId="1A44C59B">
      <w:pPr>
        <w:pStyle w:val="5"/>
        <w:widowControl/>
        <w:numPr>
          <w:ilvl w:val="0"/>
          <w:numId w:val="0"/>
        </w:numPr>
        <w:topLinePunct w:val="0"/>
        <w:ind w:firstLine="616" w:firstLineChars="200"/>
      </w:pPr>
      <w:r>
        <w:rPr>
          <w:rStyle w:val="11"/>
          <w:rFonts w:hint="eastAsia" w:eastAsia="楷体_GB2312"/>
          <w:lang w:eastAsia="zh-CN"/>
        </w:rPr>
        <w:t>（</w:t>
      </w:r>
      <w:r>
        <w:rPr>
          <w:rStyle w:val="11"/>
          <w:rFonts w:hint="eastAsia" w:eastAsia="楷体_GB2312"/>
          <w:lang w:val="en-US" w:eastAsia="zh-CN"/>
        </w:rPr>
        <w:t>一</w:t>
      </w:r>
      <w:r>
        <w:rPr>
          <w:rStyle w:val="11"/>
          <w:rFonts w:hint="eastAsia" w:eastAsia="楷体_GB2312"/>
          <w:lang w:eastAsia="zh-CN"/>
        </w:rPr>
        <w:t>）</w:t>
      </w:r>
      <w:r>
        <w:rPr>
          <w:rStyle w:val="11"/>
        </w:rPr>
        <w:t>组织保障</w:t>
      </w:r>
      <w:r>
        <w:t>：</w:t>
      </w:r>
      <w:r>
        <w:rPr>
          <w:rFonts w:hint="eastAsia"/>
          <w:lang w:val="en-US" w:eastAsia="zh-CN"/>
        </w:rPr>
        <w:t>由</w:t>
      </w:r>
      <w:r>
        <w:t>城乡供水一体化进村入户项目建设工作专班统筹协调收费管理、补贴拨付、工程推进等工作，定期召开调度会解决实施过程中的问题。</w:t>
      </w:r>
    </w:p>
    <w:p w14:paraId="47A2D367">
      <w:pPr>
        <w:pStyle w:val="5"/>
        <w:widowControl/>
        <w:numPr>
          <w:ilvl w:val="0"/>
          <w:numId w:val="0"/>
        </w:numPr>
        <w:topLinePunct w:val="0"/>
        <w:ind w:firstLine="616" w:firstLineChars="200"/>
      </w:pPr>
      <w:r>
        <w:rPr>
          <w:rFonts w:hint="eastAsia" w:eastAsia="楷体_GB2312"/>
          <w:lang w:eastAsia="zh-CN"/>
        </w:rPr>
        <w:t>（</w:t>
      </w:r>
      <w:r>
        <w:rPr>
          <w:rFonts w:hint="eastAsia" w:eastAsia="楷体_GB2312"/>
          <w:lang w:val="en-US" w:eastAsia="zh-CN"/>
        </w:rPr>
        <w:t>二</w:t>
      </w:r>
      <w:r>
        <w:rPr>
          <w:rFonts w:hint="eastAsia" w:eastAsia="楷体_GB2312"/>
          <w:lang w:eastAsia="zh-CN"/>
        </w:rPr>
        <w:t>）</w:t>
      </w:r>
      <w:r>
        <w:rPr>
          <w:rStyle w:val="11"/>
        </w:rPr>
        <w:t>资金保障</w:t>
      </w:r>
      <w:r>
        <w:t>：项目资金由县财政统一调度，根据工程进度拨付，确保成本差额及时补足。</w:t>
      </w:r>
    </w:p>
    <w:p w14:paraId="4C9BFB45">
      <w:pPr>
        <w:pStyle w:val="5"/>
        <w:widowControl/>
        <w:numPr>
          <w:ilvl w:val="0"/>
          <w:numId w:val="0"/>
        </w:numPr>
        <w:topLinePunct w:val="0"/>
        <w:ind w:firstLine="616" w:firstLineChars="200"/>
        <w:rPr>
          <w:b w:val="0"/>
        </w:rPr>
      </w:pPr>
      <w:r>
        <w:rPr>
          <w:rFonts w:hint="eastAsia" w:eastAsia="楷体_GB2312"/>
          <w:lang w:eastAsia="zh-CN"/>
        </w:rPr>
        <w:t>（</w:t>
      </w:r>
      <w:r>
        <w:rPr>
          <w:rFonts w:hint="eastAsia" w:eastAsia="楷体_GB2312"/>
          <w:lang w:val="en-US" w:eastAsia="zh-CN"/>
        </w:rPr>
        <w:t>三</w:t>
      </w:r>
      <w:r>
        <w:rPr>
          <w:rFonts w:hint="eastAsia" w:eastAsia="楷体_GB2312"/>
          <w:lang w:eastAsia="zh-CN"/>
        </w:rPr>
        <w:t>）</w:t>
      </w:r>
      <w:r>
        <w:rPr>
          <w:rStyle w:val="11"/>
        </w:rPr>
        <w:t>宣传引导</w:t>
      </w:r>
      <w:r>
        <w:t>：通过村广播、宣传栏、微信群、入户走访等多种渠道，重点解读 “1200 元 ／ 户” 固定收费标准的合理性、成本构成及补贴政策，消除农户顾虑，争取广泛理解与支持；及时宣传特困群体减免案例，彰显政策普惠性。</w:t>
      </w:r>
    </w:p>
    <w:p w14:paraId="6BEEACCB">
      <w:pPr>
        <w:pStyle w:val="2"/>
        <w:widowControl/>
        <w:numPr>
          <w:ilvl w:val="0"/>
          <w:numId w:val="0"/>
        </w:numPr>
        <w:topLinePunct w:val="0"/>
        <w:ind w:left="640" w:leftChars="0"/>
        <w:rPr>
          <w:b w:val="0"/>
        </w:rPr>
      </w:pPr>
      <w:r>
        <w:rPr>
          <w:rFonts w:hint="eastAsia"/>
          <w:lang w:val="en-US" w:eastAsia="zh-CN"/>
        </w:rPr>
        <w:t>六、</w:t>
      </w:r>
      <w:r>
        <w:t>附则</w:t>
      </w:r>
    </w:p>
    <w:p w14:paraId="2E1BCC1C">
      <w:pPr>
        <w:pStyle w:val="5"/>
        <w:widowControl/>
        <w:numPr>
          <w:ilvl w:val="0"/>
          <w:numId w:val="0"/>
        </w:numPr>
        <w:topLinePunct w:val="0"/>
        <w:ind w:left="0" w:leftChars="0" w:firstLine="616" w:firstLineChars="0"/>
        <w:rPr>
          <w:b w:val="0"/>
          <w:color w:val="3370FF"/>
        </w:rPr>
      </w:pPr>
      <w:r>
        <w:rPr>
          <w:rFonts w:hint="eastAsia" w:ascii="Times New Roman" w:hAnsi="Times New Roman" w:eastAsia="仿宋_GB2312" w:cs="仿宋_GB2312"/>
          <w:b w:val="0"/>
          <w:color w:val="auto"/>
          <w:spacing w:val="-6"/>
          <w:sz w:val="32"/>
          <w:szCs w:val="32"/>
        </w:rPr>
        <w:t>（一）</w:t>
      </w:r>
      <w:r>
        <w:t>本方案自印发之日起试行，由县发改局</w:t>
      </w:r>
      <w:r>
        <w:rPr>
          <w:rFonts w:hint="eastAsia"/>
          <w:lang w:eastAsia="zh-CN"/>
        </w:rPr>
        <w:t>、县</w:t>
      </w:r>
      <w:r>
        <w:t>水利局会同财政局负责解释。</w:t>
      </w:r>
    </w:p>
    <w:p w14:paraId="0FADDAF5">
      <w:pPr>
        <w:pStyle w:val="5"/>
        <w:widowControl/>
        <w:numPr>
          <w:ilvl w:val="0"/>
          <w:numId w:val="0"/>
        </w:numPr>
        <w:topLinePunct w:val="0"/>
        <w:ind w:left="0" w:leftChars="0" w:firstLine="616" w:firstLineChars="0"/>
        <w:rPr>
          <w:b w:val="0"/>
          <w:color w:val="3370FF"/>
        </w:rPr>
      </w:pPr>
      <w:r>
        <w:rPr>
          <w:rFonts w:hint="eastAsia" w:ascii="Times New Roman" w:hAnsi="Times New Roman" w:eastAsia="仿宋_GB2312" w:cs="仿宋_GB2312"/>
          <w:b w:val="0"/>
          <w:color w:val="auto"/>
          <w:spacing w:val="-6"/>
          <w:sz w:val="32"/>
          <w:szCs w:val="32"/>
        </w:rPr>
        <w:t>（二）</w:t>
      </w:r>
      <w:r>
        <w:rPr>
          <w:spacing w:val="-6"/>
        </w:rPr>
        <w:t>若国家或省级政策调整，</w:t>
      </w:r>
      <mc:AlternateContent>
        <mc:Choice Requires="wpsCustomData">
          <wpsCustomData:docfieldStart id="1" docfieldname="发文机关署名_1" hidden="0" print="1" readonly="0" index="11"/>
        </mc:Choice>
      </mc:AlternateContent>
      <w:r>
        <w:t>按新政策同步修订补贴分摊机制，确保农户实收标准保持 1200 元／户不变。</w:t>
      </w:r>
    </w:p>
    <w:p w14:paraId="53D9150E">
      <w:pPr>
        <w:pStyle w:val="5"/>
        <w:widowControl/>
        <w:numPr>
          <w:ilvl w:val="0"/>
          <w:numId w:val="0"/>
        </w:numPr>
        <w:topLinePunct w:val="0"/>
        <w:ind w:left="0" w:leftChars="0" w:firstLine="616" w:firstLineChars="0"/>
        <w:rPr>
          <w:rFonts w:hint="default"/>
          <w:sz w:val="32"/>
          <w:szCs w:val="32"/>
          <w:lang w:val="en-US" w:eastAsia="zh-CN"/>
        </w:rPr>
      </w:pPr>
      <w:r>
        <w:rPr>
          <w:rFonts w:hint="eastAsia" w:ascii="Times New Roman" w:hAnsi="Times New Roman" w:eastAsia="仿宋_GB2312" w:cs="仿宋_GB2312"/>
          <w:color w:val="auto"/>
          <w:spacing w:val="-6"/>
          <w:sz w:val="32"/>
          <w:szCs w:val="32"/>
          <w:lang w:val="en-US" w:eastAsia="zh-CN"/>
        </w:rPr>
        <w:t>（三）</w:t>
      </w:r>
      <w:r>
        <w:t>未尽事宜，参照《湖南省建设工程工程量清单计价规范》及县财政投资评审中心预审报告执行。</w:t>
      </w:r>
      <mc:AlternateContent>
        <mc:Choice Requires="wpsCustomData">
          <wpsCustomData:docfieldEnd id="1"/>
        </mc:Choice>
      </mc:AlternateContent>
    </w:p>
    <w:p w14:paraId="486CA51D"/>
    <w:sectPr>
      <w:footerReference r:id="rId3" w:type="default"/>
      <w:footerReference r:id="rId4" w:type="even"/>
      <w:pgSz w:w="11906" w:h="16838"/>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3D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2CF9260">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HoB1tMAAAAGAQAADwAAAAAAAAABACAAAAAiAAAAZHJz&#10;L2Rvd25yZXYueG1sUEsBAhQAFAAAAAgAh07iQIvhV3XQAQAAogMAAA4AAAAAAAAAAQAgAAAAIgEA&#10;AGRycy9lMm9Eb2MueG1sUEsFBgAAAAAGAAYAWQEAAGQFAAAAAA==&#10;">
              <v:fill on="f" focussize="0,0"/>
              <v:stroke on="f" weight="0.5pt"/>
              <v:imagedata o:title=""/>
              <o:lock v:ext="edit" aspectratio="f"/>
              <v:textbox inset="0mm,0mm,0mm,0mm" style="mso-fit-shape-to-text:t;">
                <w:txbxContent>
                  <w:p w14:paraId="12CF9260">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513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998CD8">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60288;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B6AdbTAAAABgEAAA8AAAAAAAAAAQAgAAAAIgAAAGRy&#10;cy9kb3ducmV2LnhtbFBLAQIUABQAAAAIAIdO4kAslDbw0QEAAKIDAAAOAAAAAAAAAAEAIAAAACIB&#10;AABkcnMvZTJvRG9jLnhtbFBLBQYAAAAABgAGAFkBAABlBQAAAAA=&#10;">
              <v:fill on="f" focussize="0,0"/>
              <v:stroke on="f" weight="0.5pt"/>
              <v:imagedata o:title=""/>
              <o:lock v:ext="edit" aspectratio="f"/>
              <v:textbox inset="0mm,0mm,0mm,0mm" style="mso-fit-shape-to-text:t;">
                <w:txbxContent>
                  <w:p w14:paraId="06998CD8">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A8EEB"/>
    <w:multiLevelType w:val="singleLevel"/>
    <w:tmpl w:val="C12A8EEB"/>
    <w:lvl w:ilvl="0" w:tentative="0">
      <w:start w:val="1"/>
      <w:numFmt w:val="decimal"/>
      <w:suff w:val="nothing"/>
      <w:lvlText w:val="%1．"/>
      <w:lvlJc w:val="left"/>
      <w:pPr>
        <w:ind w:left="0" w:firstLine="616"/>
      </w:pPr>
      <w:rPr>
        <w:rFonts w:hint="default"/>
      </w:rPr>
    </w:lvl>
  </w:abstractNum>
  <w:abstractNum w:abstractNumId="1">
    <w:nsid w:val="49181CAA"/>
    <w:multiLevelType w:val="singleLevel"/>
    <w:tmpl w:val="49181CAA"/>
    <w:lvl w:ilvl="0" w:tentative="0">
      <w:start w:val="3"/>
      <w:numFmt w:val="chineseCounting"/>
      <w:suff w:val="nothing"/>
      <w:lvlText w:val="（%1）"/>
      <w:lvlJc w:val="left"/>
      <w:rPr>
        <w:rFonts w:hint="eastAsia"/>
      </w:rPr>
    </w:lvl>
  </w:abstractNum>
  <w:abstractNum w:abstractNumId="2">
    <w:nsid w:val="49427CE6"/>
    <w:multiLevelType w:val="singleLevel"/>
    <w:tmpl w:val="49427CE6"/>
    <w:lvl w:ilvl="0" w:tentative="0">
      <w:start w:val="1"/>
      <w:numFmt w:val="taiwaneseCounting"/>
      <w:suff w:val="nothing"/>
      <w:lvlText w:val="（%1）"/>
      <w:lvlJc w:val="left"/>
      <w:pPr>
        <w:ind w:left="0" w:firstLine="616"/>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31A1B"/>
    <w:rsid w:val="01826A17"/>
    <w:rsid w:val="02105DD0"/>
    <w:rsid w:val="02C60B85"/>
    <w:rsid w:val="04581CB1"/>
    <w:rsid w:val="05A36F5B"/>
    <w:rsid w:val="05C77585"/>
    <w:rsid w:val="05E31A1B"/>
    <w:rsid w:val="087F780C"/>
    <w:rsid w:val="088E7A4F"/>
    <w:rsid w:val="0A06467B"/>
    <w:rsid w:val="0A9C2975"/>
    <w:rsid w:val="0BE1433A"/>
    <w:rsid w:val="0C807FF6"/>
    <w:rsid w:val="0C9475FE"/>
    <w:rsid w:val="0C9738D4"/>
    <w:rsid w:val="0DDC300B"/>
    <w:rsid w:val="0F135152"/>
    <w:rsid w:val="10947BCD"/>
    <w:rsid w:val="11005262"/>
    <w:rsid w:val="112A22DF"/>
    <w:rsid w:val="12463148"/>
    <w:rsid w:val="12633CFA"/>
    <w:rsid w:val="14E82BDD"/>
    <w:rsid w:val="16005D04"/>
    <w:rsid w:val="163634D4"/>
    <w:rsid w:val="18F953B8"/>
    <w:rsid w:val="1BA50EE0"/>
    <w:rsid w:val="1D3C6BDB"/>
    <w:rsid w:val="1DD97567"/>
    <w:rsid w:val="2096173F"/>
    <w:rsid w:val="22275D7A"/>
    <w:rsid w:val="271635D9"/>
    <w:rsid w:val="278422F1"/>
    <w:rsid w:val="2B146082"/>
    <w:rsid w:val="2B9D7E25"/>
    <w:rsid w:val="2BBB64FD"/>
    <w:rsid w:val="2E0423DE"/>
    <w:rsid w:val="2E3D58F0"/>
    <w:rsid w:val="2F155F25"/>
    <w:rsid w:val="2F3E7229"/>
    <w:rsid w:val="2F40249E"/>
    <w:rsid w:val="2F840F65"/>
    <w:rsid w:val="2F974B8C"/>
    <w:rsid w:val="319071E5"/>
    <w:rsid w:val="333A23FE"/>
    <w:rsid w:val="33865643"/>
    <w:rsid w:val="338D4C23"/>
    <w:rsid w:val="33F95E15"/>
    <w:rsid w:val="34117602"/>
    <w:rsid w:val="34E77D57"/>
    <w:rsid w:val="3569521C"/>
    <w:rsid w:val="35845BB2"/>
    <w:rsid w:val="371A67CE"/>
    <w:rsid w:val="379E4ABE"/>
    <w:rsid w:val="37BA68D2"/>
    <w:rsid w:val="38653A79"/>
    <w:rsid w:val="3A3E6C77"/>
    <w:rsid w:val="3B082DE1"/>
    <w:rsid w:val="3B083A4D"/>
    <w:rsid w:val="3B8B1A48"/>
    <w:rsid w:val="3C122D1E"/>
    <w:rsid w:val="3C21415B"/>
    <w:rsid w:val="3CBE7BFC"/>
    <w:rsid w:val="3CE82ECA"/>
    <w:rsid w:val="40CD48B1"/>
    <w:rsid w:val="4204176E"/>
    <w:rsid w:val="42044303"/>
    <w:rsid w:val="42BA743D"/>
    <w:rsid w:val="47095F17"/>
    <w:rsid w:val="47C61939"/>
    <w:rsid w:val="491C4628"/>
    <w:rsid w:val="49F27137"/>
    <w:rsid w:val="4A74582E"/>
    <w:rsid w:val="4AF84C20"/>
    <w:rsid w:val="4BCD7E5B"/>
    <w:rsid w:val="4CFF4044"/>
    <w:rsid w:val="4DD74FC1"/>
    <w:rsid w:val="4E4F4B57"/>
    <w:rsid w:val="4F9A44F8"/>
    <w:rsid w:val="518A40F8"/>
    <w:rsid w:val="52ED535B"/>
    <w:rsid w:val="5411465D"/>
    <w:rsid w:val="558772CD"/>
    <w:rsid w:val="56051FA0"/>
    <w:rsid w:val="577C6B47"/>
    <w:rsid w:val="57D447DD"/>
    <w:rsid w:val="58847AF3"/>
    <w:rsid w:val="58B16DE5"/>
    <w:rsid w:val="58C425E6"/>
    <w:rsid w:val="5903310E"/>
    <w:rsid w:val="5D8B04D2"/>
    <w:rsid w:val="5F3A715E"/>
    <w:rsid w:val="5F426012"/>
    <w:rsid w:val="5FEC48FC"/>
    <w:rsid w:val="60031C46"/>
    <w:rsid w:val="600339F4"/>
    <w:rsid w:val="618943CD"/>
    <w:rsid w:val="620336AC"/>
    <w:rsid w:val="63B03E93"/>
    <w:rsid w:val="64A5036A"/>
    <w:rsid w:val="64AA08E2"/>
    <w:rsid w:val="662B7800"/>
    <w:rsid w:val="66C739CD"/>
    <w:rsid w:val="676C00D0"/>
    <w:rsid w:val="678E6299"/>
    <w:rsid w:val="67CB264A"/>
    <w:rsid w:val="67F105D6"/>
    <w:rsid w:val="68324E76"/>
    <w:rsid w:val="697B284D"/>
    <w:rsid w:val="6A8B4D12"/>
    <w:rsid w:val="6A9A4F55"/>
    <w:rsid w:val="6B9D4848"/>
    <w:rsid w:val="6C9C6D62"/>
    <w:rsid w:val="6D741A8D"/>
    <w:rsid w:val="6D7970A3"/>
    <w:rsid w:val="6D9F19E7"/>
    <w:rsid w:val="6FBA62FD"/>
    <w:rsid w:val="70D0347E"/>
    <w:rsid w:val="72365637"/>
    <w:rsid w:val="73BC23E0"/>
    <w:rsid w:val="76C21ABB"/>
    <w:rsid w:val="77040325"/>
    <w:rsid w:val="778E4093"/>
    <w:rsid w:val="78A27DF6"/>
    <w:rsid w:val="78B638A1"/>
    <w:rsid w:val="7AB0332C"/>
    <w:rsid w:val="7B1D3764"/>
    <w:rsid w:val="7BEC2FA1"/>
    <w:rsid w:val="7C235415"/>
    <w:rsid w:val="7E24305B"/>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1"/>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12"/>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3"/>
    <w:qFormat/>
    <w:uiPriority w:val="0"/>
    <w:rPr>
      <w:rFonts w:ascii="Times New Roman" w:hAnsi="Times New Roman" w:eastAsia="楷体_GB2312" w:cs="楷体_GB2312"/>
      <w:sz w:val="32"/>
      <w:szCs w:val="32"/>
    </w:rPr>
  </w:style>
  <w:style w:type="character" w:customStyle="1" w:styleId="12">
    <w:name w:val="标题 3 Char"/>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1873</Words>
  <Characters>1996</Characters>
  <Lines>0</Lines>
  <Paragraphs>0</Paragraphs>
  <TotalTime>4</TotalTime>
  <ScaleCrop>false</ScaleCrop>
  <LinksUpToDate>false</LinksUpToDate>
  <CharactersWithSpaces>2034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2025-12-22T06:54:00Z</dcterms:created>
  <dc:creator>实现自我</dc:creator>
  <cp:lastModifiedBy>实现自我</cp:lastModifiedBy>
  <cp:lastPrinted>2025-12-22T07:26:00Z</cp:lastPrinted>
  <dcterms:modified xsi:type="dcterms:W3CDTF">2026-01-12T01:26:30Z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246DD0C5CBAE4D3D96BC6E7C95A1AECC_13</vt:lpwstr>
  </property>
  <property fmtid="{D5CDD505-2E9C-101B-9397-08002B2CF9AE}" pid="4" name="KSOTemplateDocerSaveRecord">
    <vt:lpwstr>eyJoZGlkIjoiZmIxOTdlZjRiYTZmZTk2OTJhYmEyNTllOGY4YjQzY2QiLCJ1c2VySWQiOiIxMDE0MDEwOTQ4In0=</vt:lpwstr>
  </property>
</Properties>
</file>