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1D57">
      <w:pPr>
        <w:keepNext w:val="0"/>
        <w:keepLines w:val="0"/>
        <w:pageBreakBefore w:val="0"/>
        <w:widowControl w:val="0"/>
        <w:kinsoku/>
        <w:wordWrap/>
        <w:overflowPunct/>
        <w:bidi w:val="0"/>
        <w:spacing w:line="360" w:lineRule="auto"/>
        <w:jc w:val="center"/>
        <w:outlineLvl w:val="0"/>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40"/>
          <w:szCs w:val="40"/>
          <w:lang w:val="en-US" w:eastAsia="zh-CN"/>
          <w14:textFill>
            <w14:solidFill>
              <w14:schemeClr w14:val="tx1"/>
            </w14:solidFill>
          </w14:textFill>
        </w:rPr>
        <w:t>比选</w:t>
      </w:r>
      <w:r>
        <w:rPr>
          <w:rFonts w:hint="eastAsia" w:ascii="仿宋" w:hAnsi="仿宋" w:eastAsia="仿宋" w:cs="仿宋"/>
          <w:b/>
          <w:bCs/>
          <w:color w:val="000000" w:themeColor="text1"/>
          <w:kern w:val="0"/>
          <w:sz w:val="40"/>
          <w:szCs w:val="40"/>
          <w14:textFill>
            <w14:solidFill>
              <w14:schemeClr w14:val="tx1"/>
            </w14:solidFill>
          </w14:textFill>
        </w:rPr>
        <w:t>办法及标准</w:t>
      </w:r>
    </w:p>
    <w:p w14:paraId="0CB0012C">
      <w:pPr>
        <w:keepNext w:val="0"/>
        <w:keepLines w:val="0"/>
        <w:pageBreakBefore w:val="0"/>
        <w:widowControl w:val="0"/>
        <w:kinsoku/>
        <w:wordWrap/>
        <w:overflowPunct/>
        <w:bidi w:val="0"/>
        <w:spacing w:line="240" w:lineRule="exact"/>
        <w:ind w:firstLine="540" w:firstLineChars="200"/>
        <w:jc w:val="left"/>
        <w:textAlignment w:val="top"/>
        <w:rPr>
          <w:rFonts w:hint="eastAsia" w:ascii="仿宋" w:hAnsi="仿宋" w:eastAsia="仿宋" w:cs="仿宋"/>
          <w:color w:val="000000" w:themeColor="text1"/>
          <w:spacing w:val="15"/>
          <w:kern w:val="0"/>
          <w:sz w:val="24"/>
          <w14:textFill>
            <w14:solidFill>
              <w14:schemeClr w14:val="tx1"/>
            </w14:solidFill>
          </w14:textFill>
        </w:rPr>
      </w:pPr>
    </w:p>
    <w:p w14:paraId="4175F763">
      <w:pPr>
        <w:keepNext w:val="0"/>
        <w:keepLines w:val="0"/>
        <w:pageBreakBefore w:val="0"/>
        <w:widowControl w:val="0"/>
        <w:kinsoku/>
        <w:wordWrap/>
        <w:overflowPunct/>
        <w:bidi w:val="0"/>
        <w:spacing w:line="520" w:lineRule="exact"/>
        <w:ind w:firstLine="480" w:firstLineChars="200"/>
        <w:jc w:val="left"/>
        <w:textAlignment w:val="top"/>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本项目比选办法采用综合评分法，（评分细则见附件1-4）。评标委员会推荐排名前3名的投标人为中标候选人，在公示</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日（日历日）无异议后，招标人确定排名第一的中标候选人为中标人（若申请人综合得分相同，则按技术方案评审得分高的优先；若投标人综合得分和技术方案得分均相同，则按商务部分得分高的优先，上述得分均相同的，则由招标人自行确定）。</w:t>
      </w:r>
    </w:p>
    <w:p w14:paraId="05AEC7D1">
      <w:pPr>
        <w:keepNext w:val="0"/>
        <w:keepLines w:val="0"/>
        <w:pageBreakBefore w:val="0"/>
        <w:widowControl w:val="0"/>
        <w:kinsoku/>
        <w:wordWrap/>
        <w:overflowPunct/>
        <w:bidi w:val="0"/>
        <w:spacing w:line="360" w:lineRule="auto"/>
        <w:ind w:firstLine="542" w:firstLineChars="200"/>
        <w:outlineLvl w:val="0"/>
        <w:rPr>
          <w:rFonts w:hint="eastAsia" w:ascii="仿宋" w:hAnsi="仿宋" w:eastAsia="仿宋" w:cs="仿宋"/>
          <w:b/>
          <w:bCs/>
          <w:color w:val="000000" w:themeColor="text1"/>
          <w:spacing w:val="15"/>
          <w:kern w:val="0"/>
          <w:sz w:val="24"/>
          <w14:textFill>
            <w14:solidFill>
              <w14:schemeClr w14:val="tx1"/>
            </w14:solidFill>
          </w14:textFill>
        </w:rPr>
      </w:pPr>
      <w:bookmarkStart w:id="0" w:name="_Toc30955"/>
      <w:bookmarkStart w:id="1" w:name="_Toc30398"/>
      <w:bookmarkStart w:id="2" w:name="_Toc19489"/>
      <w:bookmarkStart w:id="3" w:name="_Toc9718"/>
      <w:r>
        <w:rPr>
          <w:rFonts w:hint="eastAsia" w:ascii="仿宋" w:hAnsi="仿宋" w:eastAsia="仿宋" w:cs="仿宋"/>
          <w:b/>
          <w:bCs/>
          <w:color w:val="000000" w:themeColor="text1"/>
          <w:spacing w:val="15"/>
          <w:kern w:val="0"/>
          <w:sz w:val="24"/>
          <w14:textFill>
            <w14:solidFill>
              <w14:schemeClr w14:val="tx1"/>
            </w14:solidFill>
          </w14:textFill>
        </w:rPr>
        <w:t>一、开标</w:t>
      </w:r>
      <w:bookmarkEnd w:id="0"/>
      <w:bookmarkEnd w:id="1"/>
      <w:bookmarkEnd w:id="2"/>
      <w:bookmarkEnd w:id="3"/>
    </w:p>
    <w:p w14:paraId="1B952BF4">
      <w:pPr>
        <w:keepNext w:val="0"/>
        <w:keepLines w:val="0"/>
        <w:pageBreakBefore w:val="0"/>
        <w:widowControl w:val="0"/>
        <w:kinsoku/>
        <w:wordWrap/>
        <w:overflowPunct/>
        <w:bidi w:val="0"/>
        <w:spacing w:line="520" w:lineRule="exact"/>
        <w:ind w:firstLine="480" w:firstLineChars="200"/>
        <w:jc w:val="left"/>
        <w:textAlignment w:val="top"/>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本次比选开标将于上述比选申请文件递交截止的</w:t>
      </w:r>
      <w:r>
        <w:rPr>
          <w:rFonts w:hint="eastAsia" w:ascii="仿宋" w:hAnsi="仿宋" w:eastAsia="仿宋" w:cs="仿宋"/>
          <w:color w:val="000000" w:themeColor="text1"/>
          <w:sz w:val="24"/>
          <w:lang w:eastAsia="zh-CN"/>
          <w14:textFill>
            <w14:solidFill>
              <w14:schemeClr w14:val="tx1"/>
            </w14:solidFill>
          </w14:textFill>
        </w:rPr>
        <w:t>时间后，招标人与评标委员会成员</w:t>
      </w:r>
      <w:r>
        <w:rPr>
          <w:rFonts w:hint="eastAsia" w:ascii="仿宋" w:hAnsi="仿宋" w:eastAsia="仿宋" w:cs="仿宋"/>
          <w:color w:val="000000" w:themeColor="text1"/>
          <w:sz w:val="24"/>
          <w:lang w:val="en-US" w:eastAsia="zh-CN"/>
          <w14:textFill>
            <w14:solidFill>
              <w14:schemeClr w14:val="tx1"/>
            </w14:solidFill>
          </w14:textFill>
        </w:rPr>
        <w:t>在公司纪检部门的监督下</w:t>
      </w:r>
      <w:r>
        <w:rPr>
          <w:rFonts w:hint="eastAsia" w:ascii="仿宋" w:hAnsi="仿宋" w:eastAsia="仿宋" w:cs="仿宋"/>
          <w:color w:val="000000" w:themeColor="text1"/>
          <w:sz w:val="24"/>
          <w:lang w:eastAsia="zh-CN"/>
          <w14:textFill>
            <w14:solidFill>
              <w14:schemeClr w14:val="tx1"/>
            </w14:solidFill>
          </w14:textFill>
        </w:rPr>
        <w:t>择日</w:t>
      </w:r>
      <w:r>
        <w:rPr>
          <w:rFonts w:hint="eastAsia" w:ascii="仿宋" w:hAnsi="仿宋" w:eastAsia="仿宋" w:cs="仿宋"/>
          <w:color w:val="000000" w:themeColor="text1"/>
          <w:sz w:val="24"/>
          <w14:textFill>
            <w14:solidFill>
              <w14:schemeClr w14:val="tx1"/>
            </w14:solidFill>
          </w14:textFill>
        </w:rPr>
        <w:t>开标。</w:t>
      </w:r>
    </w:p>
    <w:p w14:paraId="1E695951">
      <w:pPr>
        <w:keepNext w:val="0"/>
        <w:keepLines w:val="0"/>
        <w:pageBreakBefore w:val="0"/>
        <w:widowControl w:val="0"/>
        <w:numPr>
          <w:ilvl w:val="0"/>
          <w:numId w:val="0"/>
        </w:numPr>
        <w:kinsoku/>
        <w:wordWrap/>
        <w:overflowPunct/>
        <w:bidi w:val="0"/>
        <w:spacing w:line="360" w:lineRule="auto"/>
        <w:ind w:firstLine="482" w:firstLineChars="200"/>
        <w:jc w:val="left"/>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lang w:val="en-US" w:eastAsia="zh-CN"/>
          <w14:textFill>
            <w14:solidFill>
              <w14:schemeClr w14:val="tx1"/>
            </w14:solidFill>
          </w14:textFill>
        </w:rPr>
        <w:t>二、</w:t>
      </w:r>
      <w:r>
        <w:rPr>
          <w:rFonts w:hint="eastAsia" w:ascii="仿宋" w:hAnsi="仿宋" w:eastAsia="仿宋" w:cs="仿宋"/>
          <w:b/>
          <w:bCs/>
          <w:color w:val="000000" w:themeColor="text1"/>
          <w:kern w:val="0"/>
          <w:sz w:val="24"/>
          <w14:textFill>
            <w14:solidFill>
              <w14:schemeClr w14:val="tx1"/>
            </w14:solidFill>
          </w14:textFill>
        </w:rPr>
        <w:t>评审标准</w:t>
      </w:r>
    </w:p>
    <w:p w14:paraId="5D986CB5">
      <w:pPr>
        <w:keepNext w:val="0"/>
        <w:keepLines w:val="0"/>
        <w:pageBreakBefore w:val="0"/>
        <w:widowControl w:val="0"/>
        <w:numPr>
          <w:ilvl w:val="0"/>
          <w:numId w:val="1"/>
        </w:numPr>
        <w:kinsoku/>
        <w:wordWrap/>
        <w:overflowPunct/>
        <w:bidi w:val="0"/>
        <w:spacing w:line="360" w:lineRule="auto"/>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资格评审标准：见本章附表1《资格审查评审表》；</w:t>
      </w:r>
    </w:p>
    <w:p w14:paraId="79220599">
      <w:pPr>
        <w:pStyle w:val="4"/>
        <w:keepNext w:val="0"/>
        <w:keepLines w:val="0"/>
        <w:pageBreakBefore w:val="0"/>
        <w:widowControl w:val="0"/>
        <w:numPr>
          <w:ilvl w:val="0"/>
          <w:numId w:val="1"/>
        </w:numPr>
        <w:kinsoku/>
        <w:wordWrap/>
        <w:overflowPunct/>
        <w:bidi w:val="0"/>
        <w:spacing w:line="360" w:lineRule="auto"/>
        <w:ind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初步评审标准：见本章附表2《初步审查评审表》；</w:t>
      </w:r>
    </w:p>
    <w:p w14:paraId="00B896D4">
      <w:pPr>
        <w:pStyle w:val="4"/>
        <w:keepNext w:val="0"/>
        <w:keepLines w:val="0"/>
        <w:pageBreakBefore w:val="0"/>
        <w:widowControl w:val="0"/>
        <w:numPr>
          <w:ilvl w:val="0"/>
          <w:numId w:val="1"/>
        </w:numPr>
        <w:kinsoku/>
        <w:wordWrap/>
        <w:overflowPunct/>
        <w:bidi w:val="0"/>
        <w:spacing w:line="360" w:lineRule="auto"/>
        <w:ind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详细评审标准：</w:t>
      </w:r>
    </w:p>
    <w:p w14:paraId="7370A786">
      <w:pPr>
        <w:pStyle w:val="4"/>
        <w:keepNext w:val="0"/>
        <w:keepLines w:val="0"/>
        <w:pageBreakBefore w:val="0"/>
        <w:widowControl w:val="0"/>
        <w:numPr>
          <w:ilvl w:val="0"/>
          <w:numId w:val="2"/>
        </w:numPr>
        <w:kinsoku/>
        <w:wordWrap/>
        <w:overflowPunct/>
        <w:bidi w:val="0"/>
        <w:spacing w:line="360" w:lineRule="auto"/>
        <w:ind w:left="240" w:firstLine="2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权重取值：商务部分</w:t>
      </w:r>
      <w:r>
        <w:rPr>
          <w:rFonts w:hint="eastAsia" w:ascii="仿宋" w:hAnsi="仿宋" w:eastAsia="仿宋" w:cs="仿宋"/>
          <w:color w:val="000000" w:themeColor="text1"/>
          <w:sz w:val="24"/>
          <w:szCs w:val="24"/>
          <w:lang w:val="en-US" w:eastAsia="zh-CN"/>
          <w14:textFill>
            <w14:solidFill>
              <w14:schemeClr w14:val="tx1"/>
            </w14:solidFill>
          </w14:textFill>
        </w:rPr>
        <w:t>60</w:t>
      </w:r>
      <w:r>
        <w:rPr>
          <w:rFonts w:hint="eastAsia" w:ascii="仿宋" w:hAnsi="仿宋" w:eastAsia="仿宋" w:cs="仿宋"/>
          <w:color w:val="000000" w:themeColor="text1"/>
          <w:sz w:val="24"/>
          <w:szCs w:val="24"/>
          <w14:textFill>
            <w14:solidFill>
              <w14:schemeClr w14:val="tx1"/>
            </w14:solidFill>
          </w14:textFill>
        </w:rPr>
        <w:t>分，技术方案评审</w:t>
      </w:r>
      <w:r>
        <w:rPr>
          <w:rFonts w:hint="eastAsia" w:ascii="仿宋" w:hAnsi="仿宋" w:eastAsia="仿宋" w:cs="仿宋"/>
          <w:color w:val="000000" w:themeColor="text1"/>
          <w:sz w:val="24"/>
          <w:szCs w:val="24"/>
          <w:lang w:val="en-US" w:eastAsia="zh-CN"/>
          <w14:textFill>
            <w14:solidFill>
              <w14:schemeClr w14:val="tx1"/>
            </w14:solidFill>
          </w14:textFill>
        </w:rPr>
        <w:t>40</w:t>
      </w:r>
      <w:r>
        <w:rPr>
          <w:rFonts w:hint="eastAsia" w:ascii="仿宋" w:hAnsi="仿宋" w:eastAsia="仿宋" w:cs="仿宋"/>
          <w:color w:val="000000" w:themeColor="text1"/>
          <w:sz w:val="24"/>
          <w:szCs w:val="24"/>
          <w14:textFill>
            <w14:solidFill>
              <w14:schemeClr w14:val="tx1"/>
            </w14:solidFill>
          </w14:textFill>
        </w:rPr>
        <w:t>分；</w:t>
      </w:r>
    </w:p>
    <w:p w14:paraId="19644123">
      <w:pPr>
        <w:pStyle w:val="4"/>
        <w:keepNext w:val="0"/>
        <w:keepLines w:val="0"/>
        <w:pageBreakBefore w:val="0"/>
        <w:widowControl w:val="0"/>
        <w:numPr>
          <w:ilvl w:val="0"/>
          <w:numId w:val="2"/>
        </w:numPr>
        <w:kinsoku/>
        <w:wordWrap/>
        <w:overflowPunct/>
        <w:bidi w:val="0"/>
        <w:spacing w:line="360" w:lineRule="auto"/>
        <w:ind w:left="240" w:firstLine="2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商务部分标准：见本章附表</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《商务部分评审表》；</w:t>
      </w:r>
    </w:p>
    <w:p w14:paraId="29B4841C">
      <w:pPr>
        <w:pStyle w:val="4"/>
        <w:keepNext w:val="0"/>
        <w:keepLines w:val="0"/>
        <w:pageBreakBefore w:val="0"/>
        <w:widowControl w:val="0"/>
        <w:numPr>
          <w:ilvl w:val="0"/>
          <w:numId w:val="2"/>
        </w:numPr>
        <w:kinsoku/>
        <w:wordWrap/>
        <w:overflowPunct/>
        <w:bidi w:val="0"/>
        <w:spacing w:line="360" w:lineRule="auto"/>
        <w:ind w:left="240" w:firstLine="2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技术方案评审：见本章附表</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《技术方案评审表》；</w:t>
      </w:r>
    </w:p>
    <w:p w14:paraId="50983D97">
      <w:pPr>
        <w:pStyle w:val="4"/>
        <w:keepNext w:val="0"/>
        <w:keepLines w:val="0"/>
        <w:pageBreakBefore w:val="0"/>
        <w:widowControl w:val="0"/>
        <w:kinsoku/>
        <w:wordWrap/>
        <w:overflowPunct/>
        <w:bidi w:val="0"/>
        <w:spacing w:line="360" w:lineRule="auto"/>
        <w:ind w:left="210" w:leftChars="100"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比选申请人综合得分=商务部分得分+技术方案得分。</w:t>
      </w:r>
    </w:p>
    <w:p w14:paraId="087CF086">
      <w:pPr>
        <w:pStyle w:val="4"/>
        <w:keepNext w:val="0"/>
        <w:keepLines w:val="0"/>
        <w:pageBreakBefore w:val="0"/>
        <w:widowControl w:val="0"/>
        <w:numPr>
          <w:ilvl w:val="0"/>
          <w:numId w:val="0"/>
        </w:numPr>
        <w:kinsoku/>
        <w:wordWrap/>
        <w:overflowPunct/>
        <w:bidi w:val="0"/>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14:textFill>
            <w14:solidFill>
              <w14:schemeClr w14:val="tx1"/>
            </w14:solidFill>
          </w14:textFill>
        </w:rPr>
        <w:t>比选程序</w:t>
      </w:r>
    </w:p>
    <w:p w14:paraId="0FC6901D">
      <w:pPr>
        <w:pStyle w:val="4"/>
        <w:keepNext w:val="0"/>
        <w:keepLines w:val="0"/>
        <w:pageBreakBefore w:val="0"/>
        <w:widowControl w:val="0"/>
        <w:numPr>
          <w:ilvl w:val="0"/>
          <w:numId w:val="0"/>
        </w:numPr>
        <w:kinsoku/>
        <w:wordWrap/>
        <w:overflowPunct/>
        <w:bidi w:val="0"/>
        <w:spacing w:line="360" w:lineRule="auto"/>
        <w:ind w:firstLine="480" w:firstLineChars="200"/>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E54C5E" w:themeColor="accent6"/>
          <w:sz w:val="24"/>
          <w:szCs w:val="24"/>
          <w14:textFill>
            <w14:solidFill>
              <w14:schemeClr w14:val="accent6"/>
            </w14:solidFill>
          </w14:textFill>
        </w:rPr>
        <w:t>成立比选评标委员会</w:t>
      </w:r>
      <w:r>
        <w:rPr>
          <w:rFonts w:hint="eastAsia" w:ascii="仿宋" w:hAnsi="仿宋" w:eastAsia="仿宋" w:cs="仿宋"/>
          <w:color w:val="E54C5E" w:themeColor="accent6"/>
          <w:sz w:val="24"/>
          <w:szCs w:val="24"/>
          <w:lang w:eastAsia="zh-CN"/>
          <w14:textFill>
            <w14:solidFill>
              <w14:schemeClr w14:val="accent6"/>
            </w14:solidFill>
          </w14:textFill>
        </w:rPr>
        <w:t>：</w:t>
      </w:r>
      <w:r>
        <w:rPr>
          <w:rFonts w:hint="eastAsia" w:ascii="仿宋" w:hAnsi="仿宋" w:eastAsia="仿宋" w:cs="仿宋"/>
          <w:color w:val="E54C5E" w:themeColor="accent6"/>
          <w:spacing w:val="15"/>
          <w:kern w:val="0"/>
          <w:sz w:val="24"/>
          <w:lang w:val="en-US" w:eastAsia="zh-CN"/>
          <w14:textFill>
            <w14:solidFill>
              <w14:schemeClr w14:val="accent6"/>
            </w14:solidFill>
          </w14:textFill>
        </w:rPr>
        <w:t>招标人在开标日，在公司纪检部门的监督下从湖南省专家评委库蓝山籍中随机抽取3人组成无领导小组比选评标委员会</w:t>
      </w:r>
      <w:r>
        <w:rPr>
          <w:rFonts w:hint="eastAsia" w:ascii="仿宋" w:hAnsi="仿宋" w:eastAsia="仿宋" w:cs="仿宋"/>
          <w:color w:val="000000" w:themeColor="text1"/>
          <w:spacing w:val="15"/>
          <w:kern w:val="0"/>
          <w:sz w:val="24"/>
          <w:lang w:val="en-US" w:eastAsia="zh-CN"/>
          <w14:textFill>
            <w14:solidFill>
              <w14:schemeClr w14:val="tx1"/>
            </w14:solidFill>
          </w14:textFill>
        </w:rPr>
        <w:t>。</w:t>
      </w:r>
    </w:p>
    <w:p w14:paraId="311341FE">
      <w:pPr>
        <w:pStyle w:val="4"/>
        <w:keepNext w:val="0"/>
        <w:keepLines w:val="0"/>
        <w:pageBreakBefore w:val="0"/>
        <w:widowControl w:val="0"/>
        <w:numPr>
          <w:ilvl w:val="0"/>
          <w:numId w:val="0"/>
        </w:numPr>
        <w:kinsoku/>
        <w:wordWrap/>
        <w:overflowPunct/>
        <w:bidi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资格性评审；</w:t>
      </w:r>
    </w:p>
    <w:p w14:paraId="63A9D05E">
      <w:pPr>
        <w:pStyle w:val="4"/>
        <w:keepNext w:val="0"/>
        <w:keepLines w:val="0"/>
        <w:pageBreakBefore w:val="0"/>
        <w:widowControl w:val="0"/>
        <w:numPr>
          <w:ilvl w:val="0"/>
          <w:numId w:val="0"/>
        </w:numPr>
        <w:kinsoku/>
        <w:wordWrap/>
        <w:overflowPunct/>
        <w:bidi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初步评审；</w:t>
      </w:r>
    </w:p>
    <w:p w14:paraId="71DC47A4">
      <w:pPr>
        <w:pStyle w:val="4"/>
        <w:keepNext w:val="0"/>
        <w:keepLines w:val="0"/>
        <w:pageBreakBefore w:val="0"/>
        <w:widowControl w:val="0"/>
        <w:numPr>
          <w:ilvl w:val="0"/>
          <w:numId w:val="0"/>
        </w:numPr>
        <w:kinsoku/>
        <w:wordWrap/>
        <w:overflowPunct/>
        <w:bidi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详细评审；</w:t>
      </w:r>
    </w:p>
    <w:p w14:paraId="33090206">
      <w:pPr>
        <w:pStyle w:val="4"/>
        <w:keepNext w:val="0"/>
        <w:keepLines w:val="0"/>
        <w:pageBreakBefore w:val="0"/>
        <w:widowControl w:val="0"/>
        <w:kinsoku/>
        <w:wordWrap/>
        <w:overflowPunct/>
        <w:bidi w:val="0"/>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推荐中标候选人。</w:t>
      </w:r>
    </w:p>
    <w:p w14:paraId="31E7FF26">
      <w:pPr>
        <w:keepNext w:val="0"/>
        <w:keepLines w:val="0"/>
        <w:pageBreakBefore w:val="0"/>
        <w:widowControl w:val="0"/>
        <w:kinsoku/>
        <w:wordWrap/>
        <w:overflowPunct/>
        <w:bidi w:val="0"/>
        <w:spacing w:line="360" w:lineRule="auto"/>
        <w:ind w:firstLine="482" w:firstLineChars="200"/>
        <w:jc w:val="left"/>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lang w:val="en-US" w:eastAsia="zh-CN"/>
          <w14:textFill>
            <w14:solidFill>
              <w14:schemeClr w14:val="tx1"/>
            </w14:solidFill>
          </w14:textFill>
        </w:rPr>
        <w:t>四</w:t>
      </w:r>
      <w:r>
        <w:rPr>
          <w:rFonts w:hint="eastAsia" w:ascii="仿宋" w:hAnsi="仿宋" w:eastAsia="仿宋" w:cs="仿宋"/>
          <w:b/>
          <w:bCs/>
          <w:color w:val="000000" w:themeColor="text1"/>
          <w:kern w:val="0"/>
          <w:sz w:val="24"/>
          <w14:textFill>
            <w14:solidFill>
              <w14:schemeClr w14:val="tx1"/>
            </w14:solidFill>
          </w14:textFill>
        </w:rPr>
        <w:t>、申请人出现以下情况之一，其比选申请文件为无效申请文件：</w:t>
      </w:r>
    </w:p>
    <w:p w14:paraId="2C503846">
      <w:pPr>
        <w:keepNext w:val="0"/>
        <w:keepLines w:val="0"/>
        <w:pageBreakBefore w:val="0"/>
        <w:widowControl w:val="0"/>
        <w:kinsoku/>
        <w:wordWrap/>
        <w:overflowPunct/>
        <w:bidi w:val="0"/>
        <w:spacing w:line="360" w:lineRule="auto"/>
        <w:ind w:left="311" w:firstLine="540" w:firstLineChars="200"/>
        <w:jc w:val="left"/>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lang w:val="en-US" w:eastAsia="zh-CN"/>
          <w14:textFill>
            <w14:solidFill>
              <w14:schemeClr w14:val="tx1"/>
            </w14:solidFill>
          </w14:textFill>
        </w:rPr>
        <w:t>1</w:t>
      </w:r>
      <w:r>
        <w:rPr>
          <w:rFonts w:hint="eastAsia" w:ascii="仿宋" w:hAnsi="仿宋" w:eastAsia="仿宋" w:cs="仿宋"/>
          <w:color w:val="000000" w:themeColor="text1"/>
          <w:spacing w:val="15"/>
          <w:kern w:val="0"/>
          <w:sz w:val="24"/>
          <w14:textFill>
            <w14:solidFill>
              <w14:schemeClr w14:val="tx1"/>
            </w14:solidFill>
          </w14:textFill>
        </w:rPr>
        <w:t>、比选申请文件中有弄虚作假的内容。（如假证书、假业绩、隐瞒不良行为记录、夸大荣誉、使用非本单位在职员工的相关证件等），在签订合同之前，招标人如发现中标人的比选申请文件有弄虚作假内容，招标人可拒绝与其签订合同，并要求中标人赔偿损失。</w:t>
      </w:r>
    </w:p>
    <w:p w14:paraId="24EE9859">
      <w:pPr>
        <w:keepNext w:val="0"/>
        <w:keepLines w:val="0"/>
        <w:pageBreakBefore w:val="0"/>
        <w:widowControl w:val="0"/>
        <w:kinsoku/>
        <w:wordWrap/>
        <w:overflowPunct/>
        <w:bidi w:val="0"/>
        <w:spacing w:line="360" w:lineRule="auto"/>
        <w:ind w:left="311" w:firstLine="540" w:firstLineChars="200"/>
        <w:jc w:val="left"/>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lang w:val="en-US" w:eastAsia="zh-CN"/>
          <w14:textFill>
            <w14:solidFill>
              <w14:schemeClr w14:val="tx1"/>
            </w14:solidFill>
          </w14:textFill>
        </w:rPr>
        <w:t>2</w:t>
      </w:r>
      <w:r>
        <w:rPr>
          <w:rFonts w:hint="eastAsia" w:ascii="仿宋" w:hAnsi="仿宋" w:eastAsia="仿宋" w:cs="仿宋"/>
          <w:color w:val="000000" w:themeColor="text1"/>
          <w:spacing w:val="15"/>
          <w:kern w:val="0"/>
          <w:sz w:val="24"/>
          <w14:textFill>
            <w14:solidFill>
              <w14:schemeClr w14:val="tx1"/>
            </w14:solidFill>
          </w14:textFill>
        </w:rPr>
        <w:t>、比选申请文件附有招标人不能接受的条件。</w:t>
      </w:r>
    </w:p>
    <w:p w14:paraId="2F5078AE">
      <w:pPr>
        <w:keepNext w:val="0"/>
        <w:keepLines w:val="0"/>
        <w:pageBreakBefore w:val="0"/>
        <w:widowControl w:val="0"/>
        <w:kinsoku/>
        <w:wordWrap/>
        <w:overflowPunct/>
        <w:bidi w:val="0"/>
        <w:spacing w:line="360" w:lineRule="auto"/>
        <w:ind w:left="311" w:firstLine="540" w:firstLineChars="200"/>
        <w:jc w:val="left"/>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lang w:val="en-US" w:eastAsia="zh-CN"/>
          <w14:textFill>
            <w14:solidFill>
              <w14:schemeClr w14:val="tx1"/>
            </w14:solidFill>
          </w14:textFill>
        </w:rPr>
        <w:t>3</w:t>
      </w:r>
      <w:r>
        <w:rPr>
          <w:rFonts w:hint="eastAsia" w:ascii="仿宋" w:hAnsi="仿宋" w:eastAsia="仿宋" w:cs="仿宋"/>
          <w:color w:val="000000" w:themeColor="text1"/>
          <w:spacing w:val="15"/>
          <w:kern w:val="0"/>
          <w:sz w:val="24"/>
          <w14:textFill>
            <w14:solidFill>
              <w14:schemeClr w14:val="tx1"/>
            </w14:solidFill>
          </w14:textFill>
        </w:rPr>
        <w:t>、投标有效期不足。</w:t>
      </w:r>
    </w:p>
    <w:p w14:paraId="4EBFF1FD">
      <w:pPr>
        <w:keepNext w:val="0"/>
        <w:keepLines w:val="0"/>
        <w:pageBreakBefore w:val="0"/>
        <w:widowControl w:val="0"/>
        <w:kinsoku/>
        <w:wordWrap/>
        <w:overflowPunct/>
        <w:bidi w:val="0"/>
        <w:spacing w:line="360" w:lineRule="auto"/>
        <w:ind w:left="311" w:firstLine="540" w:firstLineChars="200"/>
        <w:jc w:val="left"/>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lang w:val="en-US" w:eastAsia="zh-CN"/>
          <w14:textFill>
            <w14:solidFill>
              <w14:schemeClr w14:val="tx1"/>
            </w14:solidFill>
          </w14:textFill>
        </w:rPr>
        <w:t>4</w:t>
      </w:r>
      <w:r>
        <w:rPr>
          <w:rFonts w:hint="eastAsia" w:ascii="仿宋" w:hAnsi="仿宋" w:eastAsia="仿宋" w:cs="仿宋"/>
          <w:color w:val="000000" w:themeColor="text1"/>
          <w:spacing w:val="15"/>
          <w:kern w:val="0"/>
          <w:sz w:val="24"/>
          <w14:textFill>
            <w14:solidFill>
              <w14:schemeClr w14:val="tx1"/>
            </w14:solidFill>
          </w14:textFill>
        </w:rPr>
        <w:t>、资格性评审及初步评审不合格的。</w:t>
      </w:r>
    </w:p>
    <w:p w14:paraId="7A7153DA">
      <w:pPr>
        <w:keepNext w:val="0"/>
        <w:keepLines w:val="0"/>
        <w:pageBreakBefore w:val="0"/>
        <w:widowControl w:val="0"/>
        <w:kinsoku/>
        <w:wordWrap/>
        <w:overflowPunct/>
        <w:bidi w:val="0"/>
        <w:spacing w:line="360" w:lineRule="auto"/>
        <w:ind w:left="311" w:firstLine="540" w:firstLineChars="200"/>
        <w:jc w:val="left"/>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lang w:val="en-US" w:eastAsia="zh-CN"/>
          <w14:textFill>
            <w14:solidFill>
              <w14:schemeClr w14:val="tx1"/>
            </w14:solidFill>
          </w14:textFill>
        </w:rPr>
        <w:t>5</w:t>
      </w:r>
      <w:r>
        <w:rPr>
          <w:rFonts w:hint="eastAsia" w:ascii="仿宋" w:hAnsi="仿宋" w:eastAsia="仿宋" w:cs="仿宋"/>
          <w:color w:val="000000" w:themeColor="text1"/>
          <w:spacing w:val="15"/>
          <w:kern w:val="0"/>
          <w:sz w:val="24"/>
          <w14:textFill>
            <w14:solidFill>
              <w14:schemeClr w14:val="tx1"/>
            </w14:solidFill>
          </w14:textFill>
        </w:rPr>
        <w:t>、出现两个或两个以上报价的。</w:t>
      </w:r>
    </w:p>
    <w:p w14:paraId="6A41D392">
      <w:pPr>
        <w:keepNext w:val="0"/>
        <w:keepLines w:val="0"/>
        <w:pageBreakBefore w:val="0"/>
        <w:widowControl w:val="0"/>
        <w:kinsoku/>
        <w:wordWrap/>
        <w:overflowPunct/>
        <w:bidi w:val="0"/>
        <w:spacing w:line="360" w:lineRule="auto"/>
        <w:ind w:left="311" w:firstLine="540" w:firstLineChars="200"/>
        <w:jc w:val="left"/>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lang w:val="en-US" w:eastAsia="zh-CN"/>
          <w14:textFill>
            <w14:solidFill>
              <w14:schemeClr w14:val="tx1"/>
            </w14:solidFill>
          </w14:textFill>
        </w:rPr>
        <w:t>6</w:t>
      </w:r>
      <w:r>
        <w:rPr>
          <w:rFonts w:hint="eastAsia" w:ascii="仿宋" w:hAnsi="仿宋" w:eastAsia="仿宋" w:cs="仿宋"/>
          <w:color w:val="000000" w:themeColor="text1"/>
          <w:spacing w:val="15"/>
          <w:kern w:val="0"/>
          <w:sz w:val="24"/>
          <w14:textFill>
            <w14:solidFill>
              <w14:schemeClr w14:val="tx1"/>
            </w14:solidFill>
          </w14:textFill>
        </w:rPr>
        <w:t>、出现关键内容字迹模糊无法辩认的。</w:t>
      </w:r>
    </w:p>
    <w:p w14:paraId="3553D7CF">
      <w:pPr>
        <w:keepNext w:val="0"/>
        <w:keepLines w:val="0"/>
        <w:pageBreakBefore w:val="0"/>
        <w:widowControl w:val="0"/>
        <w:kinsoku/>
        <w:wordWrap/>
        <w:overflowPunct/>
        <w:bidi w:val="0"/>
        <w:spacing w:line="360" w:lineRule="auto"/>
        <w:ind w:firstLine="540" w:firstLineChars="200"/>
        <w:outlineLvl w:val="0"/>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14:textFill>
            <w14:solidFill>
              <w14:schemeClr w14:val="tx1"/>
            </w14:solidFill>
          </w14:textFill>
        </w:rPr>
        <w:br w:type="page"/>
      </w:r>
      <w:r>
        <w:rPr>
          <w:rFonts w:hint="eastAsia" w:ascii="仿宋" w:hAnsi="仿宋" w:eastAsia="仿宋" w:cs="仿宋"/>
          <w:color w:val="000000" w:themeColor="text1"/>
          <w:spacing w:val="15"/>
          <w:kern w:val="0"/>
          <w:sz w:val="24"/>
          <w14:textFill>
            <w14:solidFill>
              <w14:schemeClr w14:val="tx1"/>
            </w14:solidFill>
          </w14:textFill>
        </w:rPr>
        <w:t>附表1：</w:t>
      </w:r>
    </w:p>
    <w:p w14:paraId="1E9EB2E9">
      <w:pPr>
        <w:pStyle w:val="4"/>
        <w:keepNext w:val="0"/>
        <w:keepLines w:val="0"/>
        <w:pageBreakBefore w:val="0"/>
        <w:widowControl w:val="0"/>
        <w:kinsoku/>
        <w:wordWrap/>
        <w:overflowPunct/>
        <w:bidi w:val="0"/>
        <w:ind w:firstLine="311"/>
        <w:jc w:val="center"/>
        <w:rPr>
          <w:rFonts w:hint="eastAsia" w:ascii="仿宋" w:hAnsi="仿宋" w:eastAsia="仿宋" w:cs="仿宋"/>
          <w:b/>
          <w:bCs/>
          <w:color w:val="000000" w:themeColor="text1"/>
          <w:spacing w:val="15"/>
          <w:kern w:val="0"/>
          <w:sz w:val="28"/>
          <w:szCs w:val="21"/>
          <w14:textFill>
            <w14:solidFill>
              <w14:schemeClr w14:val="tx1"/>
            </w14:solidFill>
          </w14:textFill>
        </w:rPr>
      </w:pPr>
      <w:r>
        <w:rPr>
          <w:rFonts w:hint="eastAsia" w:ascii="仿宋" w:hAnsi="仿宋" w:eastAsia="仿宋" w:cs="仿宋"/>
          <w:b/>
          <w:bCs/>
          <w:color w:val="000000" w:themeColor="text1"/>
          <w:spacing w:val="15"/>
          <w:kern w:val="0"/>
          <w:sz w:val="28"/>
          <w:szCs w:val="21"/>
          <w14:textFill>
            <w14:solidFill>
              <w14:schemeClr w14:val="tx1"/>
            </w14:solidFill>
          </w14:textFill>
        </w:rPr>
        <w:t>资格性评审表</w:t>
      </w:r>
    </w:p>
    <w:tbl>
      <w:tblPr>
        <w:tblStyle w:val="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6395"/>
        <w:gridCol w:w="1870"/>
      </w:tblGrid>
      <w:tr w14:paraId="75E8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14" w:type="dxa"/>
            <w:vAlign w:val="center"/>
          </w:tcPr>
          <w:p w14:paraId="7FF2A344">
            <w:pPr>
              <w:pStyle w:val="4"/>
              <w:keepNext w:val="0"/>
              <w:keepLines w:val="0"/>
              <w:pageBreakBefore w:val="0"/>
              <w:widowControl w:val="0"/>
              <w:kinsoku/>
              <w:wordWrap/>
              <w:overflowPunct/>
              <w:bidi w:val="0"/>
              <w:ind w:firstLine="240"/>
              <w:jc w:val="center"/>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序号</w:t>
            </w:r>
          </w:p>
        </w:tc>
        <w:tc>
          <w:tcPr>
            <w:tcW w:w="6395" w:type="dxa"/>
            <w:vAlign w:val="center"/>
          </w:tcPr>
          <w:p w14:paraId="677B8C14">
            <w:pPr>
              <w:pStyle w:val="4"/>
              <w:keepNext w:val="0"/>
              <w:keepLines w:val="0"/>
              <w:pageBreakBefore w:val="0"/>
              <w:widowControl w:val="0"/>
              <w:kinsoku/>
              <w:wordWrap/>
              <w:overflowPunct/>
              <w:bidi w:val="0"/>
              <w:ind w:firstLine="240"/>
              <w:jc w:val="center"/>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评审内容及标准</w:t>
            </w:r>
          </w:p>
        </w:tc>
        <w:tc>
          <w:tcPr>
            <w:tcW w:w="1870" w:type="dxa"/>
            <w:vAlign w:val="center"/>
          </w:tcPr>
          <w:p w14:paraId="1032BCE2">
            <w:pPr>
              <w:pStyle w:val="4"/>
              <w:keepNext w:val="0"/>
              <w:keepLines w:val="0"/>
              <w:pageBreakBefore w:val="0"/>
              <w:widowControl w:val="0"/>
              <w:kinsoku/>
              <w:wordWrap/>
              <w:overflowPunct/>
              <w:bidi w:val="0"/>
              <w:jc w:val="both"/>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合格/不合格</w:t>
            </w:r>
          </w:p>
        </w:tc>
      </w:tr>
      <w:tr w14:paraId="041E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4" w:type="dxa"/>
            <w:vAlign w:val="center"/>
          </w:tcPr>
          <w:p w14:paraId="4BBC4B8F">
            <w:pPr>
              <w:pStyle w:val="4"/>
              <w:keepNext w:val="0"/>
              <w:keepLines w:val="0"/>
              <w:pageBreakBefore w:val="0"/>
              <w:widowControl w:val="0"/>
              <w:kinsoku/>
              <w:wordWrap/>
              <w:overflowPunct/>
              <w:bidi w:val="0"/>
              <w:ind w:firstLine="240"/>
              <w:jc w:val="center"/>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1</w:t>
            </w:r>
          </w:p>
        </w:tc>
        <w:tc>
          <w:tcPr>
            <w:tcW w:w="6395" w:type="dxa"/>
            <w:vAlign w:val="top"/>
          </w:tcPr>
          <w:p w14:paraId="6950379C">
            <w:pPr>
              <w:pStyle w:val="4"/>
              <w:keepNext w:val="0"/>
              <w:keepLines w:val="0"/>
              <w:pageBreakBefore w:val="0"/>
              <w:widowControl w:val="0"/>
              <w:kinsoku/>
              <w:wordWrap/>
              <w:overflowPunct/>
              <w:bidi w:val="0"/>
              <w:ind w:left="0" w:leftChars="0" w:firstLine="0" w:firstLineChars="0"/>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zCs w:val="16"/>
                <w14:textFill>
                  <w14:solidFill>
                    <w14:schemeClr w14:val="tx1"/>
                  </w14:solidFill>
                </w14:textFill>
              </w:rPr>
              <w:t>具有独立法人资格，持有有效的营业执照。</w:t>
            </w:r>
          </w:p>
        </w:tc>
        <w:tc>
          <w:tcPr>
            <w:tcW w:w="1870" w:type="dxa"/>
            <w:vAlign w:val="top"/>
          </w:tcPr>
          <w:p w14:paraId="1EBCB511">
            <w:pPr>
              <w:pStyle w:val="4"/>
              <w:keepNext w:val="0"/>
              <w:keepLines w:val="0"/>
              <w:pageBreakBefore w:val="0"/>
              <w:widowControl w:val="0"/>
              <w:kinsoku/>
              <w:wordWrap/>
              <w:overflowPunct/>
              <w:bidi w:val="0"/>
              <w:ind w:firstLine="240"/>
              <w:rPr>
                <w:rFonts w:ascii="仿宋" w:hAnsi="仿宋" w:eastAsia="仿宋" w:cs="仿宋"/>
                <w:color w:val="000000" w:themeColor="text1"/>
                <w:spacing w:val="15"/>
                <w:kern w:val="0"/>
                <w:szCs w:val="16"/>
                <w14:textFill>
                  <w14:solidFill>
                    <w14:schemeClr w14:val="tx1"/>
                  </w14:solidFill>
                </w14:textFill>
              </w:rPr>
            </w:pPr>
          </w:p>
        </w:tc>
      </w:tr>
      <w:tr w14:paraId="4879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14" w:type="dxa"/>
            <w:vAlign w:val="center"/>
          </w:tcPr>
          <w:p w14:paraId="57B7C407">
            <w:pPr>
              <w:pStyle w:val="4"/>
              <w:keepNext w:val="0"/>
              <w:keepLines w:val="0"/>
              <w:pageBreakBefore w:val="0"/>
              <w:widowControl w:val="0"/>
              <w:kinsoku/>
              <w:wordWrap/>
              <w:overflowPunct/>
              <w:bidi w:val="0"/>
              <w:ind w:firstLine="240"/>
              <w:jc w:val="center"/>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2</w:t>
            </w:r>
          </w:p>
        </w:tc>
        <w:tc>
          <w:tcPr>
            <w:tcW w:w="6395" w:type="dxa"/>
            <w:vAlign w:val="top"/>
          </w:tcPr>
          <w:p w14:paraId="6C388CE9">
            <w:pPr>
              <w:pStyle w:val="4"/>
              <w:keepNext w:val="0"/>
              <w:keepLines w:val="0"/>
              <w:pageBreakBefore w:val="0"/>
              <w:widowControl w:val="0"/>
              <w:kinsoku/>
              <w:wordWrap/>
              <w:overflowPunct/>
              <w:bidi w:val="0"/>
              <w:ind w:left="0" w:leftChars="0" w:firstLine="0" w:firstLineChars="0"/>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lang w:val="en-US" w:eastAsia="zh-CN"/>
                <w14:textFill>
                  <w14:solidFill>
                    <w14:schemeClr w14:val="tx1"/>
                  </w14:solidFill>
                </w14:textFill>
              </w:rPr>
              <w:t>申请人</w:t>
            </w:r>
            <w:r>
              <w:rPr>
                <w:rFonts w:ascii="仿宋" w:hAnsi="仿宋" w:eastAsia="仿宋" w:cs="仿宋"/>
                <w:color w:val="000000" w:themeColor="text1"/>
                <w:spacing w:val="15"/>
                <w:kern w:val="0"/>
                <w:szCs w:val="16"/>
                <w14:textFill>
                  <w14:solidFill>
                    <w14:schemeClr w14:val="tx1"/>
                  </w14:solidFill>
                </w14:textFill>
              </w:rPr>
              <w:t>须在</w:t>
            </w:r>
            <w:r>
              <w:rPr>
                <w:rFonts w:hint="eastAsia" w:ascii="仿宋" w:hAnsi="仿宋" w:eastAsia="仿宋" w:cs="仿宋"/>
                <w:color w:val="000000" w:themeColor="text1"/>
                <w:spacing w:val="15"/>
                <w:kern w:val="0"/>
                <w:szCs w:val="16"/>
                <w14:textFill>
                  <w14:solidFill>
                    <w14:schemeClr w14:val="tx1"/>
                  </w14:solidFill>
                </w14:textFill>
              </w:rPr>
              <w:t>湖南省招标投标监管网</w:t>
            </w:r>
            <w:r>
              <w:rPr>
                <w:rFonts w:hint="eastAsia" w:ascii="仿宋" w:hAnsi="仿宋" w:eastAsia="仿宋" w:cs="仿宋"/>
                <w:color w:val="000000" w:themeColor="text1"/>
                <w:spacing w:val="15"/>
                <w:kern w:val="0"/>
                <w:szCs w:val="16"/>
                <w:lang w:val="en-US" w:eastAsia="zh-CN"/>
                <w14:textFill>
                  <w14:solidFill>
                    <w14:schemeClr w14:val="tx1"/>
                  </w14:solidFill>
                </w14:textFill>
              </w:rPr>
              <w:t>或</w:t>
            </w:r>
            <w:r>
              <w:rPr>
                <w:rFonts w:ascii="仿宋" w:hAnsi="仿宋" w:eastAsia="仿宋" w:cs="仿宋"/>
                <w:color w:val="000000" w:themeColor="text1"/>
                <w:spacing w:val="15"/>
                <w:kern w:val="0"/>
                <w:szCs w:val="16"/>
                <w14:textFill>
                  <w14:solidFill>
                    <w14:schemeClr w14:val="tx1"/>
                  </w14:solidFill>
                </w14:textFill>
              </w:rPr>
              <w:t>湖南省住房和城乡建设厅--智慧住建云平台登记备案(提供网站查询结果)。</w:t>
            </w:r>
          </w:p>
        </w:tc>
        <w:tc>
          <w:tcPr>
            <w:tcW w:w="1870" w:type="dxa"/>
            <w:vAlign w:val="top"/>
          </w:tcPr>
          <w:p w14:paraId="62F9515E">
            <w:pPr>
              <w:pStyle w:val="4"/>
              <w:keepNext w:val="0"/>
              <w:keepLines w:val="0"/>
              <w:pageBreakBefore w:val="0"/>
              <w:widowControl w:val="0"/>
              <w:kinsoku/>
              <w:wordWrap/>
              <w:overflowPunct/>
              <w:bidi w:val="0"/>
              <w:ind w:firstLine="240"/>
              <w:rPr>
                <w:rFonts w:ascii="仿宋" w:hAnsi="仿宋" w:eastAsia="仿宋" w:cs="仿宋"/>
                <w:color w:val="000000" w:themeColor="text1"/>
                <w:spacing w:val="15"/>
                <w:kern w:val="0"/>
                <w:szCs w:val="16"/>
                <w14:textFill>
                  <w14:solidFill>
                    <w14:schemeClr w14:val="tx1"/>
                  </w14:solidFill>
                </w14:textFill>
              </w:rPr>
            </w:pPr>
          </w:p>
        </w:tc>
      </w:tr>
      <w:tr w14:paraId="7D39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214" w:type="dxa"/>
            <w:vAlign w:val="center"/>
          </w:tcPr>
          <w:p w14:paraId="769B0B24">
            <w:pPr>
              <w:pStyle w:val="4"/>
              <w:keepNext w:val="0"/>
              <w:keepLines w:val="0"/>
              <w:pageBreakBefore w:val="0"/>
              <w:widowControl w:val="0"/>
              <w:kinsoku/>
              <w:wordWrap/>
              <w:overflowPunct/>
              <w:bidi w:val="0"/>
              <w:ind w:firstLine="240"/>
              <w:jc w:val="center"/>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3</w:t>
            </w:r>
          </w:p>
        </w:tc>
        <w:tc>
          <w:tcPr>
            <w:tcW w:w="6395" w:type="dxa"/>
            <w:vAlign w:val="top"/>
          </w:tcPr>
          <w:p w14:paraId="5A42D2A8">
            <w:pPr>
              <w:pStyle w:val="4"/>
              <w:keepNext w:val="0"/>
              <w:keepLines w:val="0"/>
              <w:pageBreakBefore w:val="0"/>
              <w:widowControl w:val="0"/>
              <w:kinsoku/>
              <w:wordWrap/>
              <w:overflowPunct/>
              <w:bidi w:val="0"/>
              <w:ind w:left="0" w:leftChars="0" w:firstLine="0" w:firstLineChars="0"/>
              <w:rPr>
                <w:rFonts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zCs w:val="16"/>
                <w14:textFill>
                  <w14:solidFill>
                    <w14:schemeClr w14:val="tx1"/>
                  </w14:solidFill>
                </w14:textFill>
              </w:rPr>
              <w:t>项目负责人资格要求：湖南省招标投标监管网登记的从业人员</w:t>
            </w:r>
            <w:r>
              <w:rPr>
                <w:rFonts w:hint="eastAsia" w:ascii="仿宋" w:hAnsi="仿宋" w:eastAsia="仿宋" w:cs="仿宋"/>
                <w:color w:val="000000" w:themeColor="text1"/>
                <w:szCs w:val="16"/>
                <w:lang w:val="en-US" w:eastAsia="zh-CN"/>
                <w14:textFill>
                  <w14:solidFill>
                    <w14:schemeClr w14:val="tx1"/>
                  </w14:solidFill>
                </w14:textFill>
              </w:rPr>
              <w:t>并</w:t>
            </w:r>
            <w:r>
              <w:rPr>
                <w:rFonts w:hint="eastAsia" w:ascii="仿宋" w:hAnsi="仿宋" w:eastAsia="仿宋" w:cs="仿宋"/>
                <w:color w:val="000000" w:themeColor="text1"/>
                <w:szCs w:val="16"/>
                <w14:textFill>
                  <w14:solidFill>
                    <w14:schemeClr w14:val="tx1"/>
                  </w14:solidFill>
                </w14:textFill>
              </w:rPr>
              <w:t>具有工程建设类中级及以上职称证书或注册类证书（注册建造师证或注册总监理工程师证或注册建筑师证或招标师证），且为申请单位正式员工（提供本单位为其缴纳</w:t>
            </w:r>
            <w:r>
              <w:rPr>
                <w:rFonts w:hint="eastAsia" w:ascii="仿宋" w:hAnsi="仿宋" w:eastAsia="仿宋" w:cs="仿宋"/>
                <w:color w:val="000000" w:themeColor="text1"/>
                <w:szCs w:val="16"/>
                <w:lang w:val="en-US" w:eastAsia="zh-CN"/>
                <w14:textFill>
                  <w14:solidFill>
                    <w14:schemeClr w14:val="tx1"/>
                  </w14:solidFill>
                </w14:textFill>
              </w:rPr>
              <w:t>不少于近3个月</w:t>
            </w:r>
            <w:r>
              <w:rPr>
                <w:rFonts w:hint="eastAsia" w:ascii="仿宋" w:hAnsi="仿宋" w:eastAsia="仿宋" w:cs="仿宋"/>
                <w:color w:val="000000" w:themeColor="text1"/>
                <w:szCs w:val="16"/>
                <w14:textFill>
                  <w14:solidFill>
                    <w14:schemeClr w14:val="tx1"/>
                  </w14:solidFill>
                </w14:textFill>
              </w:rPr>
              <w:t>社保证明）。</w:t>
            </w:r>
          </w:p>
        </w:tc>
        <w:tc>
          <w:tcPr>
            <w:tcW w:w="1870" w:type="dxa"/>
            <w:vAlign w:val="top"/>
          </w:tcPr>
          <w:p w14:paraId="3E628978">
            <w:pPr>
              <w:pStyle w:val="4"/>
              <w:keepNext w:val="0"/>
              <w:keepLines w:val="0"/>
              <w:pageBreakBefore w:val="0"/>
              <w:widowControl w:val="0"/>
              <w:kinsoku/>
              <w:wordWrap/>
              <w:overflowPunct/>
              <w:bidi w:val="0"/>
              <w:ind w:firstLine="240"/>
              <w:rPr>
                <w:rFonts w:ascii="仿宋" w:hAnsi="仿宋" w:eastAsia="仿宋" w:cs="仿宋"/>
                <w:color w:val="000000" w:themeColor="text1"/>
                <w:spacing w:val="15"/>
                <w:kern w:val="0"/>
                <w:szCs w:val="16"/>
                <w14:textFill>
                  <w14:solidFill>
                    <w14:schemeClr w14:val="tx1"/>
                  </w14:solidFill>
                </w14:textFill>
              </w:rPr>
            </w:pPr>
          </w:p>
        </w:tc>
      </w:tr>
      <w:tr w14:paraId="7D0A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1214" w:type="dxa"/>
            <w:vAlign w:val="center"/>
          </w:tcPr>
          <w:p w14:paraId="35B803A7">
            <w:pPr>
              <w:pStyle w:val="4"/>
              <w:keepNext w:val="0"/>
              <w:keepLines w:val="0"/>
              <w:pageBreakBefore w:val="0"/>
              <w:widowControl w:val="0"/>
              <w:kinsoku/>
              <w:wordWrap/>
              <w:overflowPunct/>
              <w:bidi w:val="0"/>
              <w:ind w:firstLine="240"/>
              <w:jc w:val="center"/>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4</w:t>
            </w:r>
          </w:p>
        </w:tc>
        <w:tc>
          <w:tcPr>
            <w:tcW w:w="6395" w:type="dxa"/>
            <w:vAlign w:val="top"/>
          </w:tcPr>
          <w:p w14:paraId="4B278F6B">
            <w:pPr>
              <w:keepNext w:val="0"/>
              <w:keepLines w:val="0"/>
              <w:pageBreakBefore w:val="0"/>
              <w:widowControl w:val="0"/>
              <w:kinsoku/>
              <w:wordWrap/>
              <w:overflowPunct/>
              <w:bidi w:val="0"/>
              <w:spacing w:line="360" w:lineRule="auto"/>
              <w:jc w:val="left"/>
              <w:textAlignment w:val="top"/>
              <w:rPr>
                <w:rFonts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具有良好的商业信誉，</w:t>
            </w:r>
            <w:r>
              <w:rPr>
                <w:rFonts w:hint="eastAsia" w:ascii="仿宋" w:hAnsi="仿宋" w:eastAsia="仿宋" w:cs="仿宋"/>
                <w:bCs/>
                <w:color w:val="000000" w:themeColor="text1"/>
                <w:szCs w:val="21"/>
                <w14:textFill>
                  <w14:solidFill>
                    <w14:schemeClr w14:val="tx1"/>
                  </w14:solidFill>
                </w14:textFill>
              </w:rPr>
              <w:t>未被信用中国网站（www.creditchina.gov.cn）</w:t>
            </w:r>
            <w:r>
              <w:rPr>
                <w:rFonts w:hint="eastAsia" w:ascii="仿宋" w:hAnsi="仿宋" w:eastAsia="仿宋" w:cs="仿宋"/>
                <w:color w:val="000000" w:themeColor="text1"/>
                <w:szCs w:val="21"/>
                <w14:textFill>
                  <w14:solidFill>
                    <w14:schemeClr w14:val="tx1"/>
                  </w14:solidFill>
                </w14:textFill>
              </w:rPr>
              <w:t>或国家企业信用信息公示系统（http://www.gsxt.gov.cn/）</w:t>
            </w:r>
            <w:r>
              <w:rPr>
                <w:rFonts w:hint="eastAsia" w:ascii="仿宋" w:hAnsi="仿宋" w:eastAsia="仿宋" w:cs="仿宋"/>
                <w:bCs/>
                <w:color w:val="000000" w:themeColor="text1"/>
                <w:szCs w:val="21"/>
                <w14:textFill>
                  <w14:solidFill>
                    <w14:schemeClr w14:val="tx1"/>
                  </w14:solidFill>
                </w14:textFill>
              </w:rPr>
              <w:t>列入失信被执行人、重大税收违法案件当事人名单、政府采购严重违法失信行为记录名单</w:t>
            </w:r>
            <w:r>
              <w:rPr>
                <w:rFonts w:hint="eastAsia" w:ascii="仿宋" w:hAnsi="仿宋" w:eastAsia="仿宋" w:cs="仿宋"/>
                <w:color w:val="000000" w:themeColor="text1"/>
                <w:szCs w:val="21"/>
                <w14:textFill>
                  <w14:solidFill>
                    <w14:schemeClr w14:val="tx1"/>
                  </w14:solidFill>
                </w14:textFill>
              </w:rPr>
              <w:t>。</w:t>
            </w:r>
          </w:p>
        </w:tc>
        <w:tc>
          <w:tcPr>
            <w:tcW w:w="1870" w:type="dxa"/>
            <w:vAlign w:val="top"/>
          </w:tcPr>
          <w:p w14:paraId="520B3128">
            <w:pPr>
              <w:pStyle w:val="4"/>
              <w:keepNext w:val="0"/>
              <w:keepLines w:val="0"/>
              <w:pageBreakBefore w:val="0"/>
              <w:widowControl w:val="0"/>
              <w:kinsoku/>
              <w:wordWrap/>
              <w:overflowPunct/>
              <w:bidi w:val="0"/>
              <w:ind w:firstLine="240"/>
              <w:rPr>
                <w:rFonts w:ascii="仿宋" w:hAnsi="仿宋" w:eastAsia="仿宋" w:cs="仿宋"/>
                <w:color w:val="000000" w:themeColor="text1"/>
                <w:spacing w:val="15"/>
                <w:kern w:val="0"/>
                <w:szCs w:val="16"/>
                <w14:textFill>
                  <w14:solidFill>
                    <w14:schemeClr w14:val="tx1"/>
                  </w14:solidFill>
                </w14:textFill>
              </w:rPr>
            </w:pPr>
          </w:p>
        </w:tc>
      </w:tr>
      <w:tr w14:paraId="692C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14" w:type="dxa"/>
            <w:vAlign w:val="center"/>
          </w:tcPr>
          <w:p w14:paraId="7561264C">
            <w:pPr>
              <w:pStyle w:val="4"/>
              <w:keepNext w:val="0"/>
              <w:keepLines w:val="0"/>
              <w:pageBreakBefore w:val="0"/>
              <w:widowControl w:val="0"/>
              <w:kinsoku/>
              <w:wordWrap/>
              <w:overflowPunct/>
              <w:bidi w:val="0"/>
              <w:ind w:firstLine="240"/>
              <w:jc w:val="center"/>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5</w:t>
            </w:r>
          </w:p>
        </w:tc>
        <w:tc>
          <w:tcPr>
            <w:tcW w:w="6395" w:type="dxa"/>
            <w:vAlign w:val="top"/>
          </w:tcPr>
          <w:p w14:paraId="209AD47A">
            <w:pPr>
              <w:pStyle w:val="4"/>
              <w:keepNext w:val="0"/>
              <w:keepLines w:val="0"/>
              <w:pageBreakBefore w:val="0"/>
              <w:widowControl w:val="0"/>
              <w:kinsoku/>
              <w:wordWrap/>
              <w:overflowPunct/>
              <w:bidi w:val="0"/>
              <w:spacing w:line="360" w:lineRule="auto"/>
              <w:ind w:firstLineChars="200"/>
              <w:rPr>
                <w:rFonts w:ascii="仿宋" w:hAnsi="仿宋" w:eastAsia="仿宋" w:cs="仿宋"/>
                <w:color w:val="000000" w:themeColor="text1"/>
                <w:spacing w:val="15"/>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 xml:space="preserve">评审结果 </w:t>
            </w:r>
          </w:p>
        </w:tc>
        <w:tc>
          <w:tcPr>
            <w:tcW w:w="1870" w:type="dxa"/>
            <w:vAlign w:val="top"/>
          </w:tcPr>
          <w:p w14:paraId="702CD7CB">
            <w:pPr>
              <w:pStyle w:val="4"/>
              <w:keepNext w:val="0"/>
              <w:keepLines w:val="0"/>
              <w:pageBreakBefore w:val="0"/>
              <w:widowControl w:val="0"/>
              <w:kinsoku/>
              <w:wordWrap/>
              <w:overflowPunct/>
              <w:bidi w:val="0"/>
              <w:ind w:firstLine="240"/>
              <w:rPr>
                <w:rFonts w:ascii="仿宋" w:hAnsi="仿宋" w:eastAsia="仿宋" w:cs="仿宋"/>
                <w:color w:val="000000" w:themeColor="text1"/>
                <w:spacing w:val="15"/>
                <w:kern w:val="0"/>
                <w:szCs w:val="16"/>
                <w14:textFill>
                  <w14:solidFill>
                    <w14:schemeClr w14:val="tx1"/>
                  </w14:solidFill>
                </w14:textFill>
              </w:rPr>
            </w:pPr>
          </w:p>
        </w:tc>
      </w:tr>
    </w:tbl>
    <w:p w14:paraId="5AE815E9">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16F9414D">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5B20E3E9">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7029B477">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6C9D73C7">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2B2C0C5A">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3A1671FD">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3D311810">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202C4C16">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748042A3">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1D772297">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12117133">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6D865935">
      <w:pPr>
        <w:pStyle w:val="4"/>
        <w:keepNext w:val="0"/>
        <w:keepLines w:val="0"/>
        <w:pageBreakBefore w:val="0"/>
        <w:widowControl w:val="0"/>
        <w:kinsoku/>
        <w:wordWrap/>
        <w:overflowPunct/>
        <w:bidi w:val="0"/>
        <w:ind w:firstLine="540" w:firstLineChars="200"/>
        <w:rPr>
          <w:rFonts w:hint="eastAsia" w:ascii="仿宋" w:hAnsi="仿宋" w:eastAsia="仿宋" w:cs="仿宋"/>
          <w:color w:val="000000" w:themeColor="text1"/>
          <w:spacing w:val="15"/>
          <w:kern w:val="0"/>
          <w:sz w:val="24"/>
          <w14:textFill>
            <w14:solidFill>
              <w14:schemeClr w14:val="tx1"/>
            </w14:solidFill>
          </w14:textFill>
        </w:rPr>
      </w:pPr>
    </w:p>
    <w:p w14:paraId="5B3670F1">
      <w:pPr>
        <w:pStyle w:val="4"/>
        <w:keepNext w:val="0"/>
        <w:keepLines w:val="0"/>
        <w:pageBreakBefore w:val="0"/>
        <w:widowControl w:val="0"/>
        <w:kinsoku/>
        <w:wordWrap/>
        <w:overflowPunct/>
        <w:bidi w:val="0"/>
        <w:ind w:firstLine="540" w:firstLineChars="200"/>
        <w:rPr>
          <w:rFonts w:hint="eastAsia" w:ascii="仿宋" w:hAnsi="仿宋" w:eastAsia="仿宋" w:cs="仿宋"/>
          <w:color w:val="000000" w:themeColor="text1"/>
          <w:spacing w:val="15"/>
          <w:kern w:val="0"/>
          <w:sz w:val="24"/>
          <w14:textFill>
            <w14:solidFill>
              <w14:schemeClr w14:val="tx1"/>
            </w14:solidFill>
          </w14:textFill>
        </w:rPr>
      </w:pPr>
    </w:p>
    <w:p w14:paraId="33979863">
      <w:pPr>
        <w:pStyle w:val="4"/>
        <w:keepNext w:val="0"/>
        <w:keepLines w:val="0"/>
        <w:pageBreakBefore w:val="0"/>
        <w:widowControl w:val="0"/>
        <w:kinsoku/>
        <w:wordWrap/>
        <w:overflowPunct/>
        <w:bidi w:val="0"/>
        <w:ind w:firstLine="540" w:firstLineChars="200"/>
        <w:rPr>
          <w:rFonts w:hint="eastAsia" w:ascii="仿宋" w:hAnsi="仿宋" w:eastAsia="仿宋" w:cs="仿宋"/>
          <w:color w:val="000000" w:themeColor="text1"/>
          <w:spacing w:val="15"/>
          <w:kern w:val="0"/>
          <w:sz w:val="24"/>
          <w14:textFill>
            <w14:solidFill>
              <w14:schemeClr w14:val="tx1"/>
            </w14:solidFill>
          </w14:textFill>
        </w:rPr>
      </w:pPr>
    </w:p>
    <w:p w14:paraId="7DD4029F">
      <w:pPr>
        <w:pStyle w:val="4"/>
        <w:keepNext w:val="0"/>
        <w:keepLines w:val="0"/>
        <w:pageBreakBefore w:val="0"/>
        <w:widowControl w:val="0"/>
        <w:kinsoku/>
        <w:wordWrap/>
        <w:overflowPunct/>
        <w:bidi w:val="0"/>
        <w:ind w:firstLine="540" w:firstLineChars="200"/>
        <w:rPr>
          <w:rFonts w:hint="eastAsia" w:ascii="仿宋" w:hAnsi="仿宋" w:eastAsia="仿宋" w:cs="仿宋"/>
          <w:color w:val="000000" w:themeColor="text1"/>
          <w:spacing w:val="15"/>
          <w:kern w:val="0"/>
          <w:sz w:val="24"/>
          <w14:textFill>
            <w14:solidFill>
              <w14:schemeClr w14:val="tx1"/>
            </w14:solidFill>
          </w14:textFill>
        </w:rPr>
      </w:pPr>
    </w:p>
    <w:p w14:paraId="50344FC0">
      <w:pPr>
        <w:pStyle w:val="4"/>
        <w:keepNext w:val="0"/>
        <w:keepLines w:val="0"/>
        <w:pageBreakBefore w:val="0"/>
        <w:widowControl w:val="0"/>
        <w:kinsoku/>
        <w:wordWrap/>
        <w:overflowPunct/>
        <w:bidi w:val="0"/>
        <w:ind w:firstLine="540" w:firstLineChars="200"/>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14:textFill>
            <w14:solidFill>
              <w14:schemeClr w14:val="tx1"/>
            </w14:solidFill>
          </w14:textFill>
        </w:rPr>
        <w:t>附表2：</w:t>
      </w:r>
    </w:p>
    <w:p w14:paraId="6F32126E">
      <w:pPr>
        <w:pStyle w:val="4"/>
        <w:keepNext w:val="0"/>
        <w:keepLines w:val="0"/>
        <w:pageBreakBefore w:val="0"/>
        <w:widowControl w:val="0"/>
        <w:kinsoku/>
        <w:wordWrap/>
        <w:overflowPunct/>
        <w:bidi w:val="0"/>
        <w:ind w:firstLine="271"/>
        <w:jc w:val="center"/>
        <w:rPr>
          <w:rFonts w:ascii="仿宋" w:hAnsi="仿宋" w:eastAsia="仿宋" w:cs="仿宋"/>
          <w:b/>
          <w:bCs/>
          <w:color w:val="000000" w:themeColor="text1"/>
          <w:spacing w:val="15"/>
          <w:kern w:val="0"/>
          <w:sz w:val="24"/>
          <w14:textFill>
            <w14:solidFill>
              <w14:schemeClr w14:val="tx1"/>
            </w14:solidFill>
          </w14:textFill>
        </w:rPr>
      </w:pPr>
      <w:r>
        <w:rPr>
          <w:rFonts w:hint="eastAsia" w:ascii="仿宋" w:hAnsi="仿宋" w:eastAsia="仿宋" w:cs="仿宋"/>
          <w:b/>
          <w:bCs/>
          <w:color w:val="000000" w:themeColor="text1"/>
          <w:spacing w:val="15"/>
          <w:kern w:val="0"/>
          <w:sz w:val="24"/>
          <w14:textFill>
            <w14:solidFill>
              <w14:schemeClr w14:val="tx1"/>
            </w14:solidFill>
          </w14:textFill>
        </w:rPr>
        <w:t>初步评审表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6398"/>
        <w:gridCol w:w="1560"/>
      </w:tblGrid>
      <w:tr w14:paraId="5698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01" w:type="dxa"/>
            <w:vAlign w:val="center"/>
          </w:tcPr>
          <w:p w14:paraId="4F145BFE">
            <w:pPr>
              <w:pStyle w:val="4"/>
              <w:keepNext w:val="0"/>
              <w:keepLines w:val="0"/>
              <w:pageBreakBefore w:val="0"/>
              <w:widowControl w:val="0"/>
              <w:kinsoku/>
              <w:wordWrap/>
              <w:overflowPunct/>
              <w:bidi w:val="0"/>
              <w:ind w:firstLine="240"/>
              <w:jc w:val="center"/>
              <w:rPr>
                <w:rFonts w:hint="eastAsia" w:ascii="仿宋" w:hAnsi="仿宋" w:eastAsia="仿宋" w:cs="仿宋"/>
                <w:color w:val="000000" w:themeColor="text1"/>
                <w:spacing w:val="15"/>
                <w:kern w:val="0"/>
                <w:szCs w:val="21"/>
                <w14:textFill>
                  <w14:solidFill>
                    <w14:schemeClr w14:val="tx1"/>
                  </w14:solidFill>
                </w14:textFill>
              </w:rPr>
            </w:pPr>
            <w:bookmarkStart w:id="4" w:name="_GoBack"/>
            <w:r>
              <w:rPr>
                <w:rFonts w:hint="eastAsia" w:ascii="仿宋" w:hAnsi="仿宋" w:eastAsia="仿宋" w:cs="仿宋"/>
                <w:color w:val="000000" w:themeColor="text1"/>
                <w:spacing w:val="15"/>
                <w:kern w:val="0"/>
                <w:szCs w:val="21"/>
                <w14:textFill>
                  <w14:solidFill>
                    <w14:schemeClr w14:val="tx1"/>
                  </w14:solidFill>
                </w14:textFill>
              </w:rPr>
              <w:t>序号</w:t>
            </w:r>
          </w:p>
        </w:tc>
        <w:tc>
          <w:tcPr>
            <w:tcW w:w="6398" w:type="dxa"/>
            <w:vAlign w:val="center"/>
          </w:tcPr>
          <w:p w14:paraId="76E44341">
            <w:pPr>
              <w:pStyle w:val="4"/>
              <w:keepNext w:val="0"/>
              <w:keepLines w:val="0"/>
              <w:pageBreakBefore w:val="0"/>
              <w:widowControl w:val="0"/>
              <w:kinsoku/>
              <w:wordWrap/>
              <w:overflowPunct/>
              <w:bidi w:val="0"/>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评审内容及标准</w:t>
            </w:r>
          </w:p>
        </w:tc>
        <w:tc>
          <w:tcPr>
            <w:tcW w:w="1560" w:type="dxa"/>
            <w:vAlign w:val="center"/>
          </w:tcPr>
          <w:p w14:paraId="557E8349">
            <w:pPr>
              <w:pStyle w:val="4"/>
              <w:keepNext w:val="0"/>
              <w:keepLines w:val="0"/>
              <w:pageBreakBefore w:val="0"/>
              <w:widowControl w:val="0"/>
              <w:kinsoku/>
              <w:wordWrap/>
              <w:overflowPunct/>
              <w:bidi w:val="0"/>
              <w:ind w:left="0" w:leftChars="0" w:firstLine="0" w:firstLineChars="0"/>
              <w:jc w:val="both"/>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16"/>
                <w14:textFill>
                  <w14:solidFill>
                    <w14:schemeClr w14:val="tx1"/>
                  </w14:solidFill>
                </w14:textFill>
              </w:rPr>
              <w:t>合格/不合格</w:t>
            </w:r>
          </w:p>
        </w:tc>
      </w:tr>
      <w:tr w14:paraId="078D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1" w:type="dxa"/>
            <w:vAlign w:val="center"/>
          </w:tcPr>
          <w:p w14:paraId="232E4C96">
            <w:pPr>
              <w:pStyle w:val="4"/>
              <w:keepNext w:val="0"/>
              <w:keepLines w:val="0"/>
              <w:pageBreakBefore w:val="0"/>
              <w:widowControl w:val="0"/>
              <w:kinsoku/>
              <w:wordWrap/>
              <w:overflowPunct/>
              <w:bidi w:val="0"/>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1</w:t>
            </w:r>
          </w:p>
        </w:tc>
        <w:tc>
          <w:tcPr>
            <w:tcW w:w="6398" w:type="dxa"/>
            <w:vAlign w:val="center"/>
          </w:tcPr>
          <w:p w14:paraId="561BD54C">
            <w:pPr>
              <w:keepNext w:val="0"/>
              <w:keepLines w:val="0"/>
              <w:pageBreakBefore w:val="0"/>
              <w:widowControl w:val="0"/>
              <w:kinsoku/>
              <w:wordWrap/>
              <w:overflowPunct/>
              <w:bidi w:val="0"/>
              <w:spacing w:line="42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申请人</w:t>
            </w:r>
            <w:r>
              <w:rPr>
                <w:rFonts w:hint="eastAsia" w:ascii="仿宋" w:hAnsi="仿宋" w:eastAsia="仿宋" w:cs="仿宋"/>
                <w:color w:val="000000" w:themeColor="text1"/>
                <w:szCs w:val="21"/>
                <w14:textFill>
                  <w14:solidFill>
                    <w14:schemeClr w14:val="tx1"/>
                  </w14:solidFill>
                </w14:textFill>
              </w:rPr>
              <w:t>名称与营业执照上的名称一致；</w:t>
            </w:r>
          </w:p>
        </w:tc>
        <w:tc>
          <w:tcPr>
            <w:tcW w:w="1560" w:type="dxa"/>
            <w:vAlign w:val="top"/>
          </w:tcPr>
          <w:p w14:paraId="31985A2E">
            <w:pPr>
              <w:pStyle w:val="4"/>
              <w:keepNext w:val="0"/>
              <w:keepLines w:val="0"/>
              <w:pageBreakBefore w:val="0"/>
              <w:widowControl w:val="0"/>
              <w:kinsoku/>
              <w:wordWrap/>
              <w:overflowPunct/>
              <w:bidi w:val="0"/>
              <w:ind w:firstLine="240"/>
              <w:rPr>
                <w:rFonts w:hint="eastAsia" w:ascii="仿宋" w:hAnsi="仿宋" w:eastAsia="仿宋" w:cs="仿宋"/>
                <w:color w:val="000000" w:themeColor="text1"/>
                <w:spacing w:val="15"/>
                <w:kern w:val="0"/>
                <w:szCs w:val="21"/>
                <w14:textFill>
                  <w14:solidFill>
                    <w14:schemeClr w14:val="tx1"/>
                  </w14:solidFill>
                </w14:textFill>
              </w:rPr>
            </w:pPr>
          </w:p>
        </w:tc>
      </w:tr>
      <w:tr w14:paraId="4C86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301" w:type="dxa"/>
            <w:vAlign w:val="center"/>
          </w:tcPr>
          <w:p w14:paraId="6F7261FB">
            <w:pPr>
              <w:pStyle w:val="4"/>
              <w:keepNext w:val="0"/>
              <w:keepLines w:val="0"/>
              <w:pageBreakBefore w:val="0"/>
              <w:widowControl w:val="0"/>
              <w:kinsoku/>
              <w:wordWrap/>
              <w:overflowPunct/>
              <w:bidi w:val="0"/>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2</w:t>
            </w:r>
          </w:p>
        </w:tc>
        <w:tc>
          <w:tcPr>
            <w:tcW w:w="6398" w:type="dxa"/>
            <w:vAlign w:val="center"/>
          </w:tcPr>
          <w:p w14:paraId="7F53BC06">
            <w:pPr>
              <w:keepNext w:val="0"/>
              <w:keepLines w:val="0"/>
              <w:pageBreakBefore w:val="0"/>
              <w:widowControl w:val="0"/>
              <w:kinsoku/>
              <w:wordWrap/>
              <w:overflowPunct/>
              <w:bidi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由法定代表人（或其委托代理人）签名（或加盖印章），并加盖</w:t>
            </w:r>
            <w:r>
              <w:rPr>
                <w:rFonts w:hint="eastAsia" w:ascii="仿宋" w:hAnsi="仿宋" w:eastAsia="仿宋" w:cs="仿宋"/>
                <w:color w:val="000000" w:themeColor="text1"/>
                <w:szCs w:val="21"/>
                <w:lang w:val="en-US" w:eastAsia="zh-CN"/>
                <w14:textFill>
                  <w14:solidFill>
                    <w14:schemeClr w14:val="tx1"/>
                  </w14:solidFill>
                </w14:textFill>
              </w:rPr>
              <w:t>申请人</w:t>
            </w:r>
            <w:r>
              <w:rPr>
                <w:rFonts w:hint="eastAsia" w:ascii="仿宋" w:hAnsi="仿宋" w:eastAsia="仿宋" w:cs="仿宋"/>
                <w:color w:val="000000" w:themeColor="text1"/>
                <w:szCs w:val="21"/>
                <w14:textFill>
                  <w14:solidFill>
                    <w14:schemeClr w14:val="tx1"/>
                  </w14:solidFill>
                </w14:textFill>
              </w:rPr>
              <w:t>的单位公章。</w:t>
            </w:r>
            <w:r>
              <w:rPr>
                <w:rFonts w:hint="eastAsia" w:ascii="仿宋" w:hAnsi="仿宋" w:eastAsia="仿宋" w:cs="仿宋"/>
                <w:color w:val="000000" w:themeColor="text1"/>
                <w:szCs w:val="21"/>
                <w:lang w:val="en-US" w:eastAsia="zh-CN"/>
                <w14:textFill>
                  <w14:solidFill>
                    <w14:schemeClr w14:val="tx1"/>
                  </w14:solidFill>
                </w14:textFill>
              </w:rPr>
              <w:t>申请人</w:t>
            </w:r>
            <w:r>
              <w:rPr>
                <w:rFonts w:hint="eastAsia" w:ascii="仿宋" w:hAnsi="仿宋" w:eastAsia="仿宋" w:cs="仿宋"/>
                <w:color w:val="000000" w:themeColor="text1"/>
                <w:szCs w:val="21"/>
                <w14:textFill>
                  <w14:solidFill>
                    <w14:schemeClr w14:val="tx1"/>
                  </w14:solidFill>
                </w14:textFill>
              </w:rPr>
              <w:t>加盖的单位公章与其营业执照的单位名称应当一致。</w:t>
            </w:r>
          </w:p>
        </w:tc>
        <w:tc>
          <w:tcPr>
            <w:tcW w:w="1560" w:type="dxa"/>
            <w:vAlign w:val="top"/>
          </w:tcPr>
          <w:p w14:paraId="147C6359">
            <w:pPr>
              <w:pStyle w:val="4"/>
              <w:keepNext w:val="0"/>
              <w:keepLines w:val="0"/>
              <w:pageBreakBefore w:val="0"/>
              <w:widowControl w:val="0"/>
              <w:kinsoku/>
              <w:wordWrap/>
              <w:overflowPunct/>
              <w:bidi w:val="0"/>
              <w:ind w:firstLine="240"/>
              <w:rPr>
                <w:rFonts w:hint="eastAsia" w:ascii="仿宋" w:hAnsi="仿宋" w:eastAsia="仿宋" w:cs="仿宋"/>
                <w:color w:val="000000" w:themeColor="text1"/>
                <w:spacing w:val="15"/>
                <w:kern w:val="0"/>
                <w:szCs w:val="21"/>
                <w14:textFill>
                  <w14:solidFill>
                    <w14:schemeClr w14:val="tx1"/>
                  </w14:solidFill>
                </w14:textFill>
              </w:rPr>
            </w:pPr>
          </w:p>
        </w:tc>
      </w:tr>
      <w:tr w14:paraId="3CFB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01" w:type="dxa"/>
            <w:vAlign w:val="center"/>
          </w:tcPr>
          <w:p w14:paraId="07C2E88D">
            <w:pPr>
              <w:pStyle w:val="4"/>
              <w:keepNext w:val="0"/>
              <w:keepLines w:val="0"/>
              <w:pageBreakBefore w:val="0"/>
              <w:widowControl w:val="0"/>
              <w:kinsoku/>
              <w:wordWrap/>
              <w:overflowPunct/>
              <w:bidi w:val="0"/>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3</w:t>
            </w:r>
          </w:p>
        </w:tc>
        <w:tc>
          <w:tcPr>
            <w:tcW w:w="6398" w:type="dxa"/>
            <w:vAlign w:val="center"/>
          </w:tcPr>
          <w:p w14:paraId="17449FFC">
            <w:pPr>
              <w:keepNext w:val="0"/>
              <w:keepLines w:val="0"/>
              <w:pageBreakBefore w:val="0"/>
              <w:widowControl w:val="0"/>
              <w:kinsoku/>
              <w:wordWrap/>
              <w:overflowPunct/>
              <w:bidi w:val="0"/>
              <w:spacing w:line="2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申请人</w:t>
            </w:r>
            <w:r>
              <w:rPr>
                <w:rFonts w:hint="eastAsia" w:ascii="仿宋" w:hAnsi="仿宋" w:eastAsia="仿宋" w:cs="仿宋"/>
                <w:color w:val="000000" w:themeColor="text1"/>
                <w:szCs w:val="21"/>
                <w14:textFill>
                  <w14:solidFill>
                    <w14:schemeClr w14:val="tx1"/>
                  </w14:solidFill>
                </w14:textFill>
              </w:rPr>
              <w:t>未提交两份以上不同内容的申请文件。</w:t>
            </w:r>
          </w:p>
        </w:tc>
        <w:tc>
          <w:tcPr>
            <w:tcW w:w="1560" w:type="dxa"/>
            <w:vAlign w:val="top"/>
          </w:tcPr>
          <w:p w14:paraId="08215CC0">
            <w:pPr>
              <w:pStyle w:val="4"/>
              <w:keepNext w:val="0"/>
              <w:keepLines w:val="0"/>
              <w:pageBreakBefore w:val="0"/>
              <w:widowControl w:val="0"/>
              <w:kinsoku/>
              <w:wordWrap/>
              <w:overflowPunct/>
              <w:bidi w:val="0"/>
              <w:ind w:firstLine="240"/>
              <w:rPr>
                <w:rFonts w:hint="eastAsia" w:ascii="仿宋" w:hAnsi="仿宋" w:eastAsia="仿宋" w:cs="仿宋"/>
                <w:color w:val="000000" w:themeColor="text1"/>
                <w:spacing w:val="15"/>
                <w:kern w:val="0"/>
                <w:szCs w:val="21"/>
                <w14:textFill>
                  <w14:solidFill>
                    <w14:schemeClr w14:val="tx1"/>
                  </w14:solidFill>
                </w14:textFill>
              </w:rPr>
            </w:pPr>
          </w:p>
        </w:tc>
      </w:tr>
      <w:tr w14:paraId="326A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01" w:type="dxa"/>
            <w:vAlign w:val="center"/>
          </w:tcPr>
          <w:p w14:paraId="1B3982BE">
            <w:pPr>
              <w:pStyle w:val="4"/>
              <w:keepNext w:val="0"/>
              <w:keepLines w:val="0"/>
              <w:pageBreakBefore w:val="0"/>
              <w:widowControl w:val="0"/>
              <w:kinsoku/>
              <w:wordWrap/>
              <w:overflowPunct/>
              <w:bidi w:val="0"/>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4</w:t>
            </w:r>
          </w:p>
        </w:tc>
        <w:tc>
          <w:tcPr>
            <w:tcW w:w="6398" w:type="dxa"/>
            <w:vAlign w:val="center"/>
          </w:tcPr>
          <w:p w14:paraId="14026855">
            <w:pPr>
              <w:keepNext w:val="0"/>
              <w:keepLines w:val="0"/>
              <w:pageBreakBefore w:val="0"/>
              <w:widowControl w:val="0"/>
              <w:kinsoku/>
              <w:wordWrap/>
              <w:overflowPunct/>
              <w:bidi w:val="0"/>
              <w:spacing w:line="2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代理报价响应</w:t>
            </w:r>
            <w:r>
              <w:rPr>
                <w:rFonts w:hint="eastAsia" w:ascii="仿宋" w:hAnsi="仿宋" w:eastAsia="仿宋" w:cs="仿宋"/>
                <w:color w:val="000000" w:themeColor="text1"/>
                <w:szCs w:val="21"/>
                <w:lang w:val="en-US" w:eastAsia="zh-CN"/>
                <w14:textFill>
                  <w14:solidFill>
                    <w14:schemeClr w14:val="tx1"/>
                  </w14:solidFill>
                </w14:textFill>
              </w:rPr>
              <w:t>比选</w:t>
            </w:r>
            <w:r>
              <w:rPr>
                <w:rFonts w:hint="eastAsia" w:ascii="仿宋" w:hAnsi="仿宋" w:eastAsia="仿宋" w:cs="仿宋"/>
                <w:color w:val="000000" w:themeColor="text1"/>
                <w:szCs w:val="21"/>
                <w14:textFill>
                  <w14:solidFill>
                    <w14:schemeClr w14:val="tx1"/>
                  </w14:solidFill>
                </w14:textFill>
              </w:rPr>
              <w:t>文件要求，并有有效承诺</w:t>
            </w:r>
          </w:p>
        </w:tc>
        <w:tc>
          <w:tcPr>
            <w:tcW w:w="1560" w:type="dxa"/>
            <w:vAlign w:val="top"/>
          </w:tcPr>
          <w:p w14:paraId="0DC33727">
            <w:pPr>
              <w:pStyle w:val="4"/>
              <w:keepNext w:val="0"/>
              <w:keepLines w:val="0"/>
              <w:pageBreakBefore w:val="0"/>
              <w:widowControl w:val="0"/>
              <w:kinsoku/>
              <w:wordWrap/>
              <w:overflowPunct/>
              <w:bidi w:val="0"/>
              <w:ind w:firstLine="240"/>
              <w:rPr>
                <w:rFonts w:hint="eastAsia" w:ascii="仿宋" w:hAnsi="仿宋" w:eastAsia="仿宋" w:cs="仿宋"/>
                <w:color w:val="000000" w:themeColor="text1"/>
                <w:spacing w:val="15"/>
                <w:kern w:val="0"/>
                <w:szCs w:val="21"/>
                <w14:textFill>
                  <w14:solidFill>
                    <w14:schemeClr w14:val="tx1"/>
                  </w14:solidFill>
                </w14:textFill>
              </w:rPr>
            </w:pPr>
          </w:p>
        </w:tc>
      </w:tr>
      <w:tr w14:paraId="5714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01" w:type="dxa"/>
            <w:vAlign w:val="top"/>
          </w:tcPr>
          <w:p w14:paraId="337CC455">
            <w:pPr>
              <w:pStyle w:val="4"/>
              <w:keepNext w:val="0"/>
              <w:keepLines w:val="0"/>
              <w:pageBreakBefore w:val="0"/>
              <w:widowControl w:val="0"/>
              <w:kinsoku/>
              <w:wordWrap/>
              <w:overflowPunct/>
              <w:bidi w:val="0"/>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5</w:t>
            </w:r>
          </w:p>
        </w:tc>
        <w:tc>
          <w:tcPr>
            <w:tcW w:w="6398" w:type="dxa"/>
            <w:vAlign w:val="center"/>
          </w:tcPr>
          <w:p w14:paraId="2E010F7D">
            <w:pPr>
              <w:keepNext w:val="0"/>
              <w:keepLines w:val="0"/>
              <w:pageBreakBefore w:val="0"/>
              <w:widowControl w:val="0"/>
              <w:kinsoku/>
              <w:wordWrap/>
              <w:overflowPunct/>
              <w:bidi w:val="0"/>
              <w:spacing w:line="240" w:lineRule="exact"/>
              <w:ind w:left="-210" w:leftChars="-100"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比选</w:t>
            </w:r>
            <w:r>
              <w:rPr>
                <w:rFonts w:hint="eastAsia" w:ascii="仿宋" w:hAnsi="仿宋" w:eastAsia="仿宋" w:cs="仿宋"/>
                <w:color w:val="000000" w:themeColor="text1"/>
                <w:szCs w:val="21"/>
                <w14:textFill>
                  <w14:solidFill>
                    <w14:schemeClr w14:val="tx1"/>
                  </w14:solidFill>
                </w14:textFill>
              </w:rPr>
              <w:t>有效期符合</w:t>
            </w:r>
            <w:r>
              <w:rPr>
                <w:rFonts w:hint="eastAsia" w:ascii="仿宋" w:hAnsi="仿宋" w:eastAsia="仿宋" w:cs="仿宋"/>
                <w:color w:val="000000" w:themeColor="text1"/>
                <w:szCs w:val="21"/>
                <w:lang w:val="en-US" w:eastAsia="zh-CN"/>
                <w14:textFill>
                  <w14:solidFill>
                    <w14:schemeClr w14:val="tx1"/>
                  </w14:solidFill>
                </w14:textFill>
              </w:rPr>
              <w:t>比选</w:t>
            </w:r>
            <w:r>
              <w:rPr>
                <w:rFonts w:hint="eastAsia" w:ascii="仿宋" w:hAnsi="仿宋" w:eastAsia="仿宋" w:cs="仿宋"/>
                <w:color w:val="000000" w:themeColor="text1"/>
                <w:szCs w:val="21"/>
                <w14:textFill>
                  <w14:solidFill>
                    <w14:schemeClr w14:val="tx1"/>
                  </w14:solidFill>
                </w14:textFill>
              </w:rPr>
              <w:t>文件的规定。</w:t>
            </w:r>
          </w:p>
        </w:tc>
        <w:tc>
          <w:tcPr>
            <w:tcW w:w="1560" w:type="dxa"/>
            <w:vAlign w:val="top"/>
          </w:tcPr>
          <w:p w14:paraId="4AEF96DD">
            <w:pPr>
              <w:pStyle w:val="4"/>
              <w:keepNext w:val="0"/>
              <w:keepLines w:val="0"/>
              <w:pageBreakBefore w:val="0"/>
              <w:widowControl w:val="0"/>
              <w:kinsoku/>
              <w:wordWrap/>
              <w:overflowPunct/>
              <w:bidi w:val="0"/>
              <w:ind w:firstLine="240"/>
              <w:rPr>
                <w:rFonts w:hint="eastAsia" w:ascii="仿宋" w:hAnsi="仿宋" w:eastAsia="仿宋" w:cs="仿宋"/>
                <w:color w:val="000000" w:themeColor="text1"/>
                <w:spacing w:val="15"/>
                <w:kern w:val="0"/>
                <w:szCs w:val="21"/>
                <w14:textFill>
                  <w14:solidFill>
                    <w14:schemeClr w14:val="tx1"/>
                  </w14:solidFill>
                </w14:textFill>
              </w:rPr>
            </w:pPr>
          </w:p>
        </w:tc>
      </w:tr>
      <w:tr w14:paraId="273F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01" w:type="dxa"/>
            <w:vAlign w:val="top"/>
          </w:tcPr>
          <w:p w14:paraId="0D847E81">
            <w:pPr>
              <w:pStyle w:val="4"/>
              <w:keepNext w:val="0"/>
              <w:keepLines w:val="0"/>
              <w:pageBreakBefore w:val="0"/>
              <w:widowControl w:val="0"/>
              <w:kinsoku/>
              <w:wordWrap/>
              <w:overflowPunct/>
              <w:bidi w:val="0"/>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6</w:t>
            </w:r>
          </w:p>
        </w:tc>
        <w:tc>
          <w:tcPr>
            <w:tcW w:w="6398" w:type="dxa"/>
            <w:vAlign w:val="center"/>
          </w:tcPr>
          <w:p w14:paraId="0AC50D4A">
            <w:pPr>
              <w:keepNext w:val="0"/>
              <w:keepLines w:val="0"/>
              <w:pageBreakBefore w:val="0"/>
              <w:widowControl w:val="0"/>
              <w:kinsoku/>
              <w:wordWrap/>
              <w:overflowPunct/>
              <w:bidi w:val="0"/>
              <w:spacing w:line="240" w:lineRule="exact"/>
              <w:ind w:left="-210" w:leftChars="-100"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评审结果</w:t>
            </w:r>
          </w:p>
        </w:tc>
        <w:tc>
          <w:tcPr>
            <w:tcW w:w="1560" w:type="dxa"/>
            <w:vAlign w:val="top"/>
          </w:tcPr>
          <w:p w14:paraId="113ED606">
            <w:pPr>
              <w:pStyle w:val="4"/>
              <w:keepNext w:val="0"/>
              <w:keepLines w:val="0"/>
              <w:pageBreakBefore w:val="0"/>
              <w:widowControl w:val="0"/>
              <w:kinsoku/>
              <w:wordWrap/>
              <w:overflowPunct/>
              <w:bidi w:val="0"/>
              <w:ind w:firstLine="240"/>
              <w:rPr>
                <w:rFonts w:hint="eastAsia" w:ascii="仿宋" w:hAnsi="仿宋" w:eastAsia="仿宋" w:cs="仿宋"/>
                <w:color w:val="000000" w:themeColor="text1"/>
                <w:spacing w:val="15"/>
                <w:kern w:val="0"/>
                <w:szCs w:val="21"/>
                <w14:textFill>
                  <w14:solidFill>
                    <w14:schemeClr w14:val="tx1"/>
                  </w14:solidFill>
                </w14:textFill>
              </w:rPr>
            </w:pPr>
          </w:p>
        </w:tc>
      </w:tr>
      <w:bookmarkEnd w:id="4"/>
    </w:tbl>
    <w:p w14:paraId="02166A97">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5A738B98">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75C0E119">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3B742D20">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04C4D9CB">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3D1A639E">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23D72EFB">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2C308082">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6B36EA97">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2E0D228B">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36E5CECC">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23A9AD78">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6AC6A32A">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7AA670ED">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7EA145A9">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66660836">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0A459166">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7F5D944B">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7C2E07C3">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0FCE3D7F">
      <w:pPr>
        <w:pStyle w:val="4"/>
        <w:keepNext w:val="0"/>
        <w:keepLines w:val="0"/>
        <w:pageBreakBefore w:val="0"/>
        <w:widowControl w:val="0"/>
        <w:kinsoku/>
        <w:wordWrap/>
        <w:overflowPunct/>
        <w:bidi w:val="0"/>
        <w:ind w:left="0" w:leftChars="0" w:firstLine="0" w:firstLineChars="0"/>
        <w:rPr>
          <w:rFonts w:hint="eastAsia" w:ascii="仿宋" w:hAnsi="仿宋" w:eastAsia="仿宋" w:cs="仿宋"/>
          <w:color w:val="000000" w:themeColor="text1"/>
          <w:spacing w:val="15"/>
          <w:kern w:val="0"/>
          <w:sz w:val="24"/>
          <w14:textFill>
            <w14:solidFill>
              <w14:schemeClr w14:val="tx1"/>
            </w14:solidFill>
          </w14:textFill>
        </w:rPr>
      </w:pPr>
    </w:p>
    <w:p w14:paraId="53AECF0A">
      <w:pPr>
        <w:pStyle w:val="4"/>
        <w:keepNext w:val="0"/>
        <w:keepLines w:val="0"/>
        <w:pageBreakBefore w:val="0"/>
        <w:widowControl w:val="0"/>
        <w:kinsoku/>
        <w:wordWrap/>
        <w:overflowPunct/>
        <w:bidi w:val="0"/>
        <w:ind w:firstLine="270"/>
        <w:rPr>
          <w:rFonts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14:textFill>
            <w14:solidFill>
              <w14:schemeClr w14:val="tx1"/>
            </w14:solidFill>
          </w14:textFill>
        </w:rPr>
        <w:t>附表3：</w:t>
      </w:r>
    </w:p>
    <w:p w14:paraId="14A75B81">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p>
    <w:p w14:paraId="72FA7D5F">
      <w:pPr>
        <w:pStyle w:val="4"/>
        <w:keepNext w:val="0"/>
        <w:keepLines w:val="0"/>
        <w:pageBreakBefore w:val="0"/>
        <w:widowControl w:val="0"/>
        <w:kinsoku/>
        <w:wordWrap/>
        <w:overflowPunct/>
        <w:bidi w:val="0"/>
        <w:ind w:firstLine="311"/>
        <w:jc w:val="center"/>
        <w:rPr>
          <w:rFonts w:hint="eastAsia" w:ascii="仿宋" w:hAnsi="仿宋" w:eastAsia="仿宋" w:cs="仿宋"/>
          <w:b/>
          <w:bCs/>
          <w:color w:val="000000" w:themeColor="text1"/>
          <w:spacing w:val="15"/>
          <w:kern w:val="0"/>
          <w:sz w:val="28"/>
          <w:szCs w:val="21"/>
          <w14:textFill>
            <w14:solidFill>
              <w14:schemeClr w14:val="tx1"/>
            </w14:solidFill>
          </w14:textFill>
        </w:rPr>
      </w:pPr>
      <w:r>
        <w:rPr>
          <w:rFonts w:hint="eastAsia" w:ascii="仿宋" w:hAnsi="仿宋" w:eastAsia="仿宋" w:cs="仿宋"/>
          <w:b/>
          <w:bCs/>
          <w:color w:val="000000" w:themeColor="text1"/>
          <w:spacing w:val="15"/>
          <w:kern w:val="0"/>
          <w:sz w:val="28"/>
          <w:szCs w:val="21"/>
          <w14:textFill>
            <w14:solidFill>
              <w14:schemeClr w14:val="tx1"/>
            </w14:solidFill>
          </w14:textFill>
        </w:rPr>
        <w:t>商务部分评审表</w:t>
      </w:r>
    </w:p>
    <w:tbl>
      <w:tblPr>
        <w:tblStyle w:val="5"/>
        <w:tblW w:w="891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375"/>
        <w:gridCol w:w="5042"/>
        <w:gridCol w:w="1486"/>
      </w:tblGrid>
      <w:tr w14:paraId="223B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5" w:type="dxa"/>
            <w:vAlign w:val="center"/>
          </w:tcPr>
          <w:p w14:paraId="47C84E5C">
            <w:pPr>
              <w:pStyle w:val="7"/>
              <w:keepNext w:val="0"/>
              <w:keepLines w:val="0"/>
              <w:pageBreakBefore w:val="0"/>
              <w:widowControl w:val="0"/>
              <w:kinsoku/>
              <w:wordWrap/>
              <w:overflowPunct/>
              <w:bidi w:val="0"/>
              <w:spacing w:after="0" w:line="240" w:lineRule="exact"/>
              <w:ind w:firstLine="0" w:firstLineChars="0"/>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序号</w:t>
            </w:r>
          </w:p>
        </w:tc>
        <w:tc>
          <w:tcPr>
            <w:tcW w:w="1375" w:type="dxa"/>
            <w:vAlign w:val="center"/>
          </w:tcPr>
          <w:p w14:paraId="624ADA35">
            <w:pPr>
              <w:pStyle w:val="7"/>
              <w:keepNext w:val="0"/>
              <w:keepLines w:val="0"/>
              <w:pageBreakBefore w:val="0"/>
              <w:widowControl w:val="0"/>
              <w:kinsoku/>
              <w:wordWrap/>
              <w:overflowPunct/>
              <w:bidi w:val="0"/>
              <w:spacing w:after="0" w:line="240" w:lineRule="exact"/>
              <w:ind w:firstLine="0" w:firstLineChars="0"/>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评审内容</w:t>
            </w:r>
          </w:p>
        </w:tc>
        <w:tc>
          <w:tcPr>
            <w:tcW w:w="5042" w:type="dxa"/>
            <w:vAlign w:val="center"/>
          </w:tcPr>
          <w:p w14:paraId="49AA4B49">
            <w:pPr>
              <w:pStyle w:val="7"/>
              <w:keepNext w:val="0"/>
              <w:keepLines w:val="0"/>
              <w:pageBreakBefore w:val="0"/>
              <w:widowControl w:val="0"/>
              <w:kinsoku/>
              <w:wordWrap/>
              <w:overflowPunct/>
              <w:bidi w:val="0"/>
              <w:spacing w:after="0" w:line="240" w:lineRule="exact"/>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评审内容及标准</w:t>
            </w:r>
          </w:p>
        </w:tc>
        <w:tc>
          <w:tcPr>
            <w:tcW w:w="1486" w:type="dxa"/>
            <w:vAlign w:val="center"/>
          </w:tcPr>
          <w:p w14:paraId="46E79989">
            <w:pPr>
              <w:pStyle w:val="7"/>
              <w:keepNext w:val="0"/>
              <w:keepLines w:val="0"/>
              <w:pageBreakBefore w:val="0"/>
              <w:widowControl w:val="0"/>
              <w:kinsoku/>
              <w:wordWrap/>
              <w:overflowPunct/>
              <w:bidi w:val="0"/>
              <w:spacing w:after="0" w:line="240" w:lineRule="exact"/>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得分</w:t>
            </w:r>
          </w:p>
        </w:tc>
      </w:tr>
      <w:tr w14:paraId="5641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015" w:type="dxa"/>
            <w:vAlign w:val="center"/>
          </w:tcPr>
          <w:p w14:paraId="5AACB401">
            <w:pPr>
              <w:pStyle w:val="7"/>
              <w:keepNext w:val="0"/>
              <w:keepLines w:val="0"/>
              <w:pageBreakBefore w:val="0"/>
              <w:widowControl w:val="0"/>
              <w:kinsoku/>
              <w:wordWrap/>
              <w:overflowPunct/>
              <w:bidi w:val="0"/>
              <w:spacing w:after="0" w:line="240" w:lineRule="exact"/>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1</w:t>
            </w:r>
          </w:p>
        </w:tc>
        <w:tc>
          <w:tcPr>
            <w:tcW w:w="1375" w:type="dxa"/>
            <w:vAlign w:val="center"/>
          </w:tcPr>
          <w:p w14:paraId="012991F6">
            <w:pPr>
              <w:pStyle w:val="7"/>
              <w:keepNext w:val="0"/>
              <w:keepLines w:val="0"/>
              <w:pageBreakBefore w:val="0"/>
              <w:widowControl w:val="0"/>
              <w:kinsoku/>
              <w:wordWrap/>
              <w:overflowPunct/>
              <w:bidi w:val="0"/>
              <w:spacing w:after="0" w:line="240" w:lineRule="exact"/>
              <w:ind w:firstLine="0" w:firstLineChars="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招标代理业绩</w:t>
            </w:r>
          </w:p>
          <w:p w14:paraId="52241AC1">
            <w:pPr>
              <w:pStyle w:val="7"/>
              <w:keepNext w:val="0"/>
              <w:keepLines w:val="0"/>
              <w:pageBreakBefore w:val="0"/>
              <w:widowControl w:val="0"/>
              <w:kinsoku/>
              <w:wordWrap/>
              <w:overflowPunct/>
              <w:bidi w:val="0"/>
              <w:spacing w:after="0" w:line="240" w:lineRule="exact"/>
              <w:ind w:firstLine="0" w:firstLineChars="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w:t>
            </w:r>
            <w:r>
              <w:rPr>
                <w:rFonts w:hint="eastAsia" w:ascii="仿宋" w:hAnsi="仿宋" w:eastAsia="仿宋" w:cs="仿宋"/>
                <w:color w:val="000000" w:themeColor="text1"/>
                <w:spacing w:val="15"/>
                <w:kern w:val="0"/>
                <w:szCs w:val="21"/>
                <w:lang w:val="en-US" w:eastAsia="zh-CN"/>
                <w14:textFill>
                  <w14:solidFill>
                    <w14:schemeClr w14:val="tx1"/>
                  </w14:solidFill>
                </w14:textFill>
              </w:rPr>
              <w:t>40</w:t>
            </w:r>
            <w:r>
              <w:rPr>
                <w:rFonts w:hint="eastAsia" w:ascii="仿宋" w:hAnsi="仿宋" w:eastAsia="仿宋" w:cs="仿宋"/>
                <w:color w:val="000000" w:themeColor="text1"/>
                <w:spacing w:val="15"/>
                <w:kern w:val="0"/>
                <w:szCs w:val="21"/>
                <w14:textFill>
                  <w14:solidFill>
                    <w14:schemeClr w14:val="tx1"/>
                  </w14:solidFill>
                </w14:textFill>
              </w:rPr>
              <w:t>分）</w:t>
            </w:r>
          </w:p>
        </w:tc>
        <w:tc>
          <w:tcPr>
            <w:tcW w:w="5042" w:type="dxa"/>
            <w:vAlign w:val="top"/>
          </w:tcPr>
          <w:p w14:paraId="7A1319CE">
            <w:pPr>
              <w:pStyle w:val="7"/>
              <w:keepNext w:val="0"/>
              <w:keepLines w:val="0"/>
              <w:pageBreakBefore w:val="0"/>
              <w:widowControl w:val="0"/>
              <w:kinsoku/>
              <w:wordWrap/>
              <w:overflowPunct/>
              <w:bidi w:val="0"/>
              <w:spacing w:after="0"/>
              <w:ind w:firstLine="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近</w:t>
            </w:r>
            <w:r>
              <w:rPr>
                <w:rFonts w:hint="eastAsia" w:ascii="仿宋" w:hAnsi="仿宋" w:eastAsia="仿宋" w:cs="仿宋"/>
                <w:color w:val="000000" w:themeColor="text1"/>
                <w:lang w:val="en-US" w:eastAsia="zh-CN"/>
                <w14:textFill>
                  <w14:solidFill>
                    <w14:schemeClr w14:val="tx1"/>
                  </w14:solidFill>
                </w14:textFill>
              </w:rPr>
              <w:t>三</w:t>
            </w:r>
            <w:r>
              <w:rPr>
                <w:rFonts w:hint="eastAsia" w:ascii="仿宋" w:hAnsi="仿宋" w:eastAsia="仿宋" w:cs="仿宋"/>
                <w:color w:val="000000" w:themeColor="text1"/>
                <w14:textFill>
                  <w14:solidFill>
                    <w14:schemeClr w14:val="tx1"/>
                  </w14:solidFill>
                </w14:textFill>
              </w:rPr>
              <w:t>年：</w:t>
            </w:r>
          </w:p>
          <w:p w14:paraId="03EE635D">
            <w:pPr>
              <w:pStyle w:val="7"/>
              <w:keepNext w:val="0"/>
              <w:keepLines w:val="0"/>
              <w:pageBreakBefore w:val="0"/>
              <w:widowControl w:val="0"/>
              <w:kinsoku/>
              <w:wordWrap/>
              <w:overflowPunct/>
              <w:bidi w:val="0"/>
              <w:spacing w:after="0"/>
              <w:ind w:firstLine="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具有</w:t>
            </w:r>
            <w:r>
              <w:rPr>
                <w:rFonts w:hint="eastAsia" w:ascii="仿宋" w:hAnsi="仿宋" w:eastAsia="仿宋" w:cs="仿宋"/>
                <w:color w:val="FF0000"/>
                <w:lang w:val="en-US" w:eastAsia="zh-CN"/>
              </w:rPr>
              <w:t>设备采购类</w:t>
            </w:r>
            <w:r>
              <w:rPr>
                <w:rFonts w:hint="eastAsia" w:ascii="仿宋" w:hAnsi="仿宋" w:eastAsia="仿宋" w:cs="仿宋"/>
                <w:color w:val="000000" w:themeColor="text1"/>
                <w:lang w:val="en-US" w:eastAsia="zh-CN"/>
                <w14:textFill>
                  <w14:solidFill>
                    <w14:schemeClr w14:val="tx1"/>
                  </w14:solidFill>
                </w14:textFill>
              </w:rPr>
              <w:t>业绩每个记3分，</w:t>
            </w:r>
            <w:r>
              <w:rPr>
                <w:rFonts w:hint="eastAsia" w:ascii="仿宋" w:hAnsi="仿宋" w:eastAsia="仿宋" w:cs="仿宋"/>
                <w:color w:val="000000" w:themeColor="text1"/>
                <w14:textFill>
                  <w14:solidFill>
                    <w14:schemeClr w14:val="tx1"/>
                  </w14:solidFill>
                </w14:textFill>
              </w:rPr>
              <w:t>最多计</w:t>
            </w:r>
            <w:r>
              <w:rPr>
                <w:rFonts w:hint="eastAsia" w:ascii="仿宋" w:hAnsi="仿宋" w:eastAsia="仿宋" w:cs="仿宋"/>
                <w:color w:val="000000" w:themeColor="text1"/>
                <w:lang w:val="en-US" w:eastAsia="zh-CN"/>
                <w14:textFill>
                  <w14:solidFill>
                    <w14:schemeClr w14:val="tx1"/>
                  </w14:solidFill>
                </w14:textFill>
              </w:rPr>
              <w:t>40</w:t>
            </w:r>
            <w:r>
              <w:rPr>
                <w:rFonts w:hint="eastAsia" w:ascii="仿宋" w:hAnsi="仿宋" w:eastAsia="仿宋" w:cs="仿宋"/>
                <w:color w:val="000000" w:themeColor="text1"/>
                <w14:textFill>
                  <w14:solidFill>
                    <w14:schemeClr w14:val="tx1"/>
                  </w14:solidFill>
                </w14:textFill>
              </w:rPr>
              <w:t>分。</w:t>
            </w:r>
          </w:p>
          <w:p w14:paraId="2B9F7554">
            <w:pPr>
              <w:pStyle w:val="7"/>
              <w:keepNext w:val="0"/>
              <w:keepLines w:val="0"/>
              <w:pageBreakBefore w:val="0"/>
              <w:widowControl w:val="0"/>
              <w:kinsoku/>
              <w:wordWrap/>
              <w:overflowPunct/>
              <w:bidi w:val="0"/>
              <w:spacing w:after="0"/>
              <w:ind w:firstLine="0" w:firstLineChars="0"/>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（提供</w:t>
            </w:r>
            <w:r>
              <w:rPr>
                <w:rFonts w:hint="eastAsia" w:ascii="仿宋" w:hAnsi="仿宋" w:eastAsia="仿宋" w:cs="仿宋"/>
                <w:color w:val="000000" w:themeColor="text1"/>
                <w:lang w:val="en-US" w:eastAsia="zh-CN"/>
                <w14:textFill>
                  <w14:solidFill>
                    <w14:schemeClr w14:val="tx1"/>
                  </w14:solidFill>
                </w14:textFill>
              </w:rPr>
              <w:t>近三年项目代理实施后</w:t>
            </w:r>
            <w:r>
              <w:rPr>
                <w:rFonts w:hint="eastAsia" w:ascii="仿宋" w:hAnsi="仿宋" w:eastAsia="仿宋" w:cs="仿宋"/>
                <w:color w:val="000000" w:themeColor="text1"/>
                <w14:textFill>
                  <w14:solidFill>
                    <w14:schemeClr w14:val="tx1"/>
                  </w14:solidFill>
                </w14:textFill>
              </w:rPr>
              <w:t>中标通知书扫描件及</w:t>
            </w:r>
            <w:r>
              <w:rPr>
                <w:rFonts w:hint="eastAsia" w:ascii="仿宋" w:hAnsi="仿宋" w:eastAsia="仿宋" w:cs="仿宋"/>
                <w:color w:val="000000" w:themeColor="text1"/>
                <w:lang w:val="en-US" w:eastAsia="zh-CN"/>
                <w14:textFill>
                  <w14:solidFill>
                    <w14:schemeClr w14:val="tx1"/>
                  </w14:solidFill>
                </w14:textFill>
              </w:rPr>
              <w:t>项目代理合同等证明材料</w:t>
            </w:r>
            <w:r>
              <w:rPr>
                <w:rFonts w:hint="eastAsia" w:ascii="仿宋" w:hAnsi="仿宋" w:eastAsia="仿宋" w:cs="仿宋"/>
                <w:color w:val="000000" w:themeColor="text1"/>
                <w14:textFill>
                  <w14:solidFill>
                    <w14:schemeClr w14:val="tx1"/>
                  </w14:solidFill>
                </w14:textFill>
              </w:rPr>
              <w:t>，以</w:t>
            </w:r>
            <w:r>
              <w:rPr>
                <w:rFonts w:hint="eastAsia" w:ascii="仿宋" w:hAnsi="仿宋" w:eastAsia="仿宋" w:cs="仿宋"/>
                <w:color w:val="000000" w:themeColor="text1"/>
                <w:lang w:val="en-US" w:eastAsia="zh-CN"/>
                <w14:textFill>
                  <w14:solidFill>
                    <w14:schemeClr w14:val="tx1"/>
                  </w14:solidFill>
                </w14:textFill>
              </w:rPr>
              <w:t>项目</w:t>
            </w:r>
            <w:r>
              <w:rPr>
                <w:rFonts w:hint="eastAsia" w:ascii="仿宋" w:hAnsi="仿宋" w:eastAsia="仿宋" w:cs="仿宋"/>
                <w:color w:val="000000" w:themeColor="text1"/>
                <w14:textFill>
                  <w14:solidFill>
                    <w14:schemeClr w14:val="tx1"/>
                  </w14:solidFill>
                </w14:textFill>
              </w:rPr>
              <w:t>中标结果发布日期为准）</w:t>
            </w:r>
          </w:p>
        </w:tc>
        <w:tc>
          <w:tcPr>
            <w:tcW w:w="1486" w:type="dxa"/>
            <w:vAlign w:val="top"/>
          </w:tcPr>
          <w:p w14:paraId="493E7601">
            <w:pPr>
              <w:pStyle w:val="7"/>
              <w:keepNext w:val="0"/>
              <w:keepLines w:val="0"/>
              <w:pageBreakBefore w:val="0"/>
              <w:widowControl w:val="0"/>
              <w:kinsoku/>
              <w:wordWrap/>
              <w:overflowPunct/>
              <w:bidi w:val="0"/>
              <w:spacing w:after="0" w:line="240" w:lineRule="exact"/>
              <w:ind w:firstLine="240"/>
              <w:rPr>
                <w:rFonts w:hint="eastAsia" w:ascii="仿宋" w:hAnsi="仿宋" w:eastAsia="仿宋" w:cs="仿宋"/>
                <w:color w:val="000000" w:themeColor="text1"/>
                <w:spacing w:val="15"/>
                <w:kern w:val="0"/>
                <w:szCs w:val="21"/>
                <w14:textFill>
                  <w14:solidFill>
                    <w14:schemeClr w14:val="tx1"/>
                  </w14:solidFill>
                </w14:textFill>
              </w:rPr>
            </w:pPr>
          </w:p>
        </w:tc>
      </w:tr>
      <w:tr w14:paraId="16C8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15" w:type="dxa"/>
            <w:vAlign w:val="center"/>
          </w:tcPr>
          <w:p w14:paraId="711AA4E7">
            <w:pPr>
              <w:pStyle w:val="7"/>
              <w:keepNext w:val="0"/>
              <w:keepLines w:val="0"/>
              <w:pageBreakBefore w:val="0"/>
              <w:widowControl w:val="0"/>
              <w:kinsoku/>
              <w:wordWrap/>
              <w:overflowPunct/>
              <w:bidi w:val="0"/>
              <w:spacing w:after="0" w:line="240" w:lineRule="exact"/>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2</w:t>
            </w:r>
          </w:p>
        </w:tc>
        <w:tc>
          <w:tcPr>
            <w:tcW w:w="1375" w:type="dxa"/>
            <w:vAlign w:val="center"/>
          </w:tcPr>
          <w:p w14:paraId="5EC2DCB3">
            <w:pPr>
              <w:pStyle w:val="7"/>
              <w:keepNext w:val="0"/>
              <w:keepLines w:val="0"/>
              <w:pageBreakBefore w:val="0"/>
              <w:widowControl w:val="0"/>
              <w:kinsoku/>
              <w:wordWrap/>
              <w:overflowPunct/>
              <w:bidi w:val="0"/>
              <w:spacing w:after="0" w:line="240" w:lineRule="exact"/>
              <w:ind w:firstLine="0" w:firstLineChars="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人员情况（</w:t>
            </w:r>
            <w:r>
              <w:rPr>
                <w:rFonts w:hint="eastAsia" w:ascii="仿宋" w:hAnsi="仿宋" w:eastAsia="仿宋" w:cs="仿宋"/>
                <w:color w:val="000000" w:themeColor="text1"/>
                <w:spacing w:val="15"/>
                <w:kern w:val="0"/>
                <w:szCs w:val="21"/>
                <w:lang w:val="en-US" w:eastAsia="zh-CN"/>
                <w14:textFill>
                  <w14:solidFill>
                    <w14:schemeClr w14:val="tx1"/>
                  </w14:solidFill>
                </w14:textFill>
              </w:rPr>
              <w:t>10</w:t>
            </w:r>
            <w:r>
              <w:rPr>
                <w:rFonts w:hint="eastAsia" w:ascii="仿宋" w:hAnsi="仿宋" w:eastAsia="仿宋" w:cs="仿宋"/>
                <w:color w:val="000000" w:themeColor="text1"/>
                <w:spacing w:val="15"/>
                <w:kern w:val="0"/>
                <w:szCs w:val="21"/>
                <w14:textFill>
                  <w14:solidFill>
                    <w14:schemeClr w14:val="tx1"/>
                  </w14:solidFill>
                </w14:textFill>
              </w:rPr>
              <w:t>分）</w:t>
            </w:r>
          </w:p>
        </w:tc>
        <w:tc>
          <w:tcPr>
            <w:tcW w:w="5042" w:type="dxa"/>
            <w:vAlign w:val="top"/>
          </w:tcPr>
          <w:p w14:paraId="083A2638">
            <w:pPr>
              <w:pStyle w:val="7"/>
              <w:keepNext w:val="0"/>
              <w:keepLines w:val="0"/>
              <w:pageBreakBefore w:val="0"/>
              <w:widowControl w:val="0"/>
              <w:kinsoku/>
              <w:wordWrap/>
              <w:overflowPunct/>
              <w:bidi w:val="0"/>
              <w:spacing w:after="0" w:line="240" w:lineRule="exact"/>
              <w:ind w:firstLine="0" w:firstLineChars="0"/>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拟投入本项目组除项目负责人外，其中项目组专职人</w:t>
            </w:r>
            <w:r>
              <w:rPr>
                <w:rFonts w:hint="eastAsia" w:ascii="仿宋" w:hAnsi="仿宋" w:eastAsia="仿宋" w:cs="仿宋"/>
                <w:color w:val="000000" w:themeColor="text1"/>
                <w:spacing w:val="15"/>
                <w:kern w:val="0"/>
                <w:szCs w:val="21"/>
                <w:lang w:eastAsia="zh-CN"/>
                <w14:textFill>
                  <w14:solidFill>
                    <w14:schemeClr w14:val="tx1"/>
                  </w14:solidFill>
                </w14:textFill>
              </w:rPr>
              <w:t>、</w:t>
            </w:r>
            <w:r>
              <w:rPr>
                <w:rFonts w:hint="eastAsia" w:ascii="仿宋" w:hAnsi="仿宋" w:eastAsia="仿宋" w:cs="仿宋"/>
                <w:color w:val="000000" w:themeColor="text1"/>
                <w:spacing w:val="15"/>
                <w:kern w:val="0"/>
                <w:szCs w:val="21"/>
                <w14:textFill>
                  <w14:solidFill>
                    <w14:schemeClr w14:val="tx1"/>
                  </w14:solidFill>
                </w14:textFill>
              </w:rPr>
              <w:t>员中具有工程建设类中级及以上职称证书或注册类证书。</w:t>
            </w:r>
            <w:r>
              <w:rPr>
                <w:rFonts w:hint="eastAsia" w:ascii="仿宋" w:hAnsi="仿宋" w:eastAsia="仿宋" w:cs="仿宋"/>
                <w:color w:val="000000" w:themeColor="text1"/>
                <w:spacing w:val="15"/>
                <w:kern w:val="0"/>
                <w:szCs w:val="21"/>
                <w:lang w:val="en-US" w:eastAsia="zh-CN"/>
                <w14:textFill>
                  <w14:solidFill>
                    <w14:schemeClr w14:val="tx1"/>
                  </w14:solidFill>
                </w14:textFill>
              </w:rPr>
              <w:t>中级</w:t>
            </w:r>
            <w:r>
              <w:rPr>
                <w:rFonts w:hint="eastAsia" w:ascii="仿宋" w:hAnsi="仿宋" w:eastAsia="仿宋" w:cs="仿宋"/>
                <w:color w:val="000000" w:themeColor="text1"/>
                <w:spacing w:val="15"/>
                <w:kern w:val="0"/>
                <w:szCs w:val="21"/>
                <w14:textFill>
                  <w14:solidFill>
                    <w14:schemeClr w14:val="tx1"/>
                  </w14:solidFill>
                </w14:textFill>
              </w:rPr>
              <w:t>每一个计</w:t>
            </w:r>
            <w:r>
              <w:rPr>
                <w:rFonts w:hint="eastAsia" w:ascii="仿宋" w:hAnsi="仿宋" w:eastAsia="仿宋" w:cs="仿宋"/>
                <w:color w:val="000000" w:themeColor="text1"/>
                <w:spacing w:val="15"/>
                <w:kern w:val="0"/>
                <w:szCs w:val="21"/>
                <w:lang w:val="en-US" w:eastAsia="zh-CN"/>
                <w14:textFill>
                  <w14:solidFill>
                    <w14:schemeClr w14:val="tx1"/>
                  </w14:solidFill>
                </w14:textFill>
              </w:rPr>
              <w:t>3</w:t>
            </w:r>
            <w:r>
              <w:rPr>
                <w:rFonts w:hint="eastAsia" w:ascii="仿宋" w:hAnsi="仿宋" w:eastAsia="仿宋" w:cs="仿宋"/>
                <w:color w:val="000000" w:themeColor="text1"/>
                <w:spacing w:val="15"/>
                <w:kern w:val="0"/>
                <w:szCs w:val="21"/>
                <w14:textFill>
                  <w14:solidFill>
                    <w14:schemeClr w14:val="tx1"/>
                  </w14:solidFill>
                </w14:textFill>
              </w:rPr>
              <w:t>分，</w:t>
            </w:r>
            <w:r>
              <w:rPr>
                <w:rFonts w:hint="eastAsia" w:ascii="仿宋" w:hAnsi="仿宋" w:eastAsia="仿宋" w:cs="仿宋"/>
                <w:color w:val="000000" w:themeColor="text1"/>
                <w:spacing w:val="15"/>
                <w:kern w:val="0"/>
                <w:szCs w:val="21"/>
                <w:lang w:val="en-US" w:eastAsia="zh-CN"/>
                <w14:textFill>
                  <w14:solidFill>
                    <w14:schemeClr w14:val="tx1"/>
                  </w14:solidFill>
                </w14:textFill>
              </w:rPr>
              <w:t>高级</w:t>
            </w:r>
            <w:r>
              <w:rPr>
                <w:rFonts w:hint="eastAsia" w:ascii="仿宋" w:hAnsi="仿宋" w:eastAsia="仿宋" w:cs="仿宋"/>
                <w:color w:val="000000" w:themeColor="text1"/>
                <w:spacing w:val="15"/>
                <w:kern w:val="0"/>
                <w:szCs w:val="21"/>
                <w14:textFill>
                  <w14:solidFill>
                    <w14:schemeClr w14:val="tx1"/>
                  </w14:solidFill>
                </w14:textFill>
              </w:rPr>
              <w:t>每一个计</w:t>
            </w:r>
            <w:r>
              <w:rPr>
                <w:rFonts w:hint="eastAsia" w:ascii="仿宋" w:hAnsi="仿宋" w:eastAsia="仿宋" w:cs="仿宋"/>
                <w:color w:val="000000" w:themeColor="text1"/>
                <w:spacing w:val="15"/>
                <w:kern w:val="0"/>
                <w:szCs w:val="21"/>
                <w:lang w:val="en-US" w:eastAsia="zh-CN"/>
                <w14:textFill>
                  <w14:solidFill>
                    <w14:schemeClr w14:val="tx1"/>
                  </w14:solidFill>
                </w14:textFill>
              </w:rPr>
              <w:t>4</w:t>
            </w:r>
            <w:r>
              <w:rPr>
                <w:rFonts w:hint="eastAsia" w:ascii="仿宋" w:hAnsi="仿宋" w:eastAsia="仿宋" w:cs="仿宋"/>
                <w:color w:val="000000" w:themeColor="text1"/>
                <w:spacing w:val="15"/>
                <w:kern w:val="0"/>
                <w:szCs w:val="21"/>
                <w14:textFill>
                  <w14:solidFill>
                    <w14:schemeClr w14:val="tx1"/>
                  </w14:solidFill>
                </w14:textFill>
              </w:rPr>
              <w:t>分</w:t>
            </w:r>
            <w:r>
              <w:rPr>
                <w:rFonts w:hint="eastAsia" w:ascii="仿宋" w:hAnsi="仿宋" w:eastAsia="仿宋" w:cs="仿宋"/>
                <w:color w:val="000000" w:themeColor="text1"/>
                <w:spacing w:val="15"/>
                <w:kern w:val="0"/>
                <w:szCs w:val="21"/>
                <w:lang w:eastAsia="zh-CN"/>
                <w14:textFill>
                  <w14:solidFill>
                    <w14:schemeClr w14:val="tx1"/>
                  </w14:solidFill>
                </w14:textFill>
              </w:rPr>
              <w:t>，</w:t>
            </w:r>
            <w:r>
              <w:rPr>
                <w:rFonts w:hint="eastAsia" w:ascii="仿宋" w:hAnsi="仿宋" w:eastAsia="仿宋" w:cs="仿宋"/>
                <w:color w:val="000000" w:themeColor="text1"/>
                <w:spacing w:val="15"/>
                <w:kern w:val="0"/>
                <w:szCs w:val="21"/>
                <w14:textFill>
                  <w14:solidFill>
                    <w14:schemeClr w14:val="tx1"/>
                  </w14:solidFill>
                </w14:textFill>
              </w:rPr>
              <w:t>最多计</w:t>
            </w:r>
            <w:r>
              <w:rPr>
                <w:rFonts w:hint="eastAsia" w:ascii="仿宋" w:hAnsi="仿宋" w:eastAsia="仿宋" w:cs="仿宋"/>
                <w:color w:val="000000" w:themeColor="text1"/>
                <w:spacing w:val="15"/>
                <w:kern w:val="0"/>
                <w:szCs w:val="21"/>
                <w:lang w:val="en-US" w:eastAsia="zh-CN"/>
                <w14:textFill>
                  <w14:solidFill>
                    <w14:schemeClr w14:val="tx1"/>
                  </w14:solidFill>
                </w14:textFill>
              </w:rPr>
              <w:t>10</w:t>
            </w:r>
            <w:r>
              <w:rPr>
                <w:rFonts w:hint="eastAsia" w:ascii="仿宋" w:hAnsi="仿宋" w:eastAsia="仿宋" w:cs="仿宋"/>
                <w:color w:val="000000" w:themeColor="text1"/>
                <w:spacing w:val="15"/>
                <w:kern w:val="0"/>
                <w:szCs w:val="21"/>
                <w14:textFill>
                  <w14:solidFill>
                    <w14:schemeClr w14:val="tx1"/>
                  </w14:solidFill>
                </w14:textFill>
              </w:rPr>
              <w:t>分。</w:t>
            </w:r>
          </w:p>
          <w:p w14:paraId="45976568">
            <w:pPr>
              <w:pStyle w:val="7"/>
              <w:keepNext w:val="0"/>
              <w:keepLines w:val="0"/>
              <w:pageBreakBefore w:val="0"/>
              <w:widowControl w:val="0"/>
              <w:kinsoku/>
              <w:wordWrap/>
              <w:overflowPunct/>
              <w:bidi w:val="0"/>
              <w:spacing w:after="0" w:line="240" w:lineRule="exact"/>
              <w:ind w:firstLine="240"/>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（提供专职人员相关证书扫描件）</w:t>
            </w:r>
          </w:p>
        </w:tc>
        <w:tc>
          <w:tcPr>
            <w:tcW w:w="1486" w:type="dxa"/>
            <w:vAlign w:val="top"/>
          </w:tcPr>
          <w:p w14:paraId="2120D0DF">
            <w:pPr>
              <w:pStyle w:val="7"/>
              <w:keepNext w:val="0"/>
              <w:keepLines w:val="0"/>
              <w:pageBreakBefore w:val="0"/>
              <w:widowControl w:val="0"/>
              <w:kinsoku/>
              <w:wordWrap/>
              <w:overflowPunct/>
              <w:bidi w:val="0"/>
              <w:spacing w:after="0" w:line="240" w:lineRule="exact"/>
              <w:ind w:firstLine="240"/>
              <w:rPr>
                <w:rFonts w:hint="eastAsia" w:ascii="仿宋" w:hAnsi="仿宋" w:eastAsia="仿宋" w:cs="仿宋"/>
                <w:color w:val="000000" w:themeColor="text1"/>
                <w:spacing w:val="15"/>
                <w:kern w:val="0"/>
                <w:szCs w:val="21"/>
                <w14:textFill>
                  <w14:solidFill>
                    <w14:schemeClr w14:val="tx1"/>
                  </w14:solidFill>
                </w14:textFill>
              </w:rPr>
            </w:pPr>
          </w:p>
        </w:tc>
      </w:tr>
      <w:tr w14:paraId="382A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15" w:type="dxa"/>
            <w:vAlign w:val="center"/>
          </w:tcPr>
          <w:p w14:paraId="1D7FE608">
            <w:pPr>
              <w:pStyle w:val="7"/>
              <w:keepNext w:val="0"/>
              <w:keepLines w:val="0"/>
              <w:pageBreakBefore w:val="0"/>
              <w:widowControl w:val="0"/>
              <w:kinsoku/>
              <w:wordWrap/>
              <w:overflowPunct/>
              <w:bidi w:val="0"/>
              <w:spacing w:after="0" w:line="240" w:lineRule="exact"/>
              <w:ind w:firstLine="240"/>
              <w:jc w:val="center"/>
              <w:rPr>
                <w:rFonts w:hint="eastAsia" w:ascii="仿宋" w:hAnsi="仿宋" w:eastAsia="仿宋" w:cs="仿宋"/>
                <w:color w:val="000000" w:themeColor="text1"/>
                <w:spacing w:val="15"/>
                <w:kern w:val="0"/>
                <w:szCs w:val="21"/>
                <w:lang w:eastAsia="zh-CN"/>
                <w14:textFill>
                  <w14:solidFill>
                    <w14:schemeClr w14:val="tx1"/>
                  </w14:solidFill>
                </w14:textFill>
              </w:rPr>
            </w:pPr>
            <w:r>
              <w:rPr>
                <w:rFonts w:hint="eastAsia" w:ascii="仿宋" w:hAnsi="仿宋" w:eastAsia="仿宋" w:cs="仿宋"/>
                <w:color w:val="000000" w:themeColor="text1"/>
                <w:spacing w:val="15"/>
                <w:kern w:val="0"/>
                <w:szCs w:val="21"/>
                <w:lang w:val="en-US" w:eastAsia="zh-CN"/>
                <w14:textFill>
                  <w14:solidFill>
                    <w14:schemeClr w14:val="tx1"/>
                  </w14:solidFill>
                </w14:textFill>
              </w:rPr>
              <w:t>3</w:t>
            </w:r>
          </w:p>
        </w:tc>
        <w:tc>
          <w:tcPr>
            <w:tcW w:w="1375" w:type="dxa"/>
            <w:vAlign w:val="center"/>
          </w:tcPr>
          <w:p w14:paraId="3574E8F0">
            <w:pPr>
              <w:pStyle w:val="7"/>
              <w:keepNext w:val="0"/>
              <w:keepLines w:val="0"/>
              <w:pageBreakBefore w:val="0"/>
              <w:widowControl w:val="0"/>
              <w:kinsoku/>
              <w:wordWrap/>
              <w:overflowPunct/>
              <w:bidi w:val="0"/>
              <w:spacing w:after="0" w:line="240" w:lineRule="exact"/>
              <w:ind w:firstLine="0" w:firstLineChars="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lang w:val="en-US" w:eastAsia="zh-CN"/>
                <w14:textFill>
                  <w14:solidFill>
                    <w14:schemeClr w14:val="tx1"/>
                  </w14:solidFill>
                </w14:textFill>
              </w:rPr>
              <w:t>违法违规行为</w:t>
            </w:r>
          </w:p>
          <w:p w14:paraId="34D4C7B2">
            <w:pPr>
              <w:pStyle w:val="7"/>
              <w:keepNext w:val="0"/>
              <w:keepLines w:val="0"/>
              <w:pageBreakBefore w:val="0"/>
              <w:widowControl w:val="0"/>
              <w:kinsoku/>
              <w:wordWrap/>
              <w:overflowPunct/>
              <w:bidi w:val="0"/>
              <w:spacing w:after="0" w:line="240" w:lineRule="exact"/>
              <w:ind w:firstLine="0" w:firstLineChars="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（10分）</w:t>
            </w:r>
          </w:p>
        </w:tc>
        <w:tc>
          <w:tcPr>
            <w:tcW w:w="5042" w:type="dxa"/>
            <w:vAlign w:val="center"/>
          </w:tcPr>
          <w:p w14:paraId="3D3BD8F3">
            <w:pPr>
              <w:keepNext w:val="0"/>
              <w:keepLines w:val="0"/>
              <w:pageBreakBefore w:val="0"/>
              <w:widowControl w:val="0"/>
              <w:kinsoku/>
              <w:wordWrap/>
              <w:overflowPunct/>
              <w:bidi w:val="0"/>
              <w:spacing w:line="2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近三年内，公司和拟任招标代理项目组人员无违规行为，计10分；每有一例因违规受到招标投标监管或政府采购监管部门通报或公告的行为，扣5分；</w:t>
            </w:r>
          </w:p>
          <w:p w14:paraId="14B20420">
            <w:pPr>
              <w:keepNext w:val="0"/>
              <w:keepLines w:val="0"/>
              <w:pageBreakBefore w:val="0"/>
              <w:widowControl w:val="0"/>
              <w:kinsoku/>
              <w:wordWrap/>
              <w:overflowPunct/>
              <w:bidi w:val="0"/>
              <w:spacing w:line="2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每有一例因违规受到招标投标监管或政府采购监管部门处罚的行为，扣10分；</w:t>
            </w:r>
          </w:p>
          <w:p w14:paraId="11502D77">
            <w:pPr>
              <w:keepNext w:val="0"/>
              <w:keepLines w:val="0"/>
              <w:pageBreakBefore w:val="0"/>
              <w:widowControl w:val="0"/>
              <w:kinsoku/>
              <w:wordWrap/>
              <w:overflowPunct/>
              <w:bidi w:val="0"/>
              <w:spacing w:line="240" w:lineRule="exact"/>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w:t>
            </w:r>
            <w:r>
              <w:rPr>
                <w:rFonts w:hint="eastAsia" w:ascii="仿宋" w:hAnsi="仿宋" w:eastAsia="仿宋" w:cs="仿宋"/>
                <w:color w:val="000000" w:themeColor="text1"/>
                <w14:textFill>
                  <w14:solidFill>
                    <w14:schemeClr w14:val="tx1"/>
                  </w14:solidFill>
                </w14:textFill>
              </w:rPr>
              <w:t>评标</w:t>
            </w:r>
            <w:r>
              <w:rPr>
                <w:rFonts w:hint="eastAsia" w:ascii="仿宋" w:hAnsi="仿宋" w:eastAsia="仿宋" w:cs="仿宋"/>
                <w:color w:val="000000" w:themeColor="text1"/>
                <w:szCs w:val="21"/>
                <w14:textFill>
                  <w14:solidFill>
                    <w14:schemeClr w14:val="tx1"/>
                  </w14:solidFill>
                </w14:textFill>
              </w:rPr>
              <w:t>项最多扣10分。</w:t>
            </w:r>
          </w:p>
        </w:tc>
        <w:tc>
          <w:tcPr>
            <w:tcW w:w="1486" w:type="dxa"/>
            <w:vAlign w:val="top"/>
          </w:tcPr>
          <w:p w14:paraId="4E787941">
            <w:pPr>
              <w:pStyle w:val="7"/>
              <w:keepNext w:val="0"/>
              <w:keepLines w:val="0"/>
              <w:pageBreakBefore w:val="0"/>
              <w:widowControl w:val="0"/>
              <w:kinsoku/>
              <w:wordWrap/>
              <w:overflowPunct/>
              <w:bidi w:val="0"/>
              <w:spacing w:after="0" w:line="240" w:lineRule="exact"/>
              <w:ind w:firstLine="240"/>
              <w:rPr>
                <w:rFonts w:hint="eastAsia" w:ascii="仿宋" w:hAnsi="仿宋" w:eastAsia="仿宋" w:cs="仿宋"/>
                <w:color w:val="000000" w:themeColor="text1"/>
                <w:spacing w:val="15"/>
                <w:kern w:val="0"/>
                <w:szCs w:val="21"/>
                <w14:textFill>
                  <w14:solidFill>
                    <w14:schemeClr w14:val="tx1"/>
                  </w14:solidFill>
                </w14:textFill>
              </w:rPr>
            </w:pPr>
          </w:p>
        </w:tc>
      </w:tr>
      <w:tr w14:paraId="39D8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5" w:type="dxa"/>
            <w:vAlign w:val="center"/>
          </w:tcPr>
          <w:p w14:paraId="769245E1">
            <w:pPr>
              <w:pStyle w:val="7"/>
              <w:keepNext w:val="0"/>
              <w:keepLines w:val="0"/>
              <w:pageBreakBefore w:val="0"/>
              <w:widowControl w:val="0"/>
              <w:kinsoku/>
              <w:wordWrap/>
              <w:overflowPunct/>
              <w:bidi w:val="0"/>
              <w:spacing w:after="0" w:line="240" w:lineRule="exact"/>
              <w:ind w:firstLine="240"/>
              <w:jc w:val="center"/>
              <w:rPr>
                <w:rFonts w:hint="eastAsia" w:ascii="仿宋" w:hAnsi="仿宋" w:eastAsia="仿宋" w:cs="仿宋"/>
                <w:color w:val="000000" w:themeColor="text1"/>
                <w:spacing w:val="15"/>
                <w:kern w:val="0"/>
                <w:szCs w:val="21"/>
                <w:lang w:eastAsia="zh-CN"/>
                <w14:textFill>
                  <w14:solidFill>
                    <w14:schemeClr w14:val="tx1"/>
                  </w14:solidFill>
                </w14:textFill>
              </w:rPr>
            </w:pPr>
            <w:r>
              <w:rPr>
                <w:rFonts w:hint="eastAsia" w:ascii="仿宋" w:hAnsi="仿宋" w:eastAsia="仿宋" w:cs="仿宋"/>
                <w:color w:val="000000" w:themeColor="text1"/>
                <w:spacing w:val="15"/>
                <w:kern w:val="0"/>
                <w:szCs w:val="21"/>
                <w:lang w:val="en-US" w:eastAsia="zh-CN"/>
                <w14:textFill>
                  <w14:solidFill>
                    <w14:schemeClr w14:val="tx1"/>
                  </w14:solidFill>
                </w14:textFill>
              </w:rPr>
              <w:t>4</w:t>
            </w:r>
          </w:p>
        </w:tc>
        <w:tc>
          <w:tcPr>
            <w:tcW w:w="6417" w:type="dxa"/>
            <w:gridSpan w:val="2"/>
            <w:vAlign w:val="center"/>
          </w:tcPr>
          <w:p w14:paraId="77F4940C">
            <w:pPr>
              <w:pStyle w:val="7"/>
              <w:keepNext w:val="0"/>
              <w:keepLines w:val="0"/>
              <w:pageBreakBefore w:val="0"/>
              <w:widowControl w:val="0"/>
              <w:kinsoku/>
              <w:wordWrap/>
              <w:overflowPunct/>
              <w:bidi w:val="0"/>
              <w:spacing w:after="0" w:line="240" w:lineRule="exact"/>
              <w:ind w:firstLine="240"/>
              <w:jc w:val="center"/>
              <w:rPr>
                <w:rFonts w:hint="eastAsia" w:ascii="仿宋" w:hAnsi="仿宋" w:eastAsia="仿宋" w:cs="仿宋"/>
                <w:color w:val="000000" w:themeColor="text1"/>
                <w:spacing w:val="15"/>
                <w:kern w:val="0"/>
                <w:szCs w:val="21"/>
                <w14:textFill>
                  <w14:solidFill>
                    <w14:schemeClr w14:val="tx1"/>
                  </w14:solidFill>
                </w14:textFill>
              </w:rPr>
            </w:pPr>
            <w:r>
              <w:rPr>
                <w:rFonts w:hint="eastAsia" w:ascii="仿宋" w:hAnsi="仿宋" w:eastAsia="仿宋" w:cs="仿宋"/>
                <w:color w:val="000000" w:themeColor="text1"/>
                <w:spacing w:val="15"/>
                <w:kern w:val="0"/>
                <w:szCs w:val="21"/>
                <w14:textFill>
                  <w14:solidFill>
                    <w14:schemeClr w14:val="tx1"/>
                  </w14:solidFill>
                </w14:textFill>
              </w:rPr>
              <w:t>合计</w:t>
            </w:r>
          </w:p>
        </w:tc>
        <w:tc>
          <w:tcPr>
            <w:tcW w:w="1486" w:type="dxa"/>
            <w:vAlign w:val="top"/>
          </w:tcPr>
          <w:p w14:paraId="21D1A53B">
            <w:pPr>
              <w:pStyle w:val="7"/>
              <w:keepNext w:val="0"/>
              <w:keepLines w:val="0"/>
              <w:pageBreakBefore w:val="0"/>
              <w:widowControl w:val="0"/>
              <w:kinsoku/>
              <w:wordWrap/>
              <w:overflowPunct/>
              <w:bidi w:val="0"/>
              <w:spacing w:after="0" w:line="240" w:lineRule="exact"/>
              <w:ind w:firstLine="240"/>
              <w:rPr>
                <w:rFonts w:hint="eastAsia" w:ascii="仿宋" w:hAnsi="仿宋" w:eastAsia="仿宋" w:cs="仿宋"/>
                <w:color w:val="000000" w:themeColor="text1"/>
                <w:spacing w:val="15"/>
                <w:kern w:val="0"/>
                <w:szCs w:val="21"/>
                <w14:textFill>
                  <w14:solidFill>
                    <w14:schemeClr w14:val="tx1"/>
                  </w14:solidFill>
                </w14:textFill>
              </w:rPr>
            </w:pPr>
          </w:p>
        </w:tc>
      </w:tr>
    </w:tbl>
    <w:p w14:paraId="604C502C">
      <w:pPr>
        <w:pStyle w:val="4"/>
        <w:keepNext w:val="0"/>
        <w:keepLines w:val="0"/>
        <w:pageBreakBefore w:val="0"/>
        <w:widowControl w:val="0"/>
        <w:kinsoku/>
        <w:wordWrap/>
        <w:overflowPunct/>
        <w:bidi w:val="0"/>
        <w:ind w:firstLine="0" w:firstLineChars="0"/>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14:textFill>
            <w14:solidFill>
              <w14:schemeClr w14:val="tx1"/>
            </w14:solidFill>
          </w14:textFill>
        </w:rPr>
        <w:t>备注：商务部分评分由专家集体评议打分。</w:t>
      </w:r>
      <w:r>
        <w:rPr>
          <w:rFonts w:hint="eastAsia" w:ascii="仿宋" w:hAnsi="仿宋" w:eastAsia="仿宋" w:cs="仿宋"/>
          <w:color w:val="000000" w:themeColor="text1"/>
          <w:spacing w:val="15"/>
          <w:kern w:val="0"/>
          <w:sz w:val="24"/>
          <w14:textFill>
            <w14:solidFill>
              <w14:schemeClr w14:val="tx1"/>
            </w14:solidFill>
          </w14:textFill>
        </w:rPr>
        <w:br w:type="page"/>
      </w:r>
      <w:r>
        <w:rPr>
          <w:rFonts w:hint="eastAsia" w:ascii="仿宋" w:hAnsi="仿宋" w:eastAsia="仿宋" w:cs="仿宋"/>
          <w:color w:val="000000" w:themeColor="text1"/>
          <w:spacing w:val="15"/>
          <w:kern w:val="0"/>
          <w:sz w:val="24"/>
          <w14:textFill>
            <w14:solidFill>
              <w14:schemeClr w14:val="tx1"/>
            </w14:solidFill>
          </w14:textFill>
        </w:rPr>
        <w:t>附表4：</w:t>
      </w:r>
    </w:p>
    <w:p w14:paraId="2F3F5129">
      <w:pPr>
        <w:pStyle w:val="4"/>
        <w:keepNext w:val="0"/>
        <w:keepLines w:val="0"/>
        <w:pageBreakBefore w:val="0"/>
        <w:widowControl w:val="0"/>
        <w:kinsoku/>
        <w:wordWrap/>
        <w:overflowPunct/>
        <w:bidi w:val="0"/>
        <w:ind w:firstLine="311"/>
        <w:jc w:val="center"/>
        <w:rPr>
          <w:rFonts w:hint="eastAsia" w:ascii="仿宋" w:hAnsi="仿宋" w:eastAsia="仿宋" w:cs="仿宋"/>
          <w:b/>
          <w:bCs/>
          <w:color w:val="000000" w:themeColor="text1"/>
          <w:spacing w:val="15"/>
          <w:kern w:val="0"/>
          <w:sz w:val="28"/>
          <w:szCs w:val="21"/>
          <w14:textFill>
            <w14:solidFill>
              <w14:schemeClr w14:val="tx1"/>
            </w14:solidFill>
          </w14:textFill>
        </w:rPr>
      </w:pPr>
      <w:r>
        <w:rPr>
          <w:rFonts w:hint="eastAsia" w:ascii="仿宋" w:hAnsi="仿宋" w:eastAsia="仿宋" w:cs="仿宋"/>
          <w:b/>
          <w:bCs/>
          <w:color w:val="000000" w:themeColor="text1"/>
          <w:spacing w:val="15"/>
          <w:kern w:val="0"/>
          <w:sz w:val="28"/>
          <w:szCs w:val="21"/>
          <w14:textFill>
            <w14:solidFill>
              <w14:schemeClr w14:val="tx1"/>
            </w14:solidFill>
          </w14:textFill>
        </w:rPr>
        <w:t>技术方案评审表</w:t>
      </w:r>
    </w:p>
    <w:tbl>
      <w:tblPr>
        <w:tblStyle w:val="5"/>
        <w:tblW w:w="0" w:type="auto"/>
        <w:tblInd w:w="-11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793"/>
        <w:gridCol w:w="3961"/>
        <w:gridCol w:w="1031"/>
        <w:gridCol w:w="1135"/>
      </w:tblGrid>
      <w:tr w14:paraId="46582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323006C">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793" w:type="dxa"/>
            <w:vAlign w:val="center"/>
          </w:tcPr>
          <w:p w14:paraId="056F26D0">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评审内容</w:t>
            </w:r>
          </w:p>
        </w:tc>
        <w:tc>
          <w:tcPr>
            <w:tcW w:w="4992" w:type="dxa"/>
            <w:gridSpan w:val="2"/>
            <w:vAlign w:val="center"/>
          </w:tcPr>
          <w:p w14:paraId="45601650">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评审标准</w:t>
            </w:r>
          </w:p>
        </w:tc>
        <w:tc>
          <w:tcPr>
            <w:tcW w:w="1135" w:type="dxa"/>
            <w:vAlign w:val="center"/>
          </w:tcPr>
          <w:p w14:paraId="0FD67F1E">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评审得分</w:t>
            </w:r>
          </w:p>
        </w:tc>
      </w:tr>
      <w:tr w14:paraId="1FA5F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599" w:type="dxa"/>
            <w:vMerge w:val="restart"/>
            <w:vAlign w:val="center"/>
          </w:tcPr>
          <w:p w14:paraId="217A5AC8">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1793" w:type="dxa"/>
            <w:vMerge w:val="restart"/>
            <w:vAlign w:val="center"/>
          </w:tcPr>
          <w:p w14:paraId="272A64F9">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招标代理</w:t>
            </w:r>
          </w:p>
          <w:p w14:paraId="49DCC4FA">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工作流程（</w:t>
            </w:r>
            <w:r>
              <w:rPr>
                <w:rFonts w:hint="eastAsia" w:ascii="仿宋" w:hAnsi="仿宋" w:eastAsia="仿宋" w:cs="仿宋"/>
                <w:color w:val="000000" w:themeColor="text1"/>
                <w:lang w:val="en-US" w:eastAsia="zh-CN"/>
                <w14:textFill>
                  <w14:solidFill>
                    <w14:schemeClr w14:val="tx1"/>
                  </w14:solidFill>
                </w14:textFill>
              </w:rPr>
              <w:t>15</w:t>
            </w:r>
            <w:r>
              <w:rPr>
                <w:rFonts w:hint="eastAsia" w:ascii="仿宋" w:hAnsi="仿宋" w:eastAsia="仿宋" w:cs="仿宋"/>
                <w:color w:val="000000" w:themeColor="text1"/>
                <w14:textFill>
                  <w14:solidFill>
                    <w14:schemeClr w14:val="tx1"/>
                  </w14:solidFill>
                </w14:textFill>
              </w:rPr>
              <w:t>分）</w:t>
            </w:r>
          </w:p>
        </w:tc>
        <w:tc>
          <w:tcPr>
            <w:tcW w:w="3961" w:type="dxa"/>
            <w:vAlign w:val="center"/>
          </w:tcPr>
          <w:p w14:paraId="7EDF6083">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内容完整，科学，可靠，编制水平高</w:t>
            </w:r>
          </w:p>
        </w:tc>
        <w:tc>
          <w:tcPr>
            <w:tcW w:w="1031" w:type="dxa"/>
            <w:vAlign w:val="center"/>
          </w:tcPr>
          <w:p w14:paraId="1CED6709">
            <w:pPr>
              <w:keepNext w:val="0"/>
              <w:keepLines w:val="0"/>
              <w:pageBreakBefore w:val="0"/>
              <w:widowControl w:val="0"/>
              <w:kinsoku/>
              <w:wordWrap/>
              <w:overflowPunct/>
              <w:bidi w:val="0"/>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15</w:t>
            </w:r>
          </w:p>
        </w:tc>
        <w:tc>
          <w:tcPr>
            <w:tcW w:w="1135" w:type="dxa"/>
            <w:vMerge w:val="restart"/>
            <w:vAlign w:val="center"/>
          </w:tcPr>
          <w:p w14:paraId="3A6FE5EE">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67B64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599" w:type="dxa"/>
            <w:vMerge w:val="continue"/>
            <w:vAlign w:val="center"/>
          </w:tcPr>
          <w:p w14:paraId="2BC99B57">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470D15BC">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5C5ED3FE">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内容较完整，编制水平一般</w:t>
            </w:r>
          </w:p>
        </w:tc>
        <w:tc>
          <w:tcPr>
            <w:tcW w:w="1031" w:type="dxa"/>
            <w:vAlign w:val="center"/>
          </w:tcPr>
          <w:p w14:paraId="5D915EEF">
            <w:pPr>
              <w:keepNext w:val="0"/>
              <w:keepLines w:val="0"/>
              <w:pageBreakBefore w:val="0"/>
              <w:widowControl w:val="0"/>
              <w:kinsoku/>
              <w:wordWrap/>
              <w:overflowPunct/>
              <w:bidi w:val="0"/>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9</w:t>
            </w:r>
          </w:p>
        </w:tc>
        <w:tc>
          <w:tcPr>
            <w:tcW w:w="1135" w:type="dxa"/>
            <w:vMerge w:val="continue"/>
            <w:vAlign w:val="center"/>
          </w:tcPr>
          <w:p w14:paraId="694DBD66">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128A6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599" w:type="dxa"/>
            <w:vMerge w:val="continue"/>
            <w:vAlign w:val="center"/>
          </w:tcPr>
          <w:p w14:paraId="4DA2C35C">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08D39502">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12FF0351">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内容欠完整或方案欠科学</w:t>
            </w:r>
          </w:p>
        </w:tc>
        <w:tc>
          <w:tcPr>
            <w:tcW w:w="1031" w:type="dxa"/>
            <w:vAlign w:val="center"/>
          </w:tcPr>
          <w:p w14:paraId="0E1E8A0F">
            <w:pPr>
              <w:keepNext w:val="0"/>
              <w:keepLines w:val="0"/>
              <w:pageBreakBefore w:val="0"/>
              <w:widowControl w:val="0"/>
              <w:kinsoku/>
              <w:wordWrap/>
              <w:overflowPunct/>
              <w:bidi w:val="0"/>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0-</w:t>
            </w:r>
            <w:r>
              <w:rPr>
                <w:rFonts w:hint="eastAsia" w:ascii="仿宋" w:hAnsi="仿宋" w:eastAsia="仿宋" w:cs="仿宋"/>
                <w:color w:val="000000" w:themeColor="text1"/>
                <w:lang w:val="en-US" w:eastAsia="zh-CN"/>
                <w14:textFill>
                  <w14:solidFill>
                    <w14:schemeClr w14:val="tx1"/>
                  </w14:solidFill>
                </w14:textFill>
              </w:rPr>
              <w:t>4</w:t>
            </w:r>
          </w:p>
        </w:tc>
        <w:tc>
          <w:tcPr>
            <w:tcW w:w="1135" w:type="dxa"/>
            <w:vMerge w:val="continue"/>
            <w:vAlign w:val="center"/>
          </w:tcPr>
          <w:p w14:paraId="50D1120C">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6BC32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599" w:type="dxa"/>
            <w:vMerge w:val="continue"/>
            <w:vAlign w:val="center"/>
          </w:tcPr>
          <w:p w14:paraId="54A81756">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507F7149">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64CCC98F">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综合条件较高，各专业人员配备基本合理</w:t>
            </w:r>
          </w:p>
        </w:tc>
        <w:tc>
          <w:tcPr>
            <w:tcW w:w="1031" w:type="dxa"/>
            <w:vAlign w:val="center"/>
          </w:tcPr>
          <w:p w14:paraId="046CB021">
            <w:pPr>
              <w:keepNext w:val="0"/>
              <w:keepLines w:val="0"/>
              <w:pageBreakBefore w:val="0"/>
              <w:widowControl w:val="0"/>
              <w:kinsoku/>
              <w:wordWrap/>
              <w:overflowPunct/>
              <w:bidi w:val="0"/>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7</w:t>
            </w:r>
          </w:p>
        </w:tc>
        <w:tc>
          <w:tcPr>
            <w:tcW w:w="1135" w:type="dxa"/>
            <w:vMerge w:val="continue"/>
            <w:vAlign w:val="center"/>
          </w:tcPr>
          <w:p w14:paraId="6B82CACA">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297C9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599" w:type="dxa"/>
            <w:vMerge w:val="continue"/>
            <w:vAlign w:val="center"/>
          </w:tcPr>
          <w:p w14:paraId="47385D97">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1BE92B9E">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10DC300C">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综合条件一般，各专业人员配备欠合理</w:t>
            </w:r>
          </w:p>
        </w:tc>
        <w:tc>
          <w:tcPr>
            <w:tcW w:w="1031" w:type="dxa"/>
            <w:vAlign w:val="center"/>
          </w:tcPr>
          <w:p w14:paraId="6C929916">
            <w:pPr>
              <w:keepNext w:val="0"/>
              <w:keepLines w:val="0"/>
              <w:pageBreakBefore w:val="0"/>
              <w:widowControl w:val="0"/>
              <w:kinsoku/>
              <w:wordWrap/>
              <w:overflowPunct/>
              <w:bidi w:val="0"/>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0-</w:t>
            </w:r>
            <w:r>
              <w:rPr>
                <w:rFonts w:hint="eastAsia" w:ascii="仿宋" w:hAnsi="仿宋" w:eastAsia="仿宋" w:cs="仿宋"/>
                <w:color w:val="000000" w:themeColor="text1"/>
                <w:lang w:val="en-US" w:eastAsia="zh-CN"/>
                <w14:textFill>
                  <w14:solidFill>
                    <w14:schemeClr w14:val="tx1"/>
                  </w14:solidFill>
                </w14:textFill>
              </w:rPr>
              <w:t>3</w:t>
            </w:r>
          </w:p>
        </w:tc>
        <w:tc>
          <w:tcPr>
            <w:tcW w:w="1135" w:type="dxa"/>
            <w:vMerge w:val="continue"/>
            <w:vAlign w:val="center"/>
          </w:tcPr>
          <w:p w14:paraId="682261C8">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22E06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599" w:type="dxa"/>
            <w:vMerge w:val="restart"/>
            <w:vAlign w:val="center"/>
          </w:tcPr>
          <w:p w14:paraId="365E1BE3">
            <w:pPr>
              <w:keepNext w:val="0"/>
              <w:keepLines w:val="0"/>
              <w:pageBreakBefore w:val="0"/>
              <w:widowControl w:val="0"/>
              <w:kinsoku/>
              <w:wordWrap/>
              <w:overflowPunct/>
              <w:bidi w:val="0"/>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w:t>
            </w:r>
          </w:p>
        </w:tc>
        <w:tc>
          <w:tcPr>
            <w:tcW w:w="1793" w:type="dxa"/>
            <w:vMerge w:val="restart"/>
            <w:vAlign w:val="center"/>
          </w:tcPr>
          <w:p w14:paraId="04C91D2A">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质疑投诉处理预案（</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分）</w:t>
            </w:r>
          </w:p>
        </w:tc>
        <w:tc>
          <w:tcPr>
            <w:tcW w:w="3961" w:type="dxa"/>
            <w:vAlign w:val="center"/>
          </w:tcPr>
          <w:p w14:paraId="35C2EB68">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科学、合理，执行度高</w:t>
            </w:r>
          </w:p>
        </w:tc>
        <w:tc>
          <w:tcPr>
            <w:tcW w:w="1031" w:type="dxa"/>
            <w:vAlign w:val="center"/>
          </w:tcPr>
          <w:p w14:paraId="7461EB75">
            <w:pPr>
              <w:keepNext w:val="0"/>
              <w:keepLines w:val="0"/>
              <w:pageBreakBefore w:val="0"/>
              <w:widowControl w:val="0"/>
              <w:kinsoku/>
              <w:wordWrap/>
              <w:overflowPunct/>
              <w:bidi w:val="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0</w:t>
            </w:r>
          </w:p>
        </w:tc>
        <w:tc>
          <w:tcPr>
            <w:tcW w:w="1135" w:type="dxa"/>
            <w:vMerge w:val="restart"/>
            <w:vAlign w:val="center"/>
          </w:tcPr>
          <w:p w14:paraId="1AC6CE61">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7D720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599" w:type="dxa"/>
            <w:vMerge w:val="continue"/>
            <w:vAlign w:val="center"/>
          </w:tcPr>
          <w:p w14:paraId="0C1C9BDC">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4C0C90A0">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4CEF9AFE">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较科学、较合理，执行度较高</w:t>
            </w:r>
          </w:p>
        </w:tc>
        <w:tc>
          <w:tcPr>
            <w:tcW w:w="1031" w:type="dxa"/>
            <w:vAlign w:val="center"/>
          </w:tcPr>
          <w:p w14:paraId="0B8C7CF0">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7</w:t>
            </w:r>
          </w:p>
        </w:tc>
        <w:tc>
          <w:tcPr>
            <w:tcW w:w="1135" w:type="dxa"/>
            <w:vMerge w:val="continue"/>
            <w:vAlign w:val="center"/>
          </w:tcPr>
          <w:p w14:paraId="1627DDCD">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262F3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599" w:type="dxa"/>
            <w:vMerge w:val="continue"/>
            <w:vAlign w:val="center"/>
          </w:tcPr>
          <w:p w14:paraId="072D960E">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4853CDDA">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599A9CC5">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科学合理性一般，执行度一般</w:t>
            </w:r>
          </w:p>
        </w:tc>
        <w:tc>
          <w:tcPr>
            <w:tcW w:w="1031" w:type="dxa"/>
            <w:vAlign w:val="center"/>
          </w:tcPr>
          <w:p w14:paraId="7BBDC754">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0-</w:t>
            </w:r>
            <w:r>
              <w:rPr>
                <w:rFonts w:hint="eastAsia" w:ascii="仿宋" w:hAnsi="仿宋" w:eastAsia="仿宋" w:cs="仿宋"/>
                <w:color w:val="000000" w:themeColor="text1"/>
                <w:lang w:val="en-US" w:eastAsia="zh-CN"/>
                <w14:textFill>
                  <w14:solidFill>
                    <w14:schemeClr w14:val="tx1"/>
                  </w14:solidFill>
                </w14:textFill>
              </w:rPr>
              <w:t>4</w:t>
            </w:r>
          </w:p>
        </w:tc>
        <w:tc>
          <w:tcPr>
            <w:tcW w:w="1135" w:type="dxa"/>
            <w:vMerge w:val="continue"/>
            <w:vAlign w:val="center"/>
          </w:tcPr>
          <w:p w14:paraId="40B8E05E">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3E359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599" w:type="dxa"/>
            <w:vMerge w:val="restart"/>
            <w:vAlign w:val="center"/>
          </w:tcPr>
          <w:p w14:paraId="734CB286">
            <w:pPr>
              <w:keepNext w:val="0"/>
              <w:keepLines w:val="0"/>
              <w:pageBreakBefore w:val="0"/>
              <w:widowControl w:val="0"/>
              <w:kinsoku/>
              <w:wordWrap/>
              <w:overflowPunct/>
              <w:bidi w:val="0"/>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p>
        </w:tc>
        <w:tc>
          <w:tcPr>
            <w:tcW w:w="1793" w:type="dxa"/>
            <w:vMerge w:val="restart"/>
            <w:vAlign w:val="center"/>
          </w:tcPr>
          <w:p w14:paraId="01F6239F">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招标工作的保证措施</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分）</w:t>
            </w:r>
          </w:p>
        </w:tc>
        <w:tc>
          <w:tcPr>
            <w:tcW w:w="3961" w:type="dxa"/>
            <w:vAlign w:val="center"/>
          </w:tcPr>
          <w:p w14:paraId="0F5A9D16">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针对性强、保证措施得力</w:t>
            </w:r>
          </w:p>
        </w:tc>
        <w:tc>
          <w:tcPr>
            <w:tcW w:w="1031" w:type="dxa"/>
            <w:vAlign w:val="center"/>
          </w:tcPr>
          <w:p w14:paraId="0DD4A8E5">
            <w:pPr>
              <w:keepNext w:val="0"/>
              <w:keepLines w:val="0"/>
              <w:pageBreakBefore w:val="0"/>
              <w:widowControl w:val="0"/>
              <w:kinsoku/>
              <w:wordWrap/>
              <w:overflowPunct/>
              <w:bidi w:val="0"/>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9</w:t>
            </w:r>
          </w:p>
        </w:tc>
        <w:tc>
          <w:tcPr>
            <w:tcW w:w="1135" w:type="dxa"/>
            <w:vMerge w:val="restart"/>
            <w:vAlign w:val="center"/>
          </w:tcPr>
          <w:p w14:paraId="2E8672CF">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70307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599" w:type="dxa"/>
            <w:vMerge w:val="continue"/>
            <w:vAlign w:val="center"/>
          </w:tcPr>
          <w:p w14:paraId="0C204D7F">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27F0B4EC">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42E379F9">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针对性较强，措施较高</w:t>
            </w:r>
          </w:p>
        </w:tc>
        <w:tc>
          <w:tcPr>
            <w:tcW w:w="1031" w:type="dxa"/>
            <w:vAlign w:val="center"/>
          </w:tcPr>
          <w:p w14:paraId="39FE28EF">
            <w:pPr>
              <w:keepNext w:val="0"/>
              <w:keepLines w:val="0"/>
              <w:pageBreakBefore w:val="0"/>
              <w:widowControl w:val="0"/>
              <w:kinsoku/>
              <w:wordWrap/>
              <w:overflowPunct/>
              <w:bidi w:val="0"/>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6</w:t>
            </w:r>
          </w:p>
        </w:tc>
        <w:tc>
          <w:tcPr>
            <w:tcW w:w="1135" w:type="dxa"/>
            <w:vMerge w:val="continue"/>
            <w:vAlign w:val="center"/>
          </w:tcPr>
          <w:p w14:paraId="49824B21">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4C2A9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599" w:type="dxa"/>
            <w:vMerge w:val="continue"/>
            <w:vAlign w:val="center"/>
          </w:tcPr>
          <w:p w14:paraId="590AE6DE">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2BE909FA">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53D38ED9">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措施一般</w:t>
            </w:r>
          </w:p>
        </w:tc>
        <w:tc>
          <w:tcPr>
            <w:tcW w:w="1031" w:type="dxa"/>
            <w:vAlign w:val="center"/>
          </w:tcPr>
          <w:p w14:paraId="56482795">
            <w:pPr>
              <w:keepNext w:val="0"/>
              <w:keepLines w:val="0"/>
              <w:pageBreakBefore w:val="0"/>
              <w:widowControl w:val="0"/>
              <w:kinsoku/>
              <w:wordWrap/>
              <w:overflowPunct/>
              <w:bidi w:val="0"/>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0-</w:t>
            </w:r>
            <w:r>
              <w:rPr>
                <w:rFonts w:hint="eastAsia" w:ascii="仿宋" w:hAnsi="仿宋" w:eastAsia="仿宋" w:cs="仿宋"/>
                <w:color w:val="000000" w:themeColor="text1"/>
                <w:lang w:val="en-US" w:eastAsia="zh-CN"/>
                <w14:textFill>
                  <w14:solidFill>
                    <w14:schemeClr w14:val="tx1"/>
                  </w14:solidFill>
                </w14:textFill>
              </w:rPr>
              <w:t>3</w:t>
            </w:r>
          </w:p>
        </w:tc>
        <w:tc>
          <w:tcPr>
            <w:tcW w:w="1135" w:type="dxa"/>
            <w:vMerge w:val="continue"/>
            <w:vAlign w:val="center"/>
          </w:tcPr>
          <w:p w14:paraId="509C0694">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23674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599" w:type="dxa"/>
            <w:vMerge w:val="restart"/>
            <w:vAlign w:val="center"/>
          </w:tcPr>
          <w:p w14:paraId="341712BA">
            <w:pPr>
              <w:keepNext w:val="0"/>
              <w:keepLines w:val="0"/>
              <w:pageBreakBefore w:val="0"/>
              <w:widowControl w:val="0"/>
              <w:kinsoku/>
              <w:wordWrap/>
              <w:overflowPunct/>
              <w:bidi w:val="0"/>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p>
        </w:tc>
        <w:tc>
          <w:tcPr>
            <w:tcW w:w="1793" w:type="dxa"/>
            <w:vMerge w:val="restart"/>
            <w:vAlign w:val="center"/>
          </w:tcPr>
          <w:p w14:paraId="22873CAF">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合理化建议</w:t>
            </w:r>
          </w:p>
          <w:p w14:paraId="5C66215F">
            <w:pPr>
              <w:pStyle w:val="2"/>
              <w:keepNext w:val="0"/>
              <w:keepLines w:val="0"/>
              <w:pageBreakBefore w:val="0"/>
              <w:widowControl w:val="0"/>
              <w:kinsoku/>
              <w:wordWrap/>
              <w:overflowPunct/>
              <w:bidi w:val="0"/>
              <w:ind w:left="0" w:leftChars="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分）</w:t>
            </w:r>
          </w:p>
        </w:tc>
        <w:tc>
          <w:tcPr>
            <w:tcW w:w="3961" w:type="dxa"/>
            <w:vAlign w:val="center"/>
          </w:tcPr>
          <w:p w14:paraId="336BF057">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科学、合理，执行度高</w:t>
            </w:r>
          </w:p>
        </w:tc>
        <w:tc>
          <w:tcPr>
            <w:tcW w:w="1031" w:type="dxa"/>
            <w:vAlign w:val="center"/>
          </w:tcPr>
          <w:p w14:paraId="59F5CBBA">
            <w:pPr>
              <w:keepNext w:val="0"/>
              <w:keepLines w:val="0"/>
              <w:pageBreakBefore w:val="0"/>
              <w:widowControl w:val="0"/>
              <w:kinsoku/>
              <w:wordWrap/>
              <w:overflowPunct/>
              <w:bidi w:val="0"/>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6</w:t>
            </w:r>
          </w:p>
        </w:tc>
        <w:tc>
          <w:tcPr>
            <w:tcW w:w="1135" w:type="dxa"/>
            <w:vMerge w:val="restart"/>
            <w:vAlign w:val="center"/>
          </w:tcPr>
          <w:p w14:paraId="4A424C20">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2D028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599" w:type="dxa"/>
            <w:vMerge w:val="continue"/>
            <w:vAlign w:val="center"/>
          </w:tcPr>
          <w:p w14:paraId="424F135D">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622B3BC5">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022D000D">
            <w:pPr>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较科学、合理，执行度较高</w:t>
            </w:r>
          </w:p>
        </w:tc>
        <w:tc>
          <w:tcPr>
            <w:tcW w:w="1031" w:type="dxa"/>
            <w:vAlign w:val="center"/>
          </w:tcPr>
          <w:p w14:paraId="04AC5978">
            <w:pPr>
              <w:keepNext w:val="0"/>
              <w:keepLines w:val="0"/>
              <w:pageBreakBefore w:val="0"/>
              <w:widowControl w:val="0"/>
              <w:kinsoku/>
              <w:wordWrap/>
              <w:overflowPunct/>
              <w:bidi w:val="0"/>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4</w:t>
            </w:r>
          </w:p>
        </w:tc>
        <w:tc>
          <w:tcPr>
            <w:tcW w:w="1135" w:type="dxa"/>
            <w:vMerge w:val="continue"/>
            <w:vAlign w:val="center"/>
          </w:tcPr>
          <w:p w14:paraId="3D676D7C">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3B8B5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599" w:type="dxa"/>
            <w:vMerge w:val="continue"/>
            <w:vAlign w:val="center"/>
          </w:tcPr>
          <w:p w14:paraId="77158FC3">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1793" w:type="dxa"/>
            <w:vMerge w:val="continue"/>
            <w:vAlign w:val="center"/>
          </w:tcPr>
          <w:p w14:paraId="378101B6">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c>
          <w:tcPr>
            <w:tcW w:w="3961" w:type="dxa"/>
            <w:vAlign w:val="center"/>
          </w:tcPr>
          <w:p w14:paraId="45035C68">
            <w:pPr>
              <w:keepNext w:val="0"/>
              <w:keepLines w:val="0"/>
              <w:pageBreakBefore w:val="0"/>
              <w:widowControl w:val="0"/>
              <w:kinsoku/>
              <w:wordWrap/>
              <w:overflowPunct/>
              <w:bidi w:val="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合理，执行度一般</w:t>
            </w:r>
          </w:p>
        </w:tc>
        <w:tc>
          <w:tcPr>
            <w:tcW w:w="1031" w:type="dxa"/>
            <w:vAlign w:val="center"/>
          </w:tcPr>
          <w:p w14:paraId="19EB7AFA">
            <w:pPr>
              <w:keepNext w:val="0"/>
              <w:keepLines w:val="0"/>
              <w:pageBreakBefore w:val="0"/>
              <w:widowControl w:val="0"/>
              <w:kinsoku/>
              <w:wordWrap/>
              <w:overflowPunct/>
              <w:bidi w:val="0"/>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0-2</w:t>
            </w:r>
          </w:p>
        </w:tc>
        <w:tc>
          <w:tcPr>
            <w:tcW w:w="1135" w:type="dxa"/>
            <w:vMerge w:val="continue"/>
            <w:vAlign w:val="center"/>
          </w:tcPr>
          <w:p w14:paraId="4AE137D4">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r w14:paraId="30131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99" w:type="dxa"/>
            <w:vAlign w:val="center"/>
          </w:tcPr>
          <w:p w14:paraId="788F8670">
            <w:pPr>
              <w:keepNext w:val="0"/>
              <w:keepLines w:val="0"/>
              <w:pageBreakBefore w:val="0"/>
              <w:widowControl w:val="0"/>
              <w:kinsoku/>
              <w:wordWrap/>
              <w:overflowPunct/>
              <w:bidi w:val="0"/>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5</w:t>
            </w:r>
          </w:p>
        </w:tc>
        <w:tc>
          <w:tcPr>
            <w:tcW w:w="6785" w:type="dxa"/>
            <w:gridSpan w:val="3"/>
            <w:vAlign w:val="center"/>
          </w:tcPr>
          <w:p w14:paraId="33BFAD44">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   计</w:t>
            </w:r>
          </w:p>
        </w:tc>
        <w:tc>
          <w:tcPr>
            <w:tcW w:w="1135" w:type="dxa"/>
            <w:vAlign w:val="center"/>
          </w:tcPr>
          <w:p w14:paraId="2A129764">
            <w:pPr>
              <w:keepNext w:val="0"/>
              <w:keepLines w:val="0"/>
              <w:pageBreakBefore w:val="0"/>
              <w:widowControl w:val="0"/>
              <w:kinsoku/>
              <w:wordWrap/>
              <w:overflowPunct/>
              <w:bidi w:val="0"/>
              <w:jc w:val="center"/>
              <w:rPr>
                <w:rFonts w:hint="eastAsia" w:ascii="仿宋" w:hAnsi="仿宋" w:eastAsia="仿宋" w:cs="仿宋"/>
                <w:color w:val="000000" w:themeColor="text1"/>
                <w14:textFill>
                  <w14:solidFill>
                    <w14:schemeClr w14:val="tx1"/>
                  </w14:solidFill>
                </w14:textFill>
              </w:rPr>
            </w:pPr>
          </w:p>
        </w:tc>
      </w:tr>
    </w:tbl>
    <w:p w14:paraId="763643E7">
      <w:pPr>
        <w:pStyle w:val="4"/>
        <w:keepNext w:val="0"/>
        <w:keepLines w:val="0"/>
        <w:pageBreakBefore w:val="0"/>
        <w:widowControl w:val="0"/>
        <w:kinsoku/>
        <w:wordWrap/>
        <w:overflowPunct/>
        <w:bidi w:val="0"/>
        <w:ind w:firstLine="270"/>
        <w:rPr>
          <w:rFonts w:hint="eastAsia" w:ascii="仿宋" w:hAnsi="仿宋" w:eastAsia="仿宋" w:cs="仿宋"/>
          <w:color w:val="000000" w:themeColor="text1"/>
          <w:spacing w:val="15"/>
          <w:kern w:val="0"/>
          <w:sz w:val="24"/>
          <w14:textFill>
            <w14:solidFill>
              <w14:schemeClr w14:val="tx1"/>
            </w14:solidFill>
          </w14:textFill>
        </w:rPr>
      </w:pPr>
      <w:r>
        <w:rPr>
          <w:rFonts w:hint="eastAsia" w:ascii="仿宋" w:hAnsi="仿宋" w:eastAsia="仿宋" w:cs="仿宋"/>
          <w:color w:val="000000" w:themeColor="text1"/>
          <w:spacing w:val="15"/>
          <w:kern w:val="0"/>
          <w:sz w:val="24"/>
          <w14:textFill>
            <w14:solidFill>
              <w14:schemeClr w14:val="tx1"/>
            </w14:solidFill>
          </w14:textFill>
        </w:rPr>
        <w:t>备注：技术部分评分由专家独立打分，再取平均值。</w:t>
      </w:r>
    </w:p>
    <w:p w14:paraId="472BC5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CC7C"/>
    <w:multiLevelType w:val="singleLevel"/>
    <w:tmpl w:val="FFBECC7C"/>
    <w:lvl w:ilvl="0" w:tentative="0">
      <w:start w:val="1"/>
      <w:numFmt w:val="decimal"/>
      <w:suff w:val="nothing"/>
      <w:lvlText w:val="（%1）"/>
      <w:lvlJc w:val="left"/>
    </w:lvl>
  </w:abstractNum>
  <w:abstractNum w:abstractNumId="1">
    <w:nsid w:val="056D2D05"/>
    <w:multiLevelType w:val="singleLevel"/>
    <w:tmpl w:val="056D2D05"/>
    <w:lvl w:ilvl="0" w:tentative="0">
      <w:start w:val="1"/>
      <w:numFmt w:val="decimal"/>
      <w:suff w:val="nothing"/>
      <w:lvlText w:val="%1、"/>
      <w:lvlJc w:val="left"/>
      <w:pPr>
        <w:ind w:left="24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B63DF"/>
    <w:rsid w:val="6CDE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w:basedOn w:val="1"/>
    <w:qFormat/>
    <w:uiPriority w:val="0"/>
    <w:pPr>
      <w:spacing w:after="120"/>
    </w:pPr>
    <w:rPr>
      <w:rFonts w:ascii="Times New Roman" w:hAnsi="Times New Roman"/>
      <w:szCs w:val="24"/>
    </w:rPr>
  </w:style>
  <w:style w:type="paragraph" w:styleId="4">
    <w:name w:val="Body Text First Indent"/>
    <w:basedOn w:val="3"/>
    <w:qFormat/>
    <w:uiPriority w:val="0"/>
    <w:pPr>
      <w:ind w:firstLine="420" w:firstLineChars="100"/>
    </w:pPr>
    <w:rPr>
      <w:szCs w:val="20"/>
    </w:rPr>
  </w:style>
  <w:style w:type="paragraph" w:customStyle="1" w:styleId="7">
    <w:name w:val="正文文本首行缩进"/>
    <w:basedOn w:val="3"/>
    <w:qFormat/>
    <w:uiPriority w:val="0"/>
    <w:pPr>
      <w:ind w:firstLine="420" w:firstLineChars="1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1794</Words>
  <Characters>1883</Characters>
  <Lines>0</Lines>
  <Paragraphs>0</Paragraphs>
  <TotalTime>0</TotalTime>
  <ScaleCrop>false</ScaleCrop>
  <LinksUpToDate>false</LinksUpToDate>
  <CharactersWithSpaces>1887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2026-04-22T03:15:00Z</dcterms:created>
  <dc:creator>伍俊臣</dc:creator>
  <cp:lastModifiedBy>A伍俊臣</cp:lastModifiedBy>
  <dcterms:modified xsi:type="dcterms:W3CDTF">2026-04-22T03:24:31Z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B551A21E7DBC437E807DF57F0D7367C8_12</vt:lpwstr>
  </property>
</Properties>
</file>