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仿宋" w:hAnsi="仿宋" w:eastAsia="仿宋"/>
          <w:b/>
          <w:sz w:val="44"/>
          <w:szCs w:val="44"/>
        </w:rPr>
      </w:pPr>
      <w:r>
        <w:rPr>
          <w:rFonts w:hint="eastAsia" w:ascii="仿宋" w:hAnsi="仿宋" w:eastAsia="仿宋"/>
          <w:b/>
          <w:sz w:val="44"/>
          <w:szCs w:val="44"/>
        </w:rPr>
        <w:t>蓝山县开征城区生活垃圾处理费定价方案</w:t>
      </w:r>
    </w:p>
    <w:p>
      <w:pPr>
        <w:spacing w:line="580" w:lineRule="exact"/>
        <w:jc w:val="center"/>
        <w:rPr>
          <w:rFonts w:ascii="仿宋" w:hAnsi="仿宋" w:eastAsia="仿宋"/>
          <w:sz w:val="32"/>
          <w:szCs w:val="32"/>
        </w:rPr>
      </w:pPr>
    </w:p>
    <w:p>
      <w:pPr>
        <w:ind w:firstLine="600" w:firstLineChars="200"/>
        <w:rPr>
          <w:rFonts w:ascii="仿宋" w:hAnsi="仿宋" w:eastAsia="仿宋" w:cs="仿宋_GB2312"/>
          <w:sz w:val="30"/>
          <w:szCs w:val="30"/>
        </w:rPr>
      </w:pPr>
      <w:r>
        <w:rPr>
          <w:rFonts w:hint="eastAsia" w:ascii="仿宋" w:hAnsi="仿宋" w:eastAsia="仿宋" w:cs="仿宋_GB2312"/>
          <w:sz w:val="30"/>
          <w:szCs w:val="30"/>
        </w:rPr>
        <w:t>为规范我县城区生活垃圾处理收费行为，加强对生活垃圾处理费的征收、使用和管理，保障生活垃圾的收集、运输、处理工作的正常运转，根据</w:t>
      </w:r>
      <w:r>
        <w:rPr>
          <w:rFonts w:hint="eastAsia" w:ascii="仿宋" w:hAnsi="仿宋" w:eastAsia="仿宋" w:cs="仿宋_GB2312"/>
          <w:kern w:val="0"/>
          <w:sz w:val="30"/>
          <w:szCs w:val="30"/>
        </w:rPr>
        <w:t>蓝山县城市环境卫生和园林绿化服务中心（以下简称：县</w:t>
      </w:r>
      <w:r>
        <w:rPr>
          <w:rFonts w:hint="eastAsia" w:ascii="仿宋" w:hAnsi="仿宋" w:eastAsia="仿宋" w:cs="仿宋_GB2312"/>
          <w:sz w:val="30"/>
          <w:szCs w:val="30"/>
        </w:rPr>
        <w:t>环卫园林中心</w:t>
      </w:r>
      <w:r>
        <w:rPr>
          <w:rFonts w:hint="eastAsia" w:ascii="仿宋" w:hAnsi="仿宋" w:eastAsia="仿宋" w:cs="仿宋_GB2312"/>
          <w:kern w:val="0"/>
          <w:sz w:val="30"/>
          <w:szCs w:val="30"/>
        </w:rPr>
        <w:t>）的申请，我局价格成本调查队对</w:t>
      </w:r>
      <w:r>
        <w:rPr>
          <w:rFonts w:hint="eastAsia" w:ascii="仿宋" w:hAnsi="仿宋" w:eastAsia="仿宋" w:cs="仿宋_GB2312"/>
          <w:sz w:val="30"/>
          <w:szCs w:val="30"/>
        </w:rPr>
        <w:t>县环卫园林中心</w:t>
      </w:r>
      <w:r>
        <w:rPr>
          <w:rFonts w:hint="eastAsia" w:ascii="仿宋" w:hAnsi="仿宋" w:eastAsia="仿宋" w:cs="仿宋_GB2312"/>
          <w:kern w:val="0"/>
          <w:sz w:val="30"/>
          <w:szCs w:val="30"/>
        </w:rPr>
        <w:t>2017年至2019年的经营成本进行了监审。经审定，县</w:t>
      </w:r>
      <w:r>
        <w:rPr>
          <w:rFonts w:hint="eastAsia" w:ascii="仿宋" w:hAnsi="仿宋" w:eastAsia="仿宋" w:cs="仿宋_GB2312"/>
          <w:sz w:val="30"/>
          <w:szCs w:val="30"/>
        </w:rPr>
        <w:t>环卫园林中心</w:t>
      </w:r>
      <w:r>
        <w:rPr>
          <w:rFonts w:hint="eastAsia" w:ascii="仿宋" w:hAnsi="仿宋" w:eastAsia="仿宋" w:cs="仿宋_GB2312"/>
          <w:kern w:val="0"/>
          <w:sz w:val="30"/>
          <w:szCs w:val="30"/>
        </w:rPr>
        <w:t>对生活垃圾处理费的申请符合定调价相关规定。</w:t>
      </w:r>
      <w:r>
        <w:rPr>
          <w:rFonts w:hint="eastAsia" w:ascii="仿宋" w:hAnsi="仿宋" w:eastAsia="仿宋" w:cs="仿宋_GB2312"/>
          <w:sz w:val="30"/>
          <w:szCs w:val="30"/>
        </w:rPr>
        <w:t>按照国家积极稳妥推进资源环境价格改革的总体要求，我局对县环卫园林中心的生产经营状况和未来发展目标进行了认真调查研究和分析测算，形成了蓝山县城区生活垃圾处理价格的初步方案。根据</w:t>
      </w:r>
      <w:r>
        <w:rPr>
          <w:rFonts w:hint="eastAsia" w:ascii="仿宋" w:hAnsi="仿宋" w:eastAsia="仿宋"/>
          <w:sz w:val="30"/>
          <w:szCs w:val="30"/>
        </w:rPr>
        <w:t>《中华人民共和国价格法》、《湖南省政府制定价格听证办法实施细则》（湘发改价调[2019]847号）、《湖南省城镇生活垃圾处理收费管理办法》（湘发改价服[2017]474号）</w:t>
      </w:r>
      <w:r>
        <w:rPr>
          <w:rFonts w:hint="eastAsia" w:ascii="仿宋" w:hAnsi="仿宋" w:eastAsia="仿宋" w:cs="仿宋_GB2312"/>
          <w:sz w:val="30"/>
          <w:szCs w:val="30"/>
        </w:rPr>
        <w:t>的有关规定，召开蓝山县开征城区生活垃圾处理费价格听证会，现将方案提交听证。</w:t>
      </w:r>
    </w:p>
    <w:p>
      <w:pPr>
        <w:spacing w:line="580" w:lineRule="exact"/>
        <w:ind w:firstLine="602" w:firstLineChars="200"/>
        <w:rPr>
          <w:rFonts w:ascii="仿宋" w:hAnsi="仿宋" w:eastAsia="仿宋" w:cs="仿宋_GB2312"/>
          <w:b/>
          <w:sz w:val="30"/>
          <w:szCs w:val="30"/>
        </w:rPr>
      </w:pPr>
      <w:r>
        <w:rPr>
          <w:rFonts w:hint="eastAsia" w:ascii="仿宋" w:hAnsi="仿宋" w:eastAsia="仿宋" w:cs="仿宋_GB2312"/>
          <w:b/>
          <w:sz w:val="30"/>
          <w:szCs w:val="30"/>
        </w:rPr>
        <w:t>一、环卫园林中心的基本情况</w:t>
      </w:r>
    </w:p>
    <w:p>
      <w:pPr>
        <w:ind w:firstLine="600" w:firstLineChars="200"/>
        <w:rPr>
          <w:rFonts w:ascii="仿宋" w:hAnsi="仿宋" w:eastAsia="仿宋"/>
          <w:sz w:val="30"/>
          <w:szCs w:val="30"/>
        </w:rPr>
      </w:pPr>
      <w:r>
        <w:rPr>
          <w:rFonts w:hint="eastAsia" w:ascii="仿宋" w:hAnsi="仿宋" w:eastAsia="仿宋"/>
          <w:sz w:val="30"/>
          <w:szCs w:val="30"/>
        </w:rPr>
        <w:t>蓝山县</w:t>
      </w:r>
      <w:r>
        <w:rPr>
          <w:rFonts w:hint="eastAsia" w:ascii="仿宋" w:hAnsi="仿宋" w:eastAsia="仿宋" w:cs="仿宋_GB2312"/>
          <w:sz w:val="30"/>
          <w:szCs w:val="30"/>
        </w:rPr>
        <w:t>环卫园林中心</w:t>
      </w:r>
      <w:r>
        <w:rPr>
          <w:rFonts w:hint="eastAsia" w:ascii="仿宋" w:hAnsi="仿宋" w:eastAsia="仿宋"/>
          <w:sz w:val="30"/>
          <w:szCs w:val="30"/>
        </w:rPr>
        <w:t>是副科级的1类公益事业单位。现有在职干部职工55人，聘请合同工36人，主要履行县城街道、道路、广场、公共区清扫保洁、垃圾收运、垃圾中转、和公厕的管理，</w:t>
      </w:r>
      <w:r>
        <w:rPr>
          <w:rFonts w:ascii="仿宋" w:hAnsi="仿宋" w:eastAsia="仿宋"/>
          <w:sz w:val="30"/>
          <w:szCs w:val="30"/>
        </w:rPr>
        <w:t>并将蓝山县</w:t>
      </w:r>
      <w:r>
        <w:rPr>
          <w:rFonts w:hint="eastAsia" w:ascii="仿宋" w:hAnsi="仿宋" w:eastAsia="仿宋"/>
          <w:sz w:val="30"/>
          <w:szCs w:val="30"/>
        </w:rPr>
        <w:t>城区</w:t>
      </w:r>
      <w:r>
        <w:rPr>
          <w:rFonts w:ascii="仿宋" w:hAnsi="仿宋" w:eastAsia="仿宋"/>
          <w:sz w:val="30"/>
          <w:szCs w:val="30"/>
        </w:rPr>
        <w:t>所产生的生活垃圾运转到</w:t>
      </w:r>
      <w:r>
        <w:rPr>
          <w:rFonts w:hint="eastAsia" w:ascii="仿宋" w:hAnsi="仿宋" w:eastAsia="仿宋"/>
          <w:sz w:val="30"/>
          <w:szCs w:val="30"/>
        </w:rPr>
        <w:t>七甲垃圾处理场</w:t>
      </w:r>
      <w:r>
        <w:rPr>
          <w:rFonts w:ascii="仿宋" w:hAnsi="仿宋" w:eastAsia="仿宋"/>
          <w:sz w:val="30"/>
          <w:szCs w:val="30"/>
        </w:rPr>
        <w:t>进行</w:t>
      </w:r>
      <w:r>
        <w:rPr>
          <w:rFonts w:hint="eastAsia" w:ascii="仿宋" w:hAnsi="仿宋" w:eastAsia="仿宋"/>
          <w:sz w:val="30"/>
          <w:szCs w:val="30"/>
        </w:rPr>
        <w:t>实行无害化集中处理。蓝山县</w:t>
      </w:r>
      <w:r>
        <w:rPr>
          <w:rFonts w:hint="eastAsia" w:ascii="仿宋" w:hAnsi="仿宋" w:eastAsia="仿宋" w:cs="仿宋_GB2312"/>
          <w:sz w:val="30"/>
          <w:szCs w:val="30"/>
        </w:rPr>
        <w:t>环卫园林中心</w:t>
      </w:r>
      <w:r>
        <w:rPr>
          <w:rFonts w:hint="eastAsia" w:ascii="仿宋" w:hAnsi="仿宋" w:eastAsia="仿宋"/>
          <w:sz w:val="30"/>
          <w:szCs w:val="30"/>
        </w:rPr>
        <w:t>服务范围约为145平方公里，街道清扫面积125万平方米。</w:t>
      </w:r>
    </w:p>
    <w:p>
      <w:pPr>
        <w:numPr>
          <w:ilvl w:val="0"/>
          <w:numId w:val="1"/>
        </w:numPr>
        <w:spacing w:line="580" w:lineRule="exact"/>
        <w:ind w:firstLine="602" w:firstLineChars="200"/>
        <w:rPr>
          <w:rFonts w:ascii="仿宋" w:hAnsi="仿宋" w:eastAsia="仿宋" w:cs="仿宋_GB2312"/>
          <w:b/>
          <w:sz w:val="30"/>
          <w:szCs w:val="30"/>
        </w:rPr>
      </w:pPr>
      <w:r>
        <w:rPr>
          <w:rFonts w:hint="eastAsia" w:ascii="仿宋" w:hAnsi="仿宋" w:eastAsia="仿宋" w:cs="仿宋_GB2312"/>
          <w:b/>
          <w:sz w:val="30"/>
          <w:szCs w:val="30"/>
        </w:rPr>
        <w:t>本次定价的法规政策依据</w:t>
      </w:r>
    </w:p>
    <w:p>
      <w:pPr>
        <w:spacing w:line="580" w:lineRule="exact"/>
        <w:ind w:left="602"/>
        <w:rPr>
          <w:rFonts w:ascii="仿宋" w:hAnsi="仿宋" w:eastAsia="仿宋"/>
          <w:sz w:val="30"/>
          <w:szCs w:val="30"/>
        </w:rPr>
      </w:pPr>
      <w:r>
        <w:rPr>
          <w:rFonts w:hint="eastAsia" w:ascii="仿宋" w:hAnsi="仿宋" w:eastAsia="仿宋" w:cs="仿宋_GB2312"/>
          <w:sz w:val="30"/>
          <w:szCs w:val="30"/>
        </w:rPr>
        <w:t>（一）</w:t>
      </w:r>
      <w:r>
        <w:rPr>
          <w:rFonts w:hint="eastAsia" w:ascii="仿宋" w:hAnsi="仿宋" w:eastAsia="仿宋"/>
          <w:sz w:val="30"/>
          <w:szCs w:val="30"/>
        </w:rPr>
        <w:t>根据《国务院批转住建部等部门关于进一步加强城市生活垃</w:t>
      </w:r>
    </w:p>
    <w:p>
      <w:pPr>
        <w:spacing w:line="580" w:lineRule="exact"/>
        <w:rPr>
          <w:rFonts w:ascii="仿宋" w:hAnsi="仿宋" w:eastAsia="仿宋" w:cs="仿宋_GB2312"/>
          <w:sz w:val="30"/>
          <w:szCs w:val="30"/>
        </w:rPr>
      </w:pPr>
      <w:r>
        <w:rPr>
          <w:rFonts w:hint="eastAsia" w:ascii="仿宋" w:hAnsi="仿宋" w:eastAsia="仿宋"/>
          <w:sz w:val="30"/>
          <w:szCs w:val="30"/>
        </w:rPr>
        <w:t>圾处理工作意见的通知》（国发〔2011〕9号）第十九条：按照“谁产生、谁付费”的原则，推行城市生活垃圾处理收费制度及省市相关规定，所有产生生活垃圾的企事业单位、个体经营者、社会团体、城市居民和城市暂住人口等，均应按规定缴纳城市生活垃圾处理费。</w:t>
      </w:r>
    </w:p>
    <w:p>
      <w:pPr>
        <w:pStyle w:val="5"/>
        <w:spacing w:before="0" w:beforeAutospacing="0" w:after="0" w:afterAutospacing="0" w:line="30" w:lineRule="atLeast"/>
        <w:ind w:firstLine="600" w:firstLineChars="200"/>
        <w:jc w:val="both"/>
        <w:rPr>
          <w:rFonts w:ascii="仿宋" w:hAnsi="仿宋" w:eastAsia="仿宋" w:cs="Times New Roman"/>
          <w:kern w:val="2"/>
          <w:sz w:val="30"/>
          <w:szCs w:val="30"/>
        </w:rPr>
      </w:pPr>
      <w:r>
        <w:rPr>
          <w:rFonts w:hint="eastAsia" w:ascii="仿宋" w:hAnsi="仿宋" w:eastAsia="仿宋" w:cs="Times New Roman"/>
          <w:kern w:val="2"/>
          <w:sz w:val="30"/>
          <w:szCs w:val="30"/>
        </w:rPr>
        <w:t>（二）《关于加快城市供水价格改革有关问题的通知》（湘发改价服〔2014〕1044号）文件规定：加大污水处理、垃圾处理收费力度。其他设市城市和县区垃圾处理费标准不低于0.3元/吨。</w:t>
      </w:r>
    </w:p>
    <w:p>
      <w:pPr>
        <w:pStyle w:val="5"/>
        <w:shd w:val="clear" w:color="auto" w:fill="FFFFFF"/>
        <w:spacing w:before="0" w:beforeAutospacing="0" w:after="0" w:afterAutospacing="0" w:line="375" w:lineRule="atLeast"/>
        <w:ind w:firstLine="600" w:firstLineChars="200"/>
        <w:rPr>
          <w:rFonts w:ascii="仿宋" w:hAnsi="仿宋" w:eastAsia="仿宋" w:cs="Times New Roman"/>
          <w:kern w:val="2"/>
          <w:sz w:val="30"/>
          <w:szCs w:val="30"/>
        </w:rPr>
      </w:pPr>
      <w:r>
        <w:rPr>
          <w:rFonts w:hint="eastAsia" w:ascii="仿宋" w:hAnsi="仿宋" w:eastAsia="仿宋" w:cs="Times New Roman"/>
          <w:kern w:val="2"/>
          <w:sz w:val="30"/>
          <w:szCs w:val="30"/>
        </w:rPr>
        <w:t>（三）《湖南省城镇生活垃圾处理收费管理办法》（湘发改价服〔2017〕474号）文件规定：城镇生活垃圾处理费的征收方式由城镇人民政府结合当地实际确定。对城镇居民（含暂住人口）、机关、事业单位的垃圾处理费与城镇供水价格合并计收；对生产经营单位、商业网点可以按营业收入或营业面积计收；营运交通工具（包括机动车、列车、飞机等）可以按核定的载重吨位或座位计收。</w:t>
      </w:r>
    </w:p>
    <w:p>
      <w:pPr>
        <w:pStyle w:val="5"/>
        <w:numPr>
          <w:ilvl w:val="0"/>
          <w:numId w:val="1"/>
        </w:numPr>
        <w:shd w:val="clear" w:color="auto" w:fill="FFFFFF"/>
        <w:spacing w:before="0" w:beforeAutospacing="0" w:after="0" w:afterAutospacing="0" w:line="375" w:lineRule="atLeast"/>
        <w:ind w:firstLine="602" w:firstLineChars="200"/>
        <w:rPr>
          <w:rFonts w:ascii="仿宋" w:hAnsi="仿宋" w:eastAsia="仿宋" w:cs="Times New Roman"/>
          <w:b/>
          <w:kern w:val="2"/>
          <w:sz w:val="30"/>
          <w:szCs w:val="30"/>
        </w:rPr>
      </w:pPr>
      <w:r>
        <w:rPr>
          <w:rFonts w:hint="eastAsia" w:ascii="仿宋" w:hAnsi="仿宋" w:eastAsia="仿宋" w:cs="Times New Roman"/>
          <w:b/>
          <w:kern w:val="2"/>
          <w:sz w:val="30"/>
          <w:szCs w:val="30"/>
        </w:rPr>
        <w:t>定价内容与范围</w:t>
      </w:r>
    </w:p>
    <w:p>
      <w:pPr>
        <w:pStyle w:val="5"/>
        <w:shd w:val="clear" w:color="auto" w:fill="FFFFFF"/>
        <w:spacing w:before="0" w:beforeAutospacing="0" w:after="0" w:afterAutospacing="0" w:line="375" w:lineRule="atLeast"/>
        <w:ind w:firstLine="594" w:firstLineChars="198"/>
        <w:rPr>
          <w:rFonts w:ascii="仿宋" w:hAnsi="仿宋" w:eastAsia="仿宋" w:cs="Times New Roman"/>
          <w:b/>
          <w:kern w:val="2"/>
          <w:sz w:val="30"/>
          <w:szCs w:val="30"/>
        </w:rPr>
      </w:pPr>
      <w:r>
        <w:rPr>
          <w:rFonts w:hint="eastAsia" w:ascii="仿宋" w:hAnsi="仿宋" w:eastAsia="仿宋" w:cs="Times New Roman"/>
          <w:kern w:val="2"/>
          <w:sz w:val="30"/>
          <w:szCs w:val="30"/>
        </w:rPr>
        <w:t>（一）城镇生活垃圾是指城镇人口在日常生活中产生或为城镇日常生活提供服务的活动产生的固体废物，法律、法规、规章规定为城镇生活垃圾的固体废物（包括建筑垃圾和工程渣土，不包括工业固体废物和危险废物）。</w:t>
      </w:r>
    </w:p>
    <w:p>
      <w:pPr>
        <w:pStyle w:val="5"/>
        <w:shd w:val="clear" w:color="auto" w:fill="FFFFFF"/>
        <w:spacing w:before="0" w:beforeAutospacing="0" w:after="0" w:afterAutospacing="0" w:line="375" w:lineRule="atLeast"/>
        <w:ind w:firstLine="594" w:firstLineChars="198"/>
        <w:rPr>
          <w:rFonts w:ascii="仿宋" w:hAnsi="仿宋" w:eastAsia="仿宋" w:cs="Times New Roman"/>
          <w:b/>
          <w:kern w:val="2"/>
          <w:sz w:val="30"/>
          <w:szCs w:val="30"/>
        </w:rPr>
      </w:pPr>
      <w:r>
        <w:rPr>
          <w:rFonts w:hint="eastAsia" w:ascii="仿宋" w:hAnsi="仿宋" w:eastAsia="仿宋" w:cs="Times New Roman"/>
          <w:kern w:val="2"/>
          <w:sz w:val="30"/>
          <w:szCs w:val="30"/>
        </w:rPr>
        <w:t>（二）城镇生活垃圾处理费是指将零散的生活垃圾（即城镇规划建设的垃圾站，包括物业小区内垃圾站以及环卫主管部门提供的临时垃圾斗的垃圾）收集并运输到指定的垃圾集中地，实行无害化集中处理过程所需的费用（不包括清扫保洁费用）。其成本主要包括运输工具费、材料费、动力费、维修费、设施设备折旧费、人工工资及福利费、代收手续费等。</w:t>
      </w:r>
    </w:p>
    <w:p>
      <w:pPr>
        <w:pStyle w:val="5"/>
        <w:shd w:val="clear" w:color="auto" w:fill="FFFFFF"/>
        <w:spacing w:before="0" w:beforeAutospacing="0" w:after="0" w:afterAutospacing="0" w:line="375" w:lineRule="atLeast"/>
        <w:ind w:firstLine="594" w:firstLineChars="198"/>
        <w:rPr>
          <w:rFonts w:ascii="仿宋" w:hAnsi="仿宋" w:eastAsia="仿宋" w:cs="Times New Roman"/>
          <w:b/>
          <w:kern w:val="2"/>
          <w:sz w:val="30"/>
          <w:szCs w:val="30"/>
        </w:rPr>
      </w:pPr>
      <w:r>
        <w:rPr>
          <w:rFonts w:hint="eastAsia" w:ascii="仿宋" w:hAnsi="仿宋" w:eastAsia="仿宋" w:cs="Times New Roman"/>
          <w:kern w:val="2"/>
          <w:sz w:val="30"/>
          <w:szCs w:val="30"/>
        </w:rPr>
        <w:t>（三）收费范围：城镇生活垃圾处理收费，坚持谁污染谁付费的原则。在本省城镇范围内，所有产生生活垃圾的机关、企事业单位、社会团体、个体经营者、城市居民和城市暂住人口以及各类营运交通工具，均应按规定缴纳城镇生活垃圾处理费。</w:t>
      </w:r>
    </w:p>
    <w:p>
      <w:pPr>
        <w:pStyle w:val="5"/>
        <w:shd w:val="clear" w:color="auto" w:fill="FFFFFF"/>
        <w:spacing w:before="0" w:beforeAutospacing="0" w:after="0" w:afterAutospacing="0" w:line="375" w:lineRule="atLeast"/>
        <w:ind w:firstLine="744" w:firstLineChars="248"/>
        <w:rPr>
          <w:rFonts w:ascii="仿宋" w:hAnsi="仿宋" w:eastAsia="仿宋" w:cs="Times New Roman"/>
          <w:b/>
          <w:kern w:val="2"/>
          <w:sz w:val="30"/>
          <w:szCs w:val="30"/>
        </w:rPr>
      </w:pPr>
      <w:r>
        <w:rPr>
          <w:rFonts w:hint="eastAsia" w:ascii="仿宋" w:hAnsi="仿宋" w:eastAsia="仿宋" w:cs="Times New Roman"/>
          <w:kern w:val="2"/>
          <w:sz w:val="30"/>
          <w:szCs w:val="30"/>
        </w:rPr>
        <w:t>(四)征收标准与方式</w:t>
      </w:r>
    </w:p>
    <w:tbl>
      <w:tblPr>
        <w:tblStyle w:val="6"/>
        <w:tblW w:w="9039" w:type="dxa"/>
        <w:tblInd w:w="94" w:type="dxa"/>
        <w:tblLayout w:type="autofit"/>
        <w:tblCellMar>
          <w:top w:w="0" w:type="dxa"/>
          <w:left w:w="108" w:type="dxa"/>
          <w:bottom w:w="0" w:type="dxa"/>
          <w:right w:w="108" w:type="dxa"/>
        </w:tblCellMar>
      </w:tblPr>
      <w:tblGrid>
        <w:gridCol w:w="906"/>
        <w:gridCol w:w="2467"/>
        <w:gridCol w:w="1503"/>
        <w:gridCol w:w="1600"/>
        <w:gridCol w:w="2563"/>
      </w:tblGrid>
      <w:tr>
        <w:tblPrEx>
          <w:tblCellMar>
            <w:top w:w="0" w:type="dxa"/>
            <w:left w:w="108" w:type="dxa"/>
            <w:bottom w:w="0" w:type="dxa"/>
            <w:right w:w="108" w:type="dxa"/>
          </w:tblCellMar>
        </w:tblPrEx>
        <w:trPr>
          <w:trHeight w:val="1281" w:hRule="atLeast"/>
        </w:trPr>
        <w:tc>
          <w:tcPr>
            <w:tcW w:w="9039" w:type="dxa"/>
            <w:gridSpan w:val="5"/>
            <w:tcBorders>
              <w:top w:val="nil"/>
              <w:left w:val="nil"/>
              <w:bottom w:val="nil"/>
              <w:right w:val="nil"/>
            </w:tcBorders>
            <w:shd w:val="clear" w:color="auto" w:fill="auto"/>
            <w:noWrap/>
            <w:vAlign w:val="center"/>
          </w:tcPr>
          <w:p>
            <w:pPr>
              <w:widowControl/>
              <w:jc w:val="center"/>
              <w:rPr>
                <w:rFonts w:ascii="仿宋" w:hAnsi="仿宋" w:eastAsia="仿宋" w:cs="宋体"/>
                <w:bCs/>
                <w:kern w:val="0"/>
                <w:sz w:val="36"/>
                <w:szCs w:val="44"/>
              </w:rPr>
            </w:pPr>
            <w:r>
              <w:rPr>
                <w:rFonts w:hint="eastAsia" w:ascii="仿宋" w:hAnsi="仿宋" w:eastAsia="仿宋" w:cs="宋体"/>
                <w:bCs/>
                <w:kern w:val="0"/>
                <w:sz w:val="32"/>
                <w:szCs w:val="44"/>
              </w:rPr>
              <w:t>1.蓝山县城区生活垃圾处理费收费标准对比表</w:t>
            </w:r>
          </w:p>
        </w:tc>
      </w:tr>
      <w:tr>
        <w:tblPrEx>
          <w:tblCellMar>
            <w:top w:w="0" w:type="dxa"/>
            <w:left w:w="108" w:type="dxa"/>
            <w:bottom w:w="0" w:type="dxa"/>
            <w:right w:w="108" w:type="dxa"/>
          </w:tblCellMar>
        </w:tblPrEx>
        <w:trPr>
          <w:trHeight w:val="557" w:hRule="atLeast"/>
        </w:trPr>
        <w:tc>
          <w:tcPr>
            <w:tcW w:w="90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序号</w:t>
            </w:r>
          </w:p>
        </w:tc>
        <w:tc>
          <w:tcPr>
            <w:tcW w:w="2467"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征收范围</w:t>
            </w:r>
          </w:p>
        </w:tc>
        <w:tc>
          <w:tcPr>
            <w:tcW w:w="1503"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拟定收费标准</w:t>
            </w:r>
          </w:p>
        </w:tc>
        <w:tc>
          <w:tcPr>
            <w:tcW w:w="16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原收费标准（2012年）</w:t>
            </w:r>
          </w:p>
        </w:tc>
        <w:tc>
          <w:tcPr>
            <w:tcW w:w="2563"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备注</w:t>
            </w:r>
          </w:p>
        </w:tc>
      </w:tr>
      <w:tr>
        <w:tblPrEx>
          <w:tblCellMar>
            <w:top w:w="0" w:type="dxa"/>
            <w:left w:w="108" w:type="dxa"/>
            <w:bottom w:w="0" w:type="dxa"/>
            <w:right w:w="108" w:type="dxa"/>
          </w:tblCellMar>
        </w:tblPrEx>
        <w:trPr>
          <w:trHeight w:val="1100" w:hRule="atLeast"/>
        </w:trPr>
        <w:tc>
          <w:tcPr>
            <w:tcW w:w="906"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1、城区居民、暂住人口</w:t>
            </w: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城市规划区内的行政事业单位、机关团体、部队(武警)、学校、外地驻蓝单位的人员</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3元/人/月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30元人/年</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含单位的在册人员、临时工、合同工、暂住人员、居民住户</w:t>
            </w:r>
          </w:p>
        </w:tc>
      </w:tr>
      <w:tr>
        <w:tblPrEx>
          <w:tblCellMar>
            <w:top w:w="0" w:type="dxa"/>
            <w:left w:w="108" w:type="dxa"/>
            <w:bottom w:w="0" w:type="dxa"/>
            <w:right w:w="108" w:type="dxa"/>
          </w:tblCellMar>
        </w:tblPrEx>
        <w:trPr>
          <w:trHeight w:val="1431" w:hRule="atLeast"/>
        </w:trPr>
        <w:tc>
          <w:tcPr>
            <w:tcW w:w="906" w:type="dxa"/>
            <w:vMerge w:val="continue"/>
            <w:tcBorders>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居民住户(含暂住人口)</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0.3元/吨/户</w:t>
            </w:r>
            <w:r>
              <w:rPr>
                <w:rFonts w:hint="eastAsia" w:ascii="宋体" w:hAnsi="宋体" w:cs="宋体"/>
                <w:kern w:val="0"/>
                <w:sz w:val="22"/>
                <w:szCs w:val="22"/>
              </w:rPr>
              <w:br w:type="textWrapping"/>
            </w:r>
            <w:r>
              <w:rPr>
                <w:rFonts w:hint="eastAsia" w:ascii="宋体" w:hAnsi="宋体" w:cs="宋体"/>
                <w:kern w:val="0"/>
                <w:sz w:val="22"/>
                <w:szCs w:val="22"/>
              </w:rPr>
              <w:t>随水费计征</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20元/人/户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总表用户按0.3元/吨.月收取,委托县自来水公司代收。仍使用井水的居民按3元/人.月由环卫园林中心收取。</w:t>
            </w:r>
          </w:p>
        </w:tc>
      </w:tr>
      <w:tr>
        <w:tblPrEx>
          <w:tblCellMar>
            <w:top w:w="0" w:type="dxa"/>
            <w:left w:w="108" w:type="dxa"/>
            <w:bottom w:w="0" w:type="dxa"/>
            <w:right w:w="108" w:type="dxa"/>
          </w:tblCellMar>
        </w:tblPrEx>
        <w:trPr>
          <w:trHeight w:val="648" w:hRule="atLeast"/>
        </w:trPr>
        <w:tc>
          <w:tcPr>
            <w:tcW w:w="906"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r>
              <w:rPr>
                <w:rFonts w:hint="eastAsia" w:ascii="宋体" w:hAnsi="宋体" w:cs="宋体"/>
                <w:kern w:val="0"/>
                <w:sz w:val="22"/>
                <w:szCs w:val="22"/>
              </w:rPr>
              <w:t>2、工程基建　</w:t>
            </w: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基建工程建筑材料（含专修垃圾）</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4‰</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按建安工程造价计征</w:t>
            </w:r>
          </w:p>
        </w:tc>
      </w:tr>
      <w:tr>
        <w:tblPrEx>
          <w:tblCellMar>
            <w:top w:w="0" w:type="dxa"/>
            <w:left w:w="108" w:type="dxa"/>
            <w:bottom w:w="0" w:type="dxa"/>
            <w:right w:w="108" w:type="dxa"/>
          </w:tblCellMar>
        </w:tblPrEx>
        <w:trPr>
          <w:trHeight w:val="618" w:hRule="atLeast"/>
        </w:trPr>
        <w:tc>
          <w:tcPr>
            <w:tcW w:w="906"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3、车辆</w:t>
            </w: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大客车21座以上、渣土车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360元/辆/年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844"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客运车21座以下中巴车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200元/辆/年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货运车</w:t>
            </w:r>
          </w:p>
        </w:tc>
        <w:tc>
          <w:tcPr>
            <w:tcW w:w="150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240元/辆/年</w:t>
            </w:r>
          </w:p>
        </w:tc>
        <w:tc>
          <w:tcPr>
            <w:tcW w:w="16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轿车、出租车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四轮车、拖拉机</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80元/辆/年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三轮车摩托车、手扶拖拉机</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从事田间作业和非营运性运输的三轮车和农用车免收。　</w:t>
            </w: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其他车辆</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60元/辆/年</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859" w:hRule="atLeast"/>
        </w:trPr>
        <w:tc>
          <w:tcPr>
            <w:tcW w:w="90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4、临时性摊点</w:t>
            </w: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广告散发、张贴</w:t>
            </w:r>
          </w:p>
        </w:tc>
        <w:tc>
          <w:tcPr>
            <w:tcW w:w="150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100-500元/次</w:t>
            </w:r>
          </w:p>
        </w:tc>
        <w:tc>
          <w:tcPr>
            <w:tcW w:w="16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由环卫部门视广告散发时间的长短和散发量确定具体收费标准</w:t>
            </w:r>
          </w:p>
        </w:tc>
      </w:tr>
      <w:tr>
        <w:tblPrEx>
          <w:tblCellMar>
            <w:top w:w="0" w:type="dxa"/>
            <w:left w:w="108" w:type="dxa"/>
            <w:bottom w:w="0" w:type="dxa"/>
            <w:right w:w="108" w:type="dxa"/>
          </w:tblCellMar>
        </w:tblPrEx>
        <w:trPr>
          <w:trHeight w:val="557" w:hRule="atLeast"/>
        </w:trPr>
        <w:tc>
          <w:tcPr>
            <w:tcW w:w="9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临时性设摊展销</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50--100元/摊位/天/次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由环卫部门视面积和参与人数量确定具体收费标准</w:t>
            </w:r>
          </w:p>
        </w:tc>
      </w:tr>
      <w:tr>
        <w:tblPrEx>
          <w:tblCellMar>
            <w:top w:w="0" w:type="dxa"/>
            <w:left w:w="108" w:type="dxa"/>
            <w:bottom w:w="0" w:type="dxa"/>
            <w:right w:w="108" w:type="dxa"/>
          </w:tblCellMar>
        </w:tblPrEx>
        <w:trPr>
          <w:trHeight w:val="557" w:hRule="atLeast"/>
        </w:trPr>
        <w:tc>
          <w:tcPr>
            <w:tcW w:w="9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临时性搭台演出</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400--1000元/摊位/天/次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r>
      <w:tr>
        <w:tblPrEx>
          <w:tblCellMar>
            <w:top w:w="0" w:type="dxa"/>
            <w:left w:w="108" w:type="dxa"/>
            <w:bottom w:w="0" w:type="dxa"/>
            <w:right w:w="108" w:type="dxa"/>
          </w:tblCellMar>
        </w:tblPrEx>
        <w:trPr>
          <w:trHeight w:val="663" w:hRule="atLeast"/>
        </w:trPr>
        <w:tc>
          <w:tcPr>
            <w:tcW w:w="906" w:type="dxa"/>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5、经营</w:t>
            </w:r>
            <w:r>
              <w:rPr>
                <w:rFonts w:hint="eastAsia" w:ascii="宋体" w:hAnsi="宋体" w:cs="宋体"/>
                <w:kern w:val="0"/>
                <w:sz w:val="22"/>
                <w:szCs w:val="22"/>
              </w:rPr>
              <w:br w:type="textWrapping"/>
            </w:r>
            <w:r>
              <w:rPr>
                <w:rFonts w:hint="eastAsia" w:ascii="宋体" w:hAnsi="宋体" w:cs="宋体"/>
                <w:kern w:val="0"/>
                <w:sz w:val="22"/>
                <w:szCs w:val="22"/>
              </w:rPr>
              <w:t>性场所</w:t>
            </w: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纯住宿普通宾馆、招待所、旅社、医院</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3元/床/月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1401"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临街诊所、KTV、酒吧、电影院、茶楼、健身房、足浴保健、美容美发、游乐场游戏室、网吧及其它娱乐场所</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低于40㎡按40㎡计征，超过40㎡的按实际㎡计征</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洗车场</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100元/月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餐饮业</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2元㎡/月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各类加工作坊、工厂、公司</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0.3元/㎡/月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副食品、玩具、毛织、制衣、箱包等加工行业</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早餐店</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60--100元/月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季节性早市、夜市</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60--100元/月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706"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流动盒饭摊</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80-100元/月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废品收购店（点）</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1元/㎡/月</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50--70元/月</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低于40㎡按40㎡计征，超过40㎡的按实际㎡计征</w:t>
            </w:r>
          </w:p>
        </w:tc>
      </w:tr>
      <w:tr>
        <w:tblPrEx>
          <w:tblCellMar>
            <w:top w:w="0" w:type="dxa"/>
            <w:left w:w="108" w:type="dxa"/>
            <w:bottom w:w="0" w:type="dxa"/>
            <w:right w:w="108" w:type="dxa"/>
          </w:tblCellMar>
        </w:tblPrEx>
        <w:trPr>
          <w:trHeight w:val="557"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综合、农副产品、水果市场</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1.5元/月.㎡</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1元/㎡/月</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814"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超市、家具店、工业品市场、建筑装饰材料市场、车站、停车场</w:t>
            </w:r>
          </w:p>
        </w:tc>
        <w:tc>
          <w:tcPr>
            <w:tcW w:w="15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0.4元/月.㎡</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814"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机动车辆修配厂</w:t>
            </w:r>
          </w:p>
        </w:tc>
        <w:tc>
          <w:tcPr>
            <w:tcW w:w="150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0.5元/月.㎡</w:t>
            </w:r>
          </w:p>
        </w:tc>
        <w:tc>
          <w:tcPr>
            <w:tcW w:w="1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814" w:hRule="atLeast"/>
        </w:trPr>
        <w:tc>
          <w:tcPr>
            <w:tcW w:w="906" w:type="dxa"/>
            <w:vMerge w:val="continue"/>
            <w:tcBorders>
              <w:left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各类培训机构</w:t>
            </w:r>
          </w:p>
        </w:tc>
        <w:tc>
          <w:tcPr>
            <w:tcW w:w="1503"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0.4元/月.㎡</w:t>
            </w:r>
          </w:p>
        </w:tc>
        <w:tc>
          <w:tcPr>
            <w:tcW w:w="16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814" w:hRule="atLeast"/>
        </w:trPr>
        <w:tc>
          <w:tcPr>
            <w:tcW w:w="906"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其他经营性场所</w:t>
            </w:r>
          </w:p>
        </w:tc>
        <w:tc>
          <w:tcPr>
            <w:tcW w:w="15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30元/月·5米</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超过5米的按每米每月3元加收，不足5米按5米计算。</w:t>
            </w:r>
          </w:p>
        </w:tc>
      </w:tr>
      <w:tr>
        <w:tblPrEx>
          <w:tblCellMar>
            <w:top w:w="0" w:type="dxa"/>
            <w:left w:w="108" w:type="dxa"/>
            <w:bottom w:w="0" w:type="dxa"/>
            <w:right w:w="108" w:type="dxa"/>
          </w:tblCellMar>
        </w:tblPrEx>
        <w:trPr>
          <w:trHeight w:val="814" w:hRule="atLeast"/>
        </w:trPr>
        <w:tc>
          <w:tcPr>
            <w:tcW w:w="906"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c>
          <w:tcPr>
            <w:tcW w:w="24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其他市场</w:t>
            </w:r>
          </w:p>
        </w:tc>
        <w:tc>
          <w:tcPr>
            <w:tcW w:w="1503"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0.6元/月·㎡</w:t>
            </w:r>
          </w:p>
        </w:tc>
        <w:tc>
          <w:tcPr>
            <w:tcW w:w="16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一样</w:t>
            </w:r>
          </w:p>
        </w:tc>
        <w:tc>
          <w:tcPr>
            <w:tcW w:w="256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r>
        <w:tblPrEx>
          <w:tblCellMar>
            <w:top w:w="0" w:type="dxa"/>
            <w:left w:w="108" w:type="dxa"/>
            <w:bottom w:w="0" w:type="dxa"/>
            <w:right w:w="108" w:type="dxa"/>
          </w:tblCellMar>
        </w:tblPrEx>
        <w:trPr>
          <w:trHeight w:val="527" w:hRule="atLeast"/>
        </w:trPr>
        <w:tc>
          <w:tcPr>
            <w:tcW w:w="906" w:type="dxa"/>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6、其</w:t>
            </w:r>
            <w:r>
              <w:rPr>
                <w:rFonts w:hint="eastAsia" w:ascii="宋体" w:hAnsi="宋体" w:cs="宋体"/>
                <w:kern w:val="0"/>
                <w:sz w:val="22"/>
                <w:szCs w:val="22"/>
              </w:rPr>
              <w:br w:type="textWrapping"/>
            </w:r>
            <w:r>
              <w:rPr>
                <w:rFonts w:hint="eastAsia" w:ascii="宋体" w:hAnsi="宋体" w:cs="宋体"/>
                <w:kern w:val="0"/>
                <w:sz w:val="22"/>
                <w:szCs w:val="22"/>
              </w:rPr>
              <w:t>他处理费</w:t>
            </w:r>
          </w:p>
          <w:p>
            <w:pPr>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密闭式压缩垃圾车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800元/车</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500元/车</w:t>
            </w:r>
          </w:p>
        </w:tc>
        <w:tc>
          <w:tcPr>
            <w:tcW w:w="2563"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经向环卫部门申请许可自运到指定地点的免征收集和运输环节的费用。需环卫部门托运的可双方自行协商。</w:t>
            </w: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shd w:val="clear" w:color="auto" w:fill="auto"/>
            <w:vAlign w:val="center"/>
          </w:tcPr>
          <w:p>
            <w:pPr>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8吨垃圾集装箱拖运车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150元/车</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110元/车</w:t>
            </w:r>
          </w:p>
        </w:tc>
        <w:tc>
          <w:tcPr>
            <w:tcW w:w="2563" w:type="dxa"/>
            <w:vMerge w:val="continue"/>
            <w:tcBorders>
              <w:left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shd w:val="clear" w:color="auto" w:fill="auto"/>
            <w:vAlign w:val="center"/>
          </w:tcPr>
          <w:p>
            <w:pPr>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4吨垃圾集装箱拖运车</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80元/车</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60元/车</w:t>
            </w:r>
          </w:p>
        </w:tc>
        <w:tc>
          <w:tcPr>
            <w:tcW w:w="2563" w:type="dxa"/>
            <w:vMerge w:val="continue"/>
            <w:tcBorders>
              <w:left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120升垃圾桶</w:t>
            </w:r>
          </w:p>
        </w:tc>
        <w:tc>
          <w:tcPr>
            <w:tcW w:w="150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5元/桶</w:t>
            </w:r>
          </w:p>
        </w:tc>
        <w:tc>
          <w:tcPr>
            <w:tcW w:w="16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vMerge w:val="continue"/>
            <w:tcBorders>
              <w:left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r>
      <w:tr>
        <w:tblPrEx>
          <w:tblCellMar>
            <w:top w:w="0" w:type="dxa"/>
            <w:left w:w="108" w:type="dxa"/>
            <w:bottom w:w="0" w:type="dxa"/>
            <w:right w:w="108" w:type="dxa"/>
          </w:tblCellMar>
        </w:tblPrEx>
        <w:trPr>
          <w:trHeight w:val="527" w:hRule="atLeast"/>
        </w:trPr>
        <w:tc>
          <w:tcPr>
            <w:tcW w:w="906" w:type="dxa"/>
            <w:vMerge w:val="continue"/>
            <w:tcBorders>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c>
          <w:tcPr>
            <w:tcW w:w="24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240升垃圾桶</w:t>
            </w:r>
          </w:p>
        </w:tc>
        <w:tc>
          <w:tcPr>
            <w:tcW w:w="15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10元/桶</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新增</w:t>
            </w:r>
          </w:p>
        </w:tc>
        <w:tc>
          <w:tcPr>
            <w:tcW w:w="2563" w:type="dxa"/>
            <w:vMerge w:val="continue"/>
            <w:tcBorders>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 w:val="22"/>
                <w:szCs w:val="22"/>
              </w:rPr>
            </w:pPr>
          </w:p>
        </w:tc>
      </w:tr>
    </w:tbl>
    <w:p>
      <w:pPr>
        <w:pStyle w:val="5"/>
        <w:shd w:val="clear" w:color="auto" w:fill="FFFFFF"/>
        <w:spacing w:before="0" w:beforeAutospacing="0" w:after="0" w:afterAutospacing="0" w:line="375" w:lineRule="atLeast"/>
        <w:rPr>
          <w:rFonts w:ascii="仿宋" w:hAnsi="仿宋" w:eastAsia="仿宋" w:cs="Times New Roman"/>
          <w:kern w:val="2"/>
          <w:sz w:val="30"/>
          <w:szCs w:val="30"/>
        </w:rPr>
      </w:pPr>
    </w:p>
    <w:p>
      <w:pPr>
        <w:pStyle w:val="5"/>
        <w:shd w:val="clear" w:color="auto" w:fill="FFFFFF"/>
        <w:spacing w:before="0" w:beforeAutospacing="0" w:after="0" w:afterAutospacing="0" w:line="375" w:lineRule="atLeast"/>
        <w:ind w:firstLine="600" w:firstLineChars="200"/>
        <w:rPr>
          <w:rFonts w:ascii="仿宋" w:hAnsi="仿宋" w:eastAsia="仿宋" w:cs="Times New Roman"/>
          <w:kern w:val="2"/>
          <w:sz w:val="30"/>
          <w:szCs w:val="30"/>
        </w:rPr>
      </w:pPr>
      <w:r>
        <w:rPr>
          <w:rFonts w:hint="eastAsia" w:ascii="仿宋" w:hAnsi="仿宋" w:eastAsia="仿宋" w:cs="Times New Roman"/>
          <w:kern w:val="2"/>
          <w:sz w:val="30"/>
          <w:szCs w:val="30"/>
        </w:rPr>
        <w:t>2.征收方式</w:t>
      </w:r>
    </w:p>
    <w:p>
      <w:pPr>
        <w:ind w:firstLine="600" w:firstLineChars="200"/>
        <w:rPr>
          <w:rFonts w:ascii="仿宋" w:hAnsi="仿宋" w:eastAsia="仿宋"/>
          <w:sz w:val="30"/>
          <w:szCs w:val="30"/>
        </w:rPr>
      </w:pPr>
      <w:r>
        <w:rPr>
          <w:rFonts w:hint="eastAsia" w:ascii="仿宋" w:hAnsi="仿宋" w:eastAsia="仿宋"/>
          <w:sz w:val="30"/>
          <w:szCs w:val="30"/>
        </w:rPr>
        <w:t>（1）居民住户生活垃圾处理费的征收。</w:t>
      </w:r>
    </w:p>
    <w:p>
      <w:pPr>
        <w:ind w:firstLine="600" w:firstLineChars="200"/>
        <w:rPr>
          <w:rFonts w:ascii="仿宋" w:hAnsi="仿宋" w:eastAsia="仿宋"/>
          <w:sz w:val="30"/>
          <w:szCs w:val="30"/>
        </w:rPr>
      </w:pPr>
      <w:r>
        <w:rPr>
          <w:rFonts w:hint="eastAsia" w:ascii="仿宋" w:hAnsi="仿宋" w:eastAsia="仿宋"/>
          <w:sz w:val="30"/>
          <w:szCs w:val="30"/>
        </w:rPr>
        <w:t>对县城已实行自来水一户一表的居民住户(含暂住人口)，垃圾处理费委托县自来水公司随水费代收，自来水公司可从代收的城镇生活垃圾处理费中提取3％的手续费。</w:t>
      </w:r>
    </w:p>
    <w:p>
      <w:pPr>
        <w:ind w:firstLine="600" w:firstLineChars="200"/>
        <w:rPr>
          <w:rFonts w:ascii="仿宋" w:hAnsi="仿宋" w:eastAsia="仿宋"/>
          <w:sz w:val="30"/>
          <w:szCs w:val="30"/>
        </w:rPr>
      </w:pPr>
      <w:r>
        <w:rPr>
          <w:rFonts w:hint="eastAsia" w:ascii="仿宋" w:hAnsi="仿宋" w:eastAsia="仿宋"/>
          <w:sz w:val="30"/>
          <w:szCs w:val="30"/>
        </w:rPr>
        <w:t>（2）临时性摊点、经营性场所生活垃圾处理费的征收。</w:t>
      </w:r>
    </w:p>
    <w:p>
      <w:pPr>
        <w:ind w:firstLine="600" w:firstLineChars="200"/>
        <w:rPr>
          <w:rFonts w:ascii="仿宋" w:hAnsi="仿宋" w:eastAsia="仿宋"/>
          <w:sz w:val="30"/>
          <w:szCs w:val="30"/>
        </w:rPr>
      </w:pPr>
      <w:r>
        <w:rPr>
          <w:rFonts w:hint="eastAsia" w:ascii="仿宋" w:hAnsi="仿宋" w:eastAsia="仿宋"/>
          <w:sz w:val="30"/>
          <w:szCs w:val="30"/>
        </w:rPr>
        <w:t>包括市场、商店、超市、家</w:t>
      </w:r>
      <w:r>
        <w:rPr>
          <w:rFonts w:hint="eastAsia" w:ascii="仿宋" w:hAnsi="仿宋" w:eastAsia="仿宋"/>
          <w:sz w:val="30"/>
          <w:szCs w:val="30"/>
          <w:lang w:eastAsia="zh-CN"/>
        </w:rPr>
        <w:t>具</w:t>
      </w:r>
      <w:bookmarkStart w:id="0" w:name="_GoBack"/>
      <w:bookmarkEnd w:id="0"/>
      <w:r>
        <w:rPr>
          <w:rFonts w:hint="eastAsia" w:ascii="仿宋" w:hAnsi="仿宋" w:eastAsia="仿宋"/>
          <w:sz w:val="30"/>
          <w:szCs w:val="30"/>
        </w:rPr>
        <w:t>店等，垃圾处理费由环卫园林中心上门收取。</w:t>
      </w:r>
    </w:p>
    <w:p>
      <w:pPr>
        <w:ind w:firstLine="600" w:firstLineChars="200"/>
        <w:rPr>
          <w:rFonts w:ascii="仿宋" w:hAnsi="仿宋" w:eastAsia="仿宋"/>
          <w:sz w:val="30"/>
          <w:szCs w:val="30"/>
        </w:rPr>
      </w:pPr>
      <w:r>
        <w:rPr>
          <w:rFonts w:hint="eastAsia" w:ascii="仿宋" w:hAnsi="仿宋" w:eastAsia="仿宋"/>
          <w:sz w:val="30"/>
          <w:szCs w:val="30"/>
        </w:rPr>
        <w:t>（3）车辆生活垃圾处理费的征收。</w:t>
      </w:r>
    </w:p>
    <w:p>
      <w:pPr>
        <w:ind w:firstLine="600" w:firstLineChars="200"/>
        <w:rPr>
          <w:rFonts w:ascii="仿宋" w:hAnsi="仿宋" w:eastAsia="仿宋"/>
          <w:sz w:val="30"/>
          <w:szCs w:val="30"/>
        </w:rPr>
      </w:pPr>
      <w:r>
        <w:rPr>
          <w:rFonts w:hint="eastAsia" w:ascii="仿宋" w:hAnsi="仿宋" w:eastAsia="仿宋"/>
          <w:sz w:val="30"/>
          <w:szCs w:val="30"/>
        </w:rPr>
        <w:t>县区牌照及外地驻县单位或长期（3个月以上）在县内从事营运的车辆生活垃圾处理费的征收可委托交通运输部门按照相关征收标准代征，上交县财政，交通运输部门可从代收的城镇生活垃圾处理费中提取3％的手续费。</w:t>
      </w:r>
    </w:p>
    <w:p>
      <w:pPr>
        <w:ind w:firstLine="600" w:firstLineChars="200"/>
        <w:rPr>
          <w:rFonts w:ascii="仿宋" w:hAnsi="仿宋" w:eastAsia="仿宋"/>
          <w:sz w:val="30"/>
          <w:szCs w:val="30"/>
        </w:rPr>
      </w:pPr>
      <w:r>
        <w:rPr>
          <w:rFonts w:hint="eastAsia" w:ascii="仿宋" w:hAnsi="仿宋" w:eastAsia="仿宋"/>
          <w:sz w:val="30"/>
          <w:szCs w:val="30"/>
        </w:rPr>
        <w:t>（4）生产经营单位、机关、企事业单位等单位生活垃圾处理费的征收。</w:t>
      </w:r>
    </w:p>
    <w:p>
      <w:pPr>
        <w:ind w:firstLine="600" w:firstLineChars="200"/>
        <w:rPr>
          <w:rFonts w:ascii="仿宋" w:hAnsi="仿宋" w:eastAsia="仿宋"/>
          <w:sz w:val="30"/>
          <w:szCs w:val="30"/>
        </w:rPr>
      </w:pPr>
      <w:r>
        <w:rPr>
          <w:rFonts w:hint="eastAsia" w:ascii="仿宋" w:hAnsi="仿宋" w:eastAsia="仿宋"/>
          <w:sz w:val="30"/>
          <w:szCs w:val="30"/>
        </w:rPr>
        <w:t>生产经营单位(主要是厂矿企业、公司) 、汽（火）车站、机关、企事业单位等单位，按原渠道委托县财政收取。</w:t>
      </w:r>
    </w:p>
    <w:p>
      <w:pPr>
        <w:numPr>
          <w:ilvl w:val="0"/>
          <w:numId w:val="1"/>
        </w:numPr>
        <w:ind w:firstLine="602" w:firstLineChars="200"/>
        <w:jc w:val="left"/>
        <w:rPr>
          <w:rFonts w:ascii="仿宋" w:hAnsi="仿宋" w:eastAsia="仿宋" w:cs="仿宋_GB2312"/>
          <w:b/>
          <w:color w:val="000000"/>
          <w:sz w:val="30"/>
          <w:szCs w:val="30"/>
        </w:rPr>
      </w:pPr>
      <w:r>
        <w:rPr>
          <w:rFonts w:hint="eastAsia" w:ascii="仿宋" w:hAnsi="仿宋" w:eastAsia="仿宋" w:cs="仿宋_GB2312"/>
          <w:b/>
          <w:color w:val="000000"/>
          <w:sz w:val="30"/>
          <w:szCs w:val="30"/>
        </w:rPr>
        <w:t>开征城区居民生活垃圾处理收费对居民的影响</w:t>
      </w:r>
    </w:p>
    <w:p>
      <w:pPr>
        <w:ind w:firstLine="600" w:firstLineChars="200"/>
        <w:jc w:val="left"/>
        <w:rPr>
          <w:rFonts w:ascii="仿宋" w:hAnsi="仿宋" w:eastAsia="仿宋" w:cs="仿宋_GB2312"/>
          <w:sz w:val="30"/>
          <w:szCs w:val="30"/>
        </w:rPr>
      </w:pPr>
      <w:r>
        <w:rPr>
          <w:rFonts w:hint="eastAsia" w:ascii="仿宋" w:hAnsi="仿宋" w:eastAsia="仿宋" w:cs="仿宋_GB2312"/>
          <w:sz w:val="30"/>
          <w:szCs w:val="30"/>
        </w:rPr>
        <w:t>此次开征对居民影响不大，按《蓝山县关于调整我县城市环卫有偿服务费收费标准的通知》蓝价服【2012】1号文件</w:t>
      </w:r>
      <w:r>
        <w:rPr>
          <w:rFonts w:hint="eastAsia" w:ascii="仿宋" w:hAnsi="仿宋" w:eastAsia="仿宋"/>
          <w:sz w:val="30"/>
          <w:szCs w:val="30"/>
        </w:rPr>
        <w:t>规定，应对县城居民及暂住人口征收每户每年20元环卫有偿服务费。现每户平均按每月用水量15吨核算，每户每年54元（15×0.3×12=54），每年多34元，每月多2.83元。低保户仍实行减免每月4吨水费的优惠政策，而大部分低保户每月用水量均在4吨以下。因此开征城区居民生活垃圾处理收费对居民的生活影响不大</w:t>
      </w:r>
      <w:r>
        <w:rPr>
          <w:rFonts w:hint="eastAsia" w:ascii="仿宋" w:hAnsi="仿宋" w:eastAsia="仿宋" w:cs="仿宋_GB2312"/>
          <w:sz w:val="30"/>
          <w:szCs w:val="30"/>
        </w:rPr>
        <w:t>。</w:t>
      </w:r>
    </w:p>
    <w:p>
      <w:pPr>
        <w:ind w:left="420" w:leftChars="200"/>
        <w:jc w:val="left"/>
        <w:rPr>
          <w:rFonts w:hint="eastAsia" w:ascii="仿宋" w:hAnsi="仿宋" w:eastAsia="仿宋" w:cs="仿宋_GB2312"/>
          <w:color w:val="000000"/>
          <w:sz w:val="32"/>
          <w:szCs w:val="32"/>
        </w:rPr>
      </w:pPr>
    </w:p>
    <w:p>
      <w:pPr>
        <w:spacing w:line="580" w:lineRule="exact"/>
        <w:ind w:right="160"/>
        <w:jc w:val="right"/>
        <w:rPr>
          <w:rFonts w:ascii="仿宋" w:hAnsi="仿宋" w:eastAsia="仿宋"/>
          <w:sz w:val="32"/>
          <w:szCs w:val="32"/>
        </w:rPr>
      </w:pPr>
      <w:r>
        <w:rPr>
          <w:rFonts w:hint="eastAsia" w:ascii="仿宋" w:hAnsi="仿宋" w:eastAsia="仿宋"/>
          <w:sz w:val="32"/>
          <w:szCs w:val="32"/>
        </w:rPr>
        <w:t>蓝山县发展和改革局</w:t>
      </w:r>
    </w:p>
    <w:p>
      <w:pPr>
        <w:ind w:left="420" w:leftChars="200"/>
        <w:jc w:val="right"/>
        <w:rPr>
          <w:rFonts w:ascii="仿宋" w:hAnsi="仿宋" w:eastAsia="仿宋" w:cs="仿宋_GB2312"/>
          <w:color w:val="000000"/>
          <w:sz w:val="32"/>
          <w:szCs w:val="32"/>
        </w:rPr>
      </w:pPr>
      <w:r>
        <w:rPr>
          <w:rFonts w:hint="eastAsia" w:ascii="仿宋" w:hAnsi="仿宋" w:eastAsia="仿宋" w:cs="仿宋_GB2312"/>
          <w:color w:val="000000"/>
          <w:sz w:val="32"/>
          <w:szCs w:val="32"/>
        </w:rPr>
        <w:t>二〇二〇年十一月二日</w:t>
      </w:r>
    </w:p>
    <w:sectPr>
      <w:headerReference r:id="rId3" w:type="default"/>
      <w:footerReference r:id="rId4" w:type="default"/>
      <w:footerReference r:id="rId5" w:type="even"/>
      <w:pgSz w:w="11906" w:h="16838"/>
      <w:pgMar w:top="1440" w:right="1134" w:bottom="1440"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10"/>
      </w:rPr>
    </w:pPr>
    <w:r>
      <w:fldChar w:fldCharType="begin"/>
    </w:r>
    <w:r>
      <w:rPr>
        <w:rStyle w:val="10"/>
      </w:rPr>
      <w:instrText xml:space="preserve">PAGE  </w:instrText>
    </w:r>
    <w:r>
      <w:fldChar w:fldCharType="separate"/>
    </w:r>
    <w:r>
      <w:rPr>
        <w:rStyle w:val="10"/>
      </w:rPr>
      <w:t>1</w:t>
    </w:r>
    <w:r>
      <w:fldChar w:fldCharType="end"/>
    </w:r>
  </w:p>
  <w:p>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10"/>
      </w:rPr>
    </w:pPr>
    <w:r>
      <w:fldChar w:fldCharType="begin"/>
    </w:r>
    <w:r>
      <w:rPr>
        <w:rStyle w:val="10"/>
      </w:rPr>
      <w:instrText xml:space="preserve">PAGE  </w:instrText>
    </w:r>
    <w:r>
      <w:fldChar w:fldCharType="end"/>
    </w:r>
  </w:p>
  <w:p>
    <w:pPr>
      <w:pStyle w:val="3"/>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0125C8"/>
    <w:multiLevelType w:val="singleLevel"/>
    <w:tmpl w:val="E20125C8"/>
    <w:lvl w:ilvl="0" w:tentative="0">
      <w:start w:val="2"/>
      <w:numFmt w:val="chineseCounting"/>
      <w:suff w:val="nothing"/>
      <w:lvlText w:val="%1、"/>
      <w:lvlJc w:val="left"/>
      <w:rPr>
        <w:rFonts w:hint="eastAsia"/>
        <w: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zlhMTEzMmFkOTgyYTQwZTA5MDdjM2NiZjNjOGFlOTIifQ=="/>
  </w:docVars>
  <w:rsids>
    <w:rsidRoot w:val="00F87AF8"/>
    <w:rsid w:val="000067B8"/>
    <w:rsid w:val="00011176"/>
    <w:rsid w:val="0002054F"/>
    <w:rsid w:val="00025239"/>
    <w:rsid w:val="00025977"/>
    <w:rsid w:val="000263AE"/>
    <w:rsid w:val="00030BB2"/>
    <w:rsid w:val="00030E1E"/>
    <w:rsid w:val="0004021E"/>
    <w:rsid w:val="00042560"/>
    <w:rsid w:val="00046F84"/>
    <w:rsid w:val="00054A38"/>
    <w:rsid w:val="00054E03"/>
    <w:rsid w:val="00055F36"/>
    <w:rsid w:val="000616D9"/>
    <w:rsid w:val="0006631A"/>
    <w:rsid w:val="000710BC"/>
    <w:rsid w:val="00071DE8"/>
    <w:rsid w:val="00072630"/>
    <w:rsid w:val="000852A9"/>
    <w:rsid w:val="000946C7"/>
    <w:rsid w:val="000A13B6"/>
    <w:rsid w:val="000A209D"/>
    <w:rsid w:val="000A2796"/>
    <w:rsid w:val="000A5867"/>
    <w:rsid w:val="000A6207"/>
    <w:rsid w:val="000B0371"/>
    <w:rsid w:val="000B3EFC"/>
    <w:rsid w:val="000B7DBC"/>
    <w:rsid w:val="000C2E8C"/>
    <w:rsid w:val="000C5A9D"/>
    <w:rsid w:val="000D24EA"/>
    <w:rsid w:val="000E2184"/>
    <w:rsid w:val="000E6818"/>
    <w:rsid w:val="000E7766"/>
    <w:rsid w:val="001059E9"/>
    <w:rsid w:val="00107389"/>
    <w:rsid w:val="00117A39"/>
    <w:rsid w:val="001238C3"/>
    <w:rsid w:val="001530E2"/>
    <w:rsid w:val="001561F1"/>
    <w:rsid w:val="00164D4C"/>
    <w:rsid w:val="0016740B"/>
    <w:rsid w:val="00173611"/>
    <w:rsid w:val="00173C95"/>
    <w:rsid w:val="0017645A"/>
    <w:rsid w:val="001766ED"/>
    <w:rsid w:val="00180B6F"/>
    <w:rsid w:val="0018372D"/>
    <w:rsid w:val="00190BE8"/>
    <w:rsid w:val="00193109"/>
    <w:rsid w:val="0019477A"/>
    <w:rsid w:val="00197340"/>
    <w:rsid w:val="00197934"/>
    <w:rsid w:val="001A171B"/>
    <w:rsid w:val="001A2D61"/>
    <w:rsid w:val="001A6DAE"/>
    <w:rsid w:val="001B796C"/>
    <w:rsid w:val="001C5CDE"/>
    <w:rsid w:val="001D5D9F"/>
    <w:rsid w:val="001D67FB"/>
    <w:rsid w:val="001E3BE4"/>
    <w:rsid w:val="001E5B0D"/>
    <w:rsid w:val="001F76C2"/>
    <w:rsid w:val="002052B9"/>
    <w:rsid w:val="00213BBE"/>
    <w:rsid w:val="00217197"/>
    <w:rsid w:val="002172C8"/>
    <w:rsid w:val="002279F7"/>
    <w:rsid w:val="0024271D"/>
    <w:rsid w:val="002437F9"/>
    <w:rsid w:val="0024759E"/>
    <w:rsid w:val="002534F8"/>
    <w:rsid w:val="0025389E"/>
    <w:rsid w:val="00254F29"/>
    <w:rsid w:val="002646D4"/>
    <w:rsid w:val="00265D29"/>
    <w:rsid w:val="0027052F"/>
    <w:rsid w:val="002724A7"/>
    <w:rsid w:val="002826B5"/>
    <w:rsid w:val="002837AE"/>
    <w:rsid w:val="00284A2E"/>
    <w:rsid w:val="002931C1"/>
    <w:rsid w:val="002A23D3"/>
    <w:rsid w:val="002B2FB4"/>
    <w:rsid w:val="002B303B"/>
    <w:rsid w:val="002B5C4C"/>
    <w:rsid w:val="002B7B26"/>
    <w:rsid w:val="002C4BC5"/>
    <w:rsid w:val="002C5907"/>
    <w:rsid w:val="002C77E7"/>
    <w:rsid w:val="002D0E83"/>
    <w:rsid w:val="002D1F09"/>
    <w:rsid w:val="002D6BE4"/>
    <w:rsid w:val="002E2B0A"/>
    <w:rsid w:val="002E4AF4"/>
    <w:rsid w:val="002E5579"/>
    <w:rsid w:val="002E6EF3"/>
    <w:rsid w:val="002F185A"/>
    <w:rsid w:val="002F1D2F"/>
    <w:rsid w:val="002F2935"/>
    <w:rsid w:val="002F29E1"/>
    <w:rsid w:val="002F4C64"/>
    <w:rsid w:val="002F6D9E"/>
    <w:rsid w:val="00303C8A"/>
    <w:rsid w:val="00304FC5"/>
    <w:rsid w:val="00306E35"/>
    <w:rsid w:val="003104CC"/>
    <w:rsid w:val="00311343"/>
    <w:rsid w:val="0032418F"/>
    <w:rsid w:val="00335956"/>
    <w:rsid w:val="00346D80"/>
    <w:rsid w:val="00351746"/>
    <w:rsid w:val="00352857"/>
    <w:rsid w:val="00360C0E"/>
    <w:rsid w:val="00361C73"/>
    <w:rsid w:val="00362C91"/>
    <w:rsid w:val="0037070C"/>
    <w:rsid w:val="003739BF"/>
    <w:rsid w:val="00375EEC"/>
    <w:rsid w:val="00381D9E"/>
    <w:rsid w:val="00382071"/>
    <w:rsid w:val="00384A90"/>
    <w:rsid w:val="00385A1C"/>
    <w:rsid w:val="003876B5"/>
    <w:rsid w:val="0039677C"/>
    <w:rsid w:val="003A18E9"/>
    <w:rsid w:val="003B37A0"/>
    <w:rsid w:val="003D0145"/>
    <w:rsid w:val="003D4F08"/>
    <w:rsid w:val="003F1B38"/>
    <w:rsid w:val="00402D09"/>
    <w:rsid w:val="00406D8E"/>
    <w:rsid w:val="00407703"/>
    <w:rsid w:val="004127F2"/>
    <w:rsid w:val="00416543"/>
    <w:rsid w:val="004171F7"/>
    <w:rsid w:val="00417274"/>
    <w:rsid w:val="00417B36"/>
    <w:rsid w:val="00417BA2"/>
    <w:rsid w:val="0042175E"/>
    <w:rsid w:val="00422130"/>
    <w:rsid w:val="00422CDE"/>
    <w:rsid w:val="00430C02"/>
    <w:rsid w:val="00435260"/>
    <w:rsid w:val="00442410"/>
    <w:rsid w:val="004456D2"/>
    <w:rsid w:val="00456B9B"/>
    <w:rsid w:val="00463D3F"/>
    <w:rsid w:val="00464227"/>
    <w:rsid w:val="004841F7"/>
    <w:rsid w:val="00485B2E"/>
    <w:rsid w:val="00493F19"/>
    <w:rsid w:val="004A31A9"/>
    <w:rsid w:val="004A3CBC"/>
    <w:rsid w:val="004A6453"/>
    <w:rsid w:val="004B25C2"/>
    <w:rsid w:val="004B424E"/>
    <w:rsid w:val="004B5EF8"/>
    <w:rsid w:val="004C72E0"/>
    <w:rsid w:val="004E7041"/>
    <w:rsid w:val="004F2190"/>
    <w:rsid w:val="0050303B"/>
    <w:rsid w:val="005067D2"/>
    <w:rsid w:val="00510B8C"/>
    <w:rsid w:val="00524F72"/>
    <w:rsid w:val="005303FC"/>
    <w:rsid w:val="00532CC3"/>
    <w:rsid w:val="00542DF8"/>
    <w:rsid w:val="00550D09"/>
    <w:rsid w:val="00566D25"/>
    <w:rsid w:val="005677A4"/>
    <w:rsid w:val="00567C1E"/>
    <w:rsid w:val="00570C4A"/>
    <w:rsid w:val="00581397"/>
    <w:rsid w:val="00593218"/>
    <w:rsid w:val="005951CA"/>
    <w:rsid w:val="005A425C"/>
    <w:rsid w:val="005A7AEA"/>
    <w:rsid w:val="005E3FBD"/>
    <w:rsid w:val="005E4C3F"/>
    <w:rsid w:val="005E5424"/>
    <w:rsid w:val="005E7AC7"/>
    <w:rsid w:val="005E7B48"/>
    <w:rsid w:val="005E7B91"/>
    <w:rsid w:val="005E7F4C"/>
    <w:rsid w:val="00603163"/>
    <w:rsid w:val="00603418"/>
    <w:rsid w:val="00603655"/>
    <w:rsid w:val="006047D6"/>
    <w:rsid w:val="00605A6B"/>
    <w:rsid w:val="00611A13"/>
    <w:rsid w:val="00611A50"/>
    <w:rsid w:val="006144F6"/>
    <w:rsid w:val="00621458"/>
    <w:rsid w:val="00622AD4"/>
    <w:rsid w:val="006241CB"/>
    <w:rsid w:val="0063371D"/>
    <w:rsid w:val="006344EC"/>
    <w:rsid w:val="00636CF8"/>
    <w:rsid w:val="0064026B"/>
    <w:rsid w:val="00644CC2"/>
    <w:rsid w:val="00667E8E"/>
    <w:rsid w:val="0068298F"/>
    <w:rsid w:val="006919F6"/>
    <w:rsid w:val="00696C92"/>
    <w:rsid w:val="006A274D"/>
    <w:rsid w:val="006A3AE8"/>
    <w:rsid w:val="006A58CC"/>
    <w:rsid w:val="006A6003"/>
    <w:rsid w:val="006B0887"/>
    <w:rsid w:val="006B1A3B"/>
    <w:rsid w:val="006B1C42"/>
    <w:rsid w:val="006C17C1"/>
    <w:rsid w:val="006C1A6F"/>
    <w:rsid w:val="006D6AD6"/>
    <w:rsid w:val="006E7348"/>
    <w:rsid w:val="006F2D38"/>
    <w:rsid w:val="006F5747"/>
    <w:rsid w:val="006F7932"/>
    <w:rsid w:val="007065DD"/>
    <w:rsid w:val="00715D24"/>
    <w:rsid w:val="00725789"/>
    <w:rsid w:val="007259C1"/>
    <w:rsid w:val="0073127C"/>
    <w:rsid w:val="00733B57"/>
    <w:rsid w:val="007434EE"/>
    <w:rsid w:val="0075327A"/>
    <w:rsid w:val="00753D39"/>
    <w:rsid w:val="00761676"/>
    <w:rsid w:val="007649C8"/>
    <w:rsid w:val="0076681A"/>
    <w:rsid w:val="0078022A"/>
    <w:rsid w:val="007834E1"/>
    <w:rsid w:val="007850DD"/>
    <w:rsid w:val="007855B7"/>
    <w:rsid w:val="00785C3C"/>
    <w:rsid w:val="007909F8"/>
    <w:rsid w:val="00791E8E"/>
    <w:rsid w:val="00792AF9"/>
    <w:rsid w:val="00793397"/>
    <w:rsid w:val="00794467"/>
    <w:rsid w:val="00796758"/>
    <w:rsid w:val="00796AC3"/>
    <w:rsid w:val="007A6507"/>
    <w:rsid w:val="007B1FA4"/>
    <w:rsid w:val="007E406E"/>
    <w:rsid w:val="007F1CB0"/>
    <w:rsid w:val="007F4803"/>
    <w:rsid w:val="007F7285"/>
    <w:rsid w:val="00800C8C"/>
    <w:rsid w:val="00802076"/>
    <w:rsid w:val="008026B2"/>
    <w:rsid w:val="00804947"/>
    <w:rsid w:val="008056AD"/>
    <w:rsid w:val="00807C13"/>
    <w:rsid w:val="008301D9"/>
    <w:rsid w:val="0083084F"/>
    <w:rsid w:val="008308D5"/>
    <w:rsid w:val="00831949"/>
    <w:rsid w:val="0083560A"/>
    <w:rsid w:val="0084026A"/>
    <w:rsid w:val="00841E26"/>
    <w:rsid w:val="00846231"/>
    <w:rsid w:val="00851A2D"/>
    <w:rsid w:val="00851ABA"/>
    <w:rsid w:val="00853991"/>
    <w:rsid w:val="00860887"/>
    <w:rsid w:val="008628D1"/>
    <w:rsid w:val="008667DB"/>
    <w:rsid w:val="00870324"/>
    <w:rsid w:val="00870C1C"/>
    <w:rsid w:val="00873373"/>
    <w:rsid w:val="00890C60"/>
    <w:rsid w:val="00892144"/>
    <w:rsid w:val="008A11B3"/>
    <w:rsid w:val="008A750F"/>
    <w:rsid w:val="008C1F39"/>
    <w:rsid w:val="008C6B68"/>
    <w:rsid w:val="008D2DAA"/>
    <w:rsid w:val="008D4C47"/>
    <w:rsid w:val="008D7690"/>
    <w:rsid w:val="008F1C64"/>
    <w:rsid w:val="008F49A6"/>
    <w:rsid w:val="008F4DE8"/>
    <w:rsid w:val="008F6C78"/>
    <w:rsid w:val="00907826"/>
    <w:rsid w:val="00910BC5"/>
    <w:rsid w:val="0091495B"/>
    <w:rsid w:val="00920D1D"/>
    <w:rsid w:val="00925C2F"/>
    <w:rsid w:val="00941CA9"/>
    <w:rsid w:val="0094578A"/>
    <w:rsid w:val="00957BC9"/>
    <w:rsid w:val="00966ADE"/>
    <w:rsid w:val="00974FBA"/>
    <w:rsid w:val="009A09C0"/>
    <w:rsid w:val="009C3E1B"/>
    <w:rsid w:val="009D557F"/>
    <w:rsid w:val="009D66A5"/>
    <w:rsid w:val="009E43CC"/>
    <w:rsid w:val="009F4999"/>
    <w:rsid w:val="009F5D92"/>
    <w:rsid w:val="009F78B0"/>
    <w:rsid w:val="00A0635B"/>
    <w:rsid w:val="00A126AD"/>
    <w:rsid w:val="00A14551"/>
    <w:rsid w:val="00A200AC"/>
    <w:rsid w:val="00A21F9E"/>
    <w:rsid w:val="00A314FE"/>
    <w:rsid w:val="00A35378"/>
    <w:rsid w:val="00A40408"/>
    <w:rsid w:val="00A416CD"/>
    <w:rsid w:val="00A440CE"/>
    <w:rsid w:val="00A54AF1"/>
    <w:rsid w:val="00A62E6D"/>
    <w:rsid w:val="00A6566D"/>
    <w:rsid w:val="00A758FD"/>
    <w:rsid w:val="00A7799E"/>
    <w:rsid w:val="00A80124"/>
    <w:rsid w:val="00A82115"/>
    <w:rsid w:val="00A825F4"/>
    <w:rsid w:val="00A85E1F"/>
    <w:rsid w:val="00A870D8"/>
    <w:rsid w:val="00A90D4F"/>
    <w:rsid w:val="00AA14E1"/>
    <w:rsid w:val="00AA43CC"/>
    <w:rsid w:val="00AA4801"/>
    <w:rsid w:val="00AA5AD1"/>
    <w:rsid w:val="00AA5FF7"/>
    <w:rsid w:val="00AC1C72"/>
    <w:rsid w:val="00AC726B"/>
    <w:rsid w:val="00AD4F3D"/>
    <w:rsid w:val="00AD789E"/>
    <w:rsid w:val="00AE166A"/>
    <w:rsid w:val="00AF42DC"/>
    <w:rsid w:val="00B0330F"/>
    <w:rsid w:val="00B04F2A"/>
    <w:rsid w:val="00B05860"/>
    <w:rsid w:val="00B06A11"/>
    <w:rsid w:val="00B07551"/>
    <w:rsid w:val="00B13369"/>
    <w:rsid w:val="00B136B9"/>
    <w:rsid w:val="00B13B51"/>
    <w:rsid w:val="00B1621D"/>
    <w:rsid w:val="00B163E2"/>
    <w:rsid w:val="00B344F2"/>
    <w:rsid w:val="00B34833"/>
    <w:rsid w:val="00B440C4"/>
    <w:rsid w:val="00B56FE3"/>
    <w:rsid w:val="00B67E8B"/>
    <w:rsid w:val="00B70145"/>
    <w:rsid w:val="00B736A0"/>
    <w:rsid w:val="00B8691A"/>
    <w:rsid w:val="00B913F7"/>
    <w:rsid w:val="00B92CF8"/>
    <w:rsid w:val="00B9658D"/>
    <w:rsid w:val="00BA0A16"/>
    <w:rsid w:val="00BA283C"/>
    <w:rsid w:val="00BA59FE"/>
    <w:rsid w:val="00BB029C"/>
    <w:rsid w:val="00BB2016"/>
    <w:rsid w:val="00BC242F"/>
    <w:rsid w:val="00BD4725"/>
    <w:rsid w:val="00BD53AC"/>
    <w:rsid w:val="00BE746D"/>
    <w:rsid w:val="00BF0BA7"/>
    <w:rsid w:val="00C108DA"/>
    <w:rsid w:val="00C1159B"/>
    <w:rsid w:val="00C14776"/>
    <w:rsid w:val="00C30945"/>
    <w:rsid w:val="00C37794"/>
    <w:rsid w:val="00C37F6A"/>
    <w:rsid w:val="00C506B6"/>
    <w:rsid w:val="00C53688"/>
    <w:rsid w:val="00C569CF"/>
    <w:rsid w:val="00C5734C"/>
    <w:rsid w:val="00C83351"/>
    <w:rsid w:val="00C85A4A"/>
    <w:rsid w:val="00C92337"/>
    <w:rsid w:val="00C9398D"/>
    <w:rsid w:val="00C94638"/>
    <w:rsid w:val="00CA63F8"/>
    <w:rsid w:val="00CA746D"/>
    <w:rsid w:val="00CB1914"/>
    <w:rsid w:val="00CD2D60"/>
    <w:rsid w:val="00CE49AF"/>
    <w:rsid w:val="00CE7C70"/>
    <w:rsid w:val="00D01708"/>
    <w:rsid w:val="00D06012"/>
    <w:rsid w:val="00D06648"/>
    <w:rsid w:val="00D0732E"/>
    <w:rsid w:val="00D13C2C"/>
    <w:rsid w:val="00D2656D"/>
    <w:rsid w:val="00D27148"/>
    <w:rsid w:val="00D323A5"/>
    <w:rsid w:val="00D41386"/>
    <w:rsid w:val="00D41988"/>
    <w:rsid w:val="00D45E6C"/>
    <w:rsid w:val="00D507C0"/>
    <w:rsid w:val="00D53380"/>
    <w:rsid w:val="00D63998"/>
    <w:rsid w:val="00D66A0D"/>
    <w:rsid w:val="00D67256"/>
    <w:rsid w:val="00D67FA7"/>
    <w:rsid w:val="00D75C56"/>
    <w:rsid w:val="00D760C9"/>
    <w:rsid w:val="00D76D22"/>
    <w:rsid w:val="00D836EE"/>
    <w:rsid w:val="00D93689"/>
    <w:rsid w:val="00D9435B"/>
    <w:rsid w:val="00D96E00"/>
    <w:rsid w:val="00DA31BC"/>
    <w:rsid w:val="00DB0213"/>
    <w:rsid w:val="00DB049D"/>
    <w:rsid w:val="00DD244E"/>
    <w:rsid w:val="00DD324A"/>
    <w:rsid w:val="00DE223E"/>
    <w:rsid w:val="00DE33B7"/>
    <w:rsid w:val="00DF3913"/>
    <w:rsid w:val="00E02966"/>
    <w:rsid w:val="00E13736"/>
    <w:rsid w:val="00E335CD"/>
    <w:rsid w:val="00E353AD"/>
    <w:rsid w:val="00E562ED"/>
    <w:rsid w:val="00E62448"/>
    <w:rsid w:val="00E7009C"/>
    <w:rsid w:val="00E70277"/>
    <w:rsid w:val="00E83DF0"/>
    <w:rsid w:val="00E8613C"/>
    <w:rsid w:val="00E93ACC"/>
    <w:rsid w:val="00EA6147"/>
    <w:rsid w:val="00EA6946"/>
    <w:rsid w:val="00EC15A1"/>
    <w:rsid w:val="00EC46F1"/>
    <w:rsid w:val="00EC491A"/>
    <w:rsid w:val="00EC70E6"/>
    <w:rsid w:val="00ED0C54"/>
    <w:rsid w:val="00ED3D4A"/>
    <w:rsid w:val="00ED5979"/>
    <w:rsid w:val="00EE3637"/>
    <w:rsid w:val="00EE6188"/>
    <w:rsid w:val="00EE6F41"/>
    <w:rsid w:val="00F05C3B"/>
    <w:rsid w:val="00F05EE5"/>
    <w:rsid w:val="00F247B2"/>
    <w:rsid w:val="00F445AC"/>
    <w:rsid w:val="00F4536B"/>
    <w:rsid w:val="00F51859"/>
    <w:rsid w:val="00F561EE"/>
    <w:rsid w:val="00F61727"/>
    <w:rsid w:val="00F71790"/>
    <w:rsid w:val="00F76533"/>
    <w:rsid w:val="00F768E0"/>
    <w:rsid w:val="00F80CF9"/>
    <w:rsid w:val="00F87AF8"/>
    <w:rsid w:val="00F87CA5"/>
    <w:rsid w:val="00F9703B"/>
    <w:rsid w:val="00FA1779"/>
    <w:rsid w:val="00FA70BA"/>
    <w:rsid w:val="00FB0DF0"/>
    <w:rsid w:val="00FB3B07"/>
    <w:rsid w:val="00FB3E46"/>
    <w:rsid w:val="00FB5354"/>
    <w:rsid w:val="00FC0F25"/>
    <w:rsid w:val="00FC1D95"/>
    <w:rsid w:val="00FD09EB"/>
    <w:rsid w:val="00FD54CA"/>
    <w:rsid w:val="00FD70DA"/>
    <w:rsid w:val="00FD71B8"/>
    <w:rsid w:val="00FF2928"/>
    <w:rsid w:val="0148574E"/>
    <w:rsid w:val="05055EB1"/>
    <w:rsid w:val="0E52758D"/>
    <w:rsid w:val="16B923F7"/>
    <w:rsid w:val="17442DB9"/>
    <w:rsid w:val="1E8A51E5"/>
    <w:rsid w:val="1FBF235A"/>
    <w:rsid w:val="1FCA14B3"/>
    <w:rsid w:val="24F56F32"/>
    <w:rsid w:val="25780405"/>
    <w:rsid w:val="260E5A46"/>
    <w:rsid w:val="2A2C1048"/>
    <w:rsid w:val="2B3012EB"/>
    <w:rsid w:val="2D0F4C79"/>
    <w:rsid w:val="3A363ACE"/>
    <w:rsid w:val="3B560A96"/>
    <w:rsid w:val="52FC4FB0"/>
    <w:rsid w:val="55F772FF"/>
    <w:rsid w:val="5885666A"/>
    <w:rsid w:val="5A26265B"/>
    <w:rsid w:val="622F4B23"/>
    <w:rsid w:val="64E65538"/>
    <w:rsid w:val="6E4E1A8F"/>
    <w:rsid w:val="6EBE25F9"/>
    <w:rsid w:val="7B95754E"/>
    <w:rsid w:val="7C4F5B9F"/>
    <w:rsid w:val="7D096E11"/>
    <w:rsid w:val="7D6652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qFormat/>
    <w:uiPriority w:val="99"/>
    <w:rPr>
      <w:rFonts w:hint="default"/>
      <w:b/>
      <w:sz w:val="24"/>
    </w:rPr>
  </w:style>
  <w:style w:type="character" w:styleId="10">
    <w:name w:val="page number"/>
    <w:basedOn w:val="8"/>
    <w:qFormat/>
    <w:uiPriority w:val="0"/>
  </w:style>
  <w:style w:type="character" w:customStyle="1" w:styleId="11">
    <w:name w:val="font31"/>
    <w:basedOn w:val="8"/>
    <w:qFormat/>
    <w:uiPriority w:val="0"/>
    <w:rPr>
      <w:rFonts w:ascii="宋体" w:hAnsi="宋体" w:eastAsia="宋体" w:cs="宋体"/>
      <w:color w:val="000000"/>
      <w:sz w:val="24"/>
      <w:szCs w:val="24"/>
      <w:u w:val="none"/>
    </w:rPr>
  </w:style>
  <w:style w:type="character" w:customStyle="1" w:styleId="12">
    <w:name w:val="font01"/>
    <w:basedOn w:val="8"/>
    <w:qFormat/>
    <w:uiPriority w:val="0"/>
    <w:rPr>
      <w:rFonts w:hint="eastAsia" w:ascii="宋体" w:hAnsi="宋体" w:eastAsia="宋体" w:cs="宋体"/>
      <w:color w:val="000000"/>
      <w:sz w:val="24"/>
      <w:szCs w:val="24"/>
      <w:u w:val="none"/>
    </w:rPr>
  </w:style>
  <w:style w:type="paragraph" w:customStyle="1" w:styleId="13">
    <w:name w:val="样式1"/>
    <w:basedOn w:val="1"/>
    <w:qFormat/>
    <w:uiPriority w:val="0"/>
    <w:pPr>
      <w:spacing w:line="560" w:lineRule="exact"/>
      <w:ind w:firstLine="640" w:firstLineChars="200"/>
    </w:pPr>
    <w:rPr>
      <w:rFonts w:ascii="仿宋" w:hAnsi="仿宋" w:eastAsia="仿宋_GB231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Pages>
  <Words>495</Words>
  <Characters>2822</Characters>
  <Lines>23</Lines>
  <Paragraphs>6</Paragraphs>
  <TotalTime>4</TotalTime>
  <ScaleCrop>false</ScaleCrop>
  <LinksUpToDate>false</LinksUpToDate>
  <CharactersWithSpaces>3311</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2020-11-02T07:27:00Z</dcterms:created>
  <dc:creator>微软用户</dc:creator>
  <cp:lastModifiedBy>Administrator</cp:lastModifiedBy>
  <cp:lastPrinted>2016-12-09T08:02:00Z</cp:lastPrinted>
  <dcterms:modified xsi:type="dcterms:W3CDTF">2023-08-31T07:55:19Z</dcterms:modified>
  <dc:title>宜章县物价局</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29570B6B9A7C4CA59DD428148B722098_12</vt:lpwstr>
  </property>
</Properties>
</file>