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eastAsia="zh-CN"/>
        </w:rPr>
        <w:t>蓝山县</w:t>
      </w:r>
      <w:r>
        <w:rPr>
          <w:rFonts w:hint="eastAsia" w:ascii="宋体" w:hAnsi="宋体" w:eastAsia="宋体" w:cs="宋体"/>
          <w:b/>
          <w:bCs/>
          <w:sz w:val="44"/>
          <w:szCs w:val="44"/>
          <w:lang w:val="en-US" w:eastAsia="zh-CN"/>
        </w:rPr>
        <w:t>2020年度</w:t>
      </w:r>
      <w:r>
        <w:rPr>
          <w:rFonts w:hint="eastAsia" w:ascii="宋体" w:hAnsi="宋体" w:eastAsia="宋体" w:cs="宋体"/>
          <w:b/>
          <w:bCs/>
          <w:sz w:val="44"/>
          <w:szCs w:val="44"/>
        </w:rPr>
        <w:t>重大政策和重点项目绩效执行结果</w:t>
      </w:r>
      <w:r>
        <w:rPr>
          <w:rFonts w:hint="eastAsia" w:ascii="宋体" w:hAnsi="宋体" w:eastAsia="宋体" w:cs="宋体"/>
          <w:b/>
          <w:bCs/>
          <w:sz w:val="44"/>
          <w:szCs w:val="44"/>
          <w:lang w:val="en-US" w:eastAsia="zh-CN"/>
        </w:rPr>
        <w:t>情况说明</w:t>
      </w:r>
    </w:p>
    <w:bookmarkEnd w:id="0"/>
    <w:p>
      <w:pPr>
        <w:jc w:val="center"/>
        <w:rPr>
          <w:rFonts w:hint="eastAsia" w:ascii="宋体" w:hAnsi="宋体" w:eastAsia="宋体" w:cs="宋体"/>
          <w:sz w:val="44"/>
          <w:szCs w:val="44"/>
          <w:lang w:val="en-US" w:eastAsia="zh-CN"/>
        </w:rPr>
      </w:pPr>
    </w:p>
    <w:p>
      <w:pPr>
        <w:numPr>
          <w:ilvl w:val="0"/>
          <w:numId w:val="0"/>
        </w:numPr>
        <w:spacing w:line="500" w:lineRule="exact"/>
        <w:ind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2020年度，我县</w:t>
      </w:r>
      <w:r>
        <w:rPr>
          <w:rFonts w:hint="eastAsia" w:ascii="宋体" w:hAnsi="宋体" w:eastAsia="宋体" w:cs="宋体"/>
          <w:sz w:val="28"/>
          <w:szCs w:val="28"/>
          <w:highlight w:val="none"/>
          <w:lang w:val="en-US" w:eastAsia="zh-CN"/>
        </w:rPr>
        <w:t>认真贯彻落实党中央、国务院决策部署，把思想认识和行动统一到党中央、国务院和省委省政府决策部署上来，进一步提高政治站位，增强责任感和紧迫感，</w:t>
      </w:r>
      <w:r>
        <w:rPr>
          <w:rFonts w:hint="eastAsia" w:ascii="宋体" w:hAnsi="宋体" w:eastAsia="宋体" w:cs="宋体"/>
          <w:sz w:val="28"/>
          <w:szCs w:val="28"/>
          <w:highlight w:val="none"/>
          <w:lang w:val="en-US" w:eastAsia="zh-CN"/>
        </w:rPr>
        <w:t>发挥好财政职能作用，把钱用到刀刃上，花出效益来，做到少花钱，多办事，办好事。</w:t>
      </w:r>
    </w:p>
    <w:p>
      <w:pPr>
        <w:numPr>
          <w:ilvl w:val="0"/>
          <w:numId w:val="0"/>
        </w:numPr>
        <w:spacing w:line="500" w:lineRule="exact"/>
        <w:ind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在开展部门自评的基础上，按照“资金量大、代表性强、社会关注度高”的原则，我们</w:t>
      </w:r>
      <w:r>
        <w:rPr>
          <w:rFonts w:hint="eastAsia" w:ascii="宋体" w:hAnsi="宋体" w:eastAsia="宋体" w:cs="宋体"/>
          <w:sz w:val="28"/>
          <w:szCs w:val="28"/>
          <w:highlight w:val="none"/>
          <w:lang w:val="en-US" w:eastAsia="zh-CN"/>
        </w:rPr>
        <w:t>围绕</w:t>
      </w:r>
      <w:r>
        <w:rPr>
          <w:rFonts w:hint="eastAsia" w:ascii="宋体" w:hAnsi="宋体" w:eastAsia="宋体" w:cs="宋体"/>
          <w:sz w:val="28"/>
          <w:szCs w:val="28"/>
          <w:highlight w:val="none"/>
          <w:lang w:val="en-US" w:eastAsia="zh-CN"/>
        </w:rPr>
        <w:t>县</w:t>
      </w:r>
      <w:r>
        <w:rPr>
          <w:rFonts w:hint="eastAsia" w:ascii="宋体" w:hAnsi="宋体" w:eastAsia="宋体" w:cs="宋体"/>
          <w:sz w:val="28"/>
          <w:szCs w:val="28"/>
          <w:highlight w:val="none"/>
          <w:lang w:val="en-US" w:eastAsia="zh-CN"/>
        </w:rPr>
        <w:t>委、</w:t>
      </w:r>
      <w:r>
        <w:rPr>
          <w:rFonts w:hint="eastAsia" w:ascii="宋体" w:hAnsi="宋体" w:eastAsia="宋体" w:cs="宋体"/>
          <w:sz w:val="28"/>
          <w:szCs w:val="28"/>
          <w:highlight w:val="none"/>
          <w:lang w:val="en-US" w:eastAsia="zh-CN"/>
        </w:rPr>
        <w:t>县</w:t>
      </w:r>
      <w:r>
        <w:rPr>
          <w:rFonts w:hint="eastAsia" w:ascii="宋体" w:hAnsi="宋体" w:eastAsia="宋体" w:cs="宋体"/>
          <w:sz w:val="28"/>
          <w:szCs w:val="28"/>
          <w:highlight w:val="none"/>
          <w:lang w:val="en-US" w:eastAsia="zh-CN"/>
        </w:rPr>
        <w:t>政府重大决策部署，</w:t>
      </w:r>
      <w:r>
        <w:rPr>
          <w:rFonts w:hint="eastAsia" w:ascii="宋体" w:hAnsi="宋体" w:eastAsia="宋体" w:cs="宋体"/>
          <w:sz w:val="28"/>
          <w:szCs w:val="28"/>
          <w:highlight w:val="none"/>
          <w:lang w:val="en-US" w:eastAsia="zh-CN"/>
        </w:rPr>
        <w:t>选取了11个项目委托第三方机构进行重点评价。其中，部门整体支出5个，资金总额6350元；项目支出6个，资金总额19010元；总金额达25360万元，覆盖</w:t>
      </w:r>
      <w:r>
        <w:rPr>
          <w:rFonts w:hint="eastAsia" w:ascii="宋体" w:hAnsi="宋体" w:eastAsia="宋体" w:cs="宋体"/>
          <w:sz w:val="28"/>
          <w:szCs w:val="28"/>
          <w:highlight w:val="none"/>
          <w:lang w:val="en-US" w:eastAsia="zh-CN"/>
        </w:rPr>
        <w:t>债劵资金、</w:t>
      </w:r>
      <w:r>
        <w:rPr>
          <w:rFonts w:hint="eastAsia" w:ascii="宋体" w:hAnsi="宋体" w:eastAsia="宋体" w:cs="宋体"/>
          <w:sz w:val="28"/>
          <w:szCs w:val="28"/>
          <w:highlight w:val="none"/>
          <w:lang w:val="en-US" w:eastAsia="zh-CN"/>
        </w:rPr>
        <w:t>涉农整合资金</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en-US" w:eastAsia="zh-CN"/>
        </w:rPr>
        <w:t>民生工程</w:t>
      </w:r>
      <w:r>
        <w:rPr>
          <w:rFonts w:hint="eastAsia" w:ascii="宋体" w:hAnsi="宋体" w:eastAsia="宋体" w:cs="宋体"/>
          <w:sz w:val="28"/>
          <w:szCs w:val="28"/>
          <w:highlight w:val="none"/>
          <w:lang w:val="en-US" w:eastAsia="zh-CN"/>
        </w:rPr>
        <w:t>等重点领域。</w:t>
      </w:r>
    </w:p>
    <w:p>
      <w:pPr>
        <w:numPr>
          <w:ilvl w:val="0"/>
          <w:numId w:val="0"/>
        </w:numPr>
        <w:spacing w:line="500" w:lineRule="exact"/>
        <w:ind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（一）2020年度重点民生资金项目绩效执行结果</w:t>
      </w:r>
    </w:p>
    <w:p>
      <w:pPr>
        <w:numPr>
          <w:ilvl w:val="0"/>
          <w:numId w:val="1"/>
        </w:numPr>
        <w:spacing w:line="500" w:lineRule="exact"/>
        <w:ind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为实现城市精细化管理，提高城市管理水平和环境卫生整体质量，巩固蓝山县国家文明卫生城市，本年度蓝山县城区清扫保洁市场化运营项目投入县级资金1098万元。2、蓝山县是传统的养殖大县，过去养殖场所粪污只通过简单处理后直接排放，容易造成二次污染。为切实保护环境卫生，提高全县人民生活质量，2020年畜禽粪污资源化利用整县推进项目投入资金1900万元。</w:t>
      </w:r>
    </w:p>
    <w:p>
      <w:pPr>
        <w:pStyle w:val="2"/>
        <w:numPr>
          <w:ilvl w:val="0"/>
          <w:numId w:val="0"/>
        </w:numPr>
        <w:rPr>
          <w:rFonts w:hint="eastAsia" w:ascii="宋体" w:hAnsi="宋体" w:eastAsia="宋体" w:cs="宋体"/>
          <w:lang w:val="en-US" w:eastAsia="zh-CN"/>
        </w:rPr>
      </w:pPr>
      <w:r>
        <w:rPr>
          <w:rFonts w:hint="eastAsia" w:ascii="宋体" w:hAnsi="宋体" w:eastAsia="宋体" w:cs="宋体"/>
          <w:lang w:val="en-US" w:eastAsia="zh-CN"/>
        </w:rPr>
        <w:t xml:space="preserve">     </w:t>
      </w:r>
    </w:p>
    <w:p>
      <w:pPr>
        <w:pStyle w:val="2"/>
        <w:numPr>
          <w:ilvl w:val="0"/>
          <w:numId w:val="0"/>
        </w:numPr>
        <w:rPr>
          <w:rFonts w:hint="eastAsia" w:ascii="宋体" w:hAnsi="宋体" w:eastAsia="宋体" w:cs="宋体"/>
          <w:kern w:val="2"/>
          <w:sz w:val="28"/>
          <w:szCs w:val="28"/>
          <w:highlight w:val="none"/>
          <w:lang w:val="en-US" w:eastAsia="zh-CN" w:bidi="ar-SA"/>
        </w:rPr>
      </w:pPr>
      <w:r>
        <w:rPr>
          <w:rFonts w:hint="eastAsia" w:ascii="宋体" w:hAnsi="宋体" w:eastAsia="宋体" w:cs="宋体"/>
          <w:lang w:val="en-US" w:eastAsia="zh-CN"/>
        </w:rPr>
        <w:t xml:space="preserve">     </w:t>
      </w:r>
      <w:r>
        <w:rPr>
          <w:rFonts w:hint="eastAsia" w:ascii="宋体" w:hAnsi="宋体" w:eastAsia="宋体" w:cs="宋体"/>
          <w:kern w:val="2"/>
          <w:sz w:val="28"/>
          <w:szCs w:val="28"/>
          <w:highlight w:val="none"/>
          <w:lang w:val="en-US" w:eastAsia="zh-CN" w:bidi="ar-SA"/>
        </w:rPr>
        <w:t>同时，评价发现了粪污处理中心项目进度慢，市场化清扫运营区域监管不到位等问题。</w:t>
      </w:r>
    </w:p>
    <w:p>
      <w:pPr>
        <w:rPr>
          <w:rFonts w:hint="eastAsia" w:ascii="宋体" w:hAnsi="宋体" w:eastAsia="宋体" w:cs="宋体"/>
          <w:lang w:val="en-US" w:eastAsia="zh-CN"/>
        </w:rPr>
      </w:pPr>
    </w:p>
    <w:p>
      <w:pPr>
        <w:ind w:firstLine="320" w:firstLineChars="100"/>
        <w:rPr>
          <w:rFonts w:hint="eastAsia" w:ascii="宋体" w:hAnsi="宋体" w:eastAsia="宋体" w:cs="宋体"/>
          <w:lang w:val="en-US" w:eastAsia="zh-CN"/>
        </w:rPr>
      </w:pPr>
      <w:r>
        <w:rPr>
          <w:rFonts w:hint="eastAsia" w:ascii="宋体" w:hAnsi="宋体" w:eastAsia="宋体" w:cs="宋体"/>
          <w:kern w:val="2"/>
          <w:sz w:val="32"/>
          <w:szCs w:val="32"/>
          <w:lang w:val="en-US" w:eastAsia="zh-CN" w:bidi="ar-SA"/>
        </w:rPr>
        <w:t>（二）</w:t>
      </w:r>
      <w:r>
        <w:rPr>
          <w:rFonts w:hint="eastAsia" w:ascii="宋体" w:hAnsi="宋体" w:eastAsia="宋体" w:cs="宋体"/>
          <w:bCs/>
          <w:sz w:val="28"/>
          <w:szCs w:val="28"/>
          <w:lang w:eastAsia="zh-CN"/>
        </w:rPr>
        <w:t>地方政法基础设施</w:t>
      </w:r>
      <w:r>
        <w:rPr>
          <w:rFonts w:hint="eastAsia" w:ascii="宋体" w:hAnsi="宋体" w:eastAsia="宋体" w:cs="宋体"/>
          <w:bCs/>
          <w:sz w:val="28"/>
          <w:szCs w:val="28"/>
        </w:rPr>
        <w:t>建设</w:t>
      </w:r>
      <w:r>
        <w:rPr>
          <w:rFonts w:hint="eastAsia" w:ascii="宋体" w:hAnsi="宋体" w:eastAsia="宋体" w:cs="宋体"/>
          <w:bCs/>
          <w:sz w:val="28"/>
          <w:szCs w:val="28"/>
          <w:lang w:eastAsia="zh-CN"/>
        </w:rPr>
        <w:t>“二所合一”建设</w:t>
      </w:r>
      <w:r>
        <w:rPr>
          <w:rFonts w:hint="eastAsia" w:ascii="宋体" w:hAnsi="宋体" w:eastAsia="宋体" w:cs="宋体"/>
          <w:bCs/>
          <w:sz w:val="28"/>
          <w:szCs w:val="28"/>
          <w:highlight w:val="none"/>
          <w:lang w:val="en-US" w:eastAsia="zh-CN"/>
        </w:rPr>
        <w:t>项目</w:t>
      </w:r>
      <w:r>
        <w:rPr>
          <w:rFonts w:hint="eastAsia" w:ascii="宋体" w:hAnsi="宋体" w:eastAsia="宋体" w:cs="宋体"/>
          <w:bCs/>
          <w:sz w:val="28"/>
          <w:szCs w:val="28"/>
          <w:lang w:eastAsia="zh-CN"/>
        </w:rPr>
        <w:t>绩效执行结果</w:t>
      </w:r>
    </w:p>
    <w:p>
      <w:pPr>
        <w:numPr>
          <w:ilvl w:val="0"/>
          <w:numId w:val="0"/>
        </w:numPr>
        <w:spacing w:line="500" w:lineRule="exact"/>
        <w:ind w:firstLineChars="200"/>
        <w:rPr>
          <w:rFonts w:hint="eastAsia" w:ascii="宋体" w:hAnsi="宋体" w:eastAsia="宋体" w:cs="宋体"/>
          <w:sz w:val="28"/>
          <w:szCs w:val="28"/>
          <w:highlight w:val="none"/>
        </w:rPr>
      </w:pPr>
      <w:r>
        <w:rPr>
          <w:rFonts w:hint="eastAsia" w:ascii="宋体" w:hAnsi="宋体" w:eastAsia="宋体" w:cs="宋体"/>
          <w:bCs/>
          <w:sz w:val="28"/>
          <w:szCs w:val="28"/>
          <w:lang w:eastAsia="zh-CN"/>
        </w:rPr>
        <w:t>地方政法基础设施</w:t>
      </w:r>
      <w:r>
        <w:rPr>
          <w:rFonts w:hint="eastAsia" w:ascii="宋体" w:hAnsi="宋体" w:eastAsia="宋体" w:cs="宋体"/>
          <w:bCs/>
          <w:sz w:val="28"/>
          <w:szCs w:val="28"/>
        </w:rPr>
        <w:t>建设</w:t>
      </w:r>
      <w:r>
        <w:rPr>
          <w:rFonts w:hint="eastAsia" w:ascii="宋体" w:hAnsi="宋体" w:eastAsia="宋体" w:cs="宋体"/>
          <w:bCs/>
          <w:sz w:val="28"/>
          <w:szCs w:val="28"/>
          <w:lang w:eastAsia="zh-CN"/>
        </w:rPr>
        <w:t>“二所合一”建设</w:t>
      </w:r>
      <w:r>
        <w:rPr>
          <w:rFonts w:hint="eastAsia" w:ascii="宋体" w:hAnsi="宋体" w:eastAsia="宋体" w:cs="宋体"/>
          <w:bCs/>
          <w:sz w:val="28"/>
          <w:szCs w:val="28"/>
          <w:highlight w:val="none"/>
          <w:lang w:val="en-US" w:eastAsia="zh-CN"/>
        </w:rPr>
        <w:t>项目，建筑面积看守所13080平方米，拘留所2446平方米，中央预算内投资2313万元，2020年下达资金1323万元。该项目建设可以将两所的人力、物力、财力资源集中管理，大大节约财政开支，做到资源共享，发挥效率，为加强地方政法基础设施建设，维护社会稳定，促进社会和谐发展奠定基础。</w:t>
      </w:r>
    </w:p>
    <w:p>
      <w:pPr>
        <w:spacing w:line="600" w:lineRule="exact"/>
        <w:ind w:firstLine="560" w:firstLineChars="200"/>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同时，评价</w:t>
      </w:r>
      <w:r>
        <w:rPr>
          <w:rFonts w:hint="eastAsia" w:ascii="宋体" w:hAnsi="宋体" w:eastAsia="宋体" w:cs="宋体"/>
          <w:b w:val="0"/>
          <w:bCs w:val="0"/>
          <w:kern w:val="2"/>
          <w:sz w:val="28"/>
          <w:szCs w:val="28"/>
          <w:highlight w:val="none"/>
          <w:lang w:val="en-US" w:eastAsia="zh-CN" w:bidi="ar-SA"/>
        </w:rPr>
        <w:t>还发现了</w:t>
      </w:r>
      <w:r>
        <w:rPr>
          <w:rFonts w:hint="eastAsia" w:ascii="宋体" w:hAnsi="宋体" w:eastAsia="宋体" w:cs="宋体"/>
          <w:b w:val="0"/>
          <w:bCs w:val="0"/>
          <w:kern w:val="2"/>
          <w:sz w:val="28"/>
          <w:szCs w:val="28"/>
          <w:highlight w:val="none"/>
          <w:lang w:val="en-US" w:eastAsia="zh-CN" w:bidi="ar-SA"/>
        </w:rPr>
        <w:t>项目建设进度慢，预算执行力低等问题</w:t>
      </w:r>
      <w:r>
        <w:rPr>
          <w:rFonts w:hint="eastAsia" w:ascii="宋体" w:hAnsi="宋体" w:eastAsia="宋体" w:cs="宋体"/>
          <w:b w:val="0"/>
          <w:bCs w:val="0"/>
          <w:kern w:val="2"/>
          <w:sz w:val="28"/>
          <w:szCs w:val="28"/>
          <w:highlight w:val="none"/>
          <w:lang w:val="en-US" w:eastAsia="zh-CN" w:bidi="ar-SA"/>
        </w:rPr>
        <w:t>。</w:t>
      </w:r>
    </w:p>
    <w:p>
      <w:pPr>
        <w:pStyle w:val="2"/>
        <w:numPr>
          <w:ilvl w:val="0"/>
          <w:numId w:val="2"/>
        </w:numPr>
        <w:ind w:firstLine="280" w:firstLineChars="100"/>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医疗卫生方面绩效执行结果</w:t>
      </w:r>
    </w:p>
    <w:p>
      <w:pPr>
        <w:numPr>
          <w:ilvl w:val="0"/>
          <w:numId w:val="0"/>
        </w:numPr>
        <w:spacing w:line="500" w:lineRule="exact"/>
        <w:ind w:firstLineChars="200"/>
        <w:rPr>
          <w:rFonts w:hint="eastAsia" w:ascii="宋体" w:hAnsi="宋体" w:eastAsia="宋体" w:cs="宋体"/>
          <w:sz w:val="28"/>
          <w:szCs w:val="28"/>
          <w:highlight w:val="none"/>
          <w:lang w:val="en-US" w:eastAsia="zh-CN"/>
        </w:rPr>
      </w:pPr>
      <w:r>
        <w:rPr>
          <w:rFonts w:hint="eastAsia" w:ascii="宋体" w:hAnsi="宋体" w:eastAsia="宋体" w:cs="宋体"/>
          <w:b w:val="0"/>
          <w:bCs w:val="0"/>
          <w:kern w:val="2"/>
          <w:sz w:val="28"/>
          <w:szCs w:val="28"/>
          <w:highlight w:val="none"/>
          <w:lang w:val="en-US" w:eastAsia="zh-CN" w:bidi="ar-SA"/>
        </w:rPr>
        <w:t>2020年公共卫生体系建设和重大疫情防控救治体系建设补助资金投入608万元。城镇职工基本医疗保险基金项目</w:t>
      </w:r>
      <w:r>
        <w:rPr>
          <w:rFonts w:hint="eastAsia" w:ascii="宋体" w:hAnsi="宋体" w:eastAsia="宋体" w:cs="宋体"/>
          <w:bCs/>
          <w:sz w:val="28"/>
          <w:szCs w:val="28"/>
          <w:highlight w:val="none"/>
          <w:lang w:val="en-US" w:eastAsia="zh-CN"/>
        </w:rPr>
        <w:t>项目2020年度共投入9476万元</w:t>
      </w:r>
      <w:r>
        <w:rPr>
          <w:rFonts w:hint="eastAsia" w:ascii="宋体" w:hAnsi="宋体" w:eastAsia="宋体" w:cs="宋体"/>
          <w:b w:val="0"/>
          <w:bCs w:val="0"/>
          <w:sz w:val="28"/>
          <w:szCs w:val="28"/>
          <w:highlight w:val="none"/>
          <w:lang w:val="en-US" w:eastAsia="zh-CN"/>
        </w:rPr>
        <w:t>，2020年蓝山县参保人数20058人，其中在职人员13518人，退休6540人，预计完成可筹集资金7000万元。公共卫生和疫情防控及城镇职工基本医疗得到保障，有效提高广大人民群众和城镇职工生活质量和抵御重大疾病的风险能力，为促进社会稳定和构建和谐社会作出较大贡献。</w:t>
      </w:r>
    </w:p>
    <w:p>
      <w:pPr>
        <w:pStyle w:val="2"/>
        <w:numPr>
          <w:ilvl w:val="0"/>
          <w:numId w:val="0"/>
        </w:num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b w:val="0"/>
          <w:bCs w:val="0"/>
          <w:kern w:val="2"/>
          <w:sz w:val="28"/>
          <w:szCs w:val="28"/>
          <w:highlight w:val="none"/>
          <w:lang w:val="en-US" w:eastAsia="zh-CN" w:bidi="ar-SA"/>
        </w:rPr>
        <w:t>同时，评价</w:t>
      </w:r>
      <w:r>
        <w:rPr>
          <w:rFonts w:hint="eastAsia" w:ascii="宋体" w:hAnsi="宋体" w:eastAsia="宋体" w:cs="宋体"/>
          <w:b w:val="0"/>
          <w:bCs w:val="0"/>
          <w:kern w:val="2"/>
          <w:sz w:val="28"/>
          <w:szCs w:val="28"/>
          <w:highlight w:val="none"/>
          <w:lang w:val="en-US" w:eastAsia="zh-CN" w:bidi="ar-SA"/>
        </w:rPr>
        <w:t>还发现了相关管理制度需进一步健全</w:t>
      </w:r>
      <w:r>
        <w:rPr>
          <w:rFonts w:hint="eastAsia" w:ascii="宋体" w:hAnsi="宋体" w:eastAsia="宋体" w:cs="宋体"/>
          <w:b w:val="0"/>
          <w:bCs w:val="0"/>
          <w:kern w:val="2"/>
          <w:sz w:val="28"/>
          <w:szCs w:val="28"/>
          <w:highlight w:val="none"/>
          <w:lang w:val="en-US" w:eastAsia="zh-CN" w:bidi="ar-SA"/>
        </w:rPr>
        <w:t>、</w:t>
      </w:r>
      <w:r>
        <w:rPr>
          <w:rFonts w:hint="eastAsia" w:ascii="宋体" w:hAnsi="宋体" w:eastAsia="宋体" w:cs="宋体"/>
          <w:sz w:val="28"/>
          <w:szCs w:val="28"/>
          <w:highlight w:val="none"/>
          <w:lang w:val="en-US" w:eastAsia="zh-CN"/>
        </w:rPr>
        <w:t>收支管理方面需加强等问题。</w:t>
      </w:r>
    </w:p>
    <w:p>
      <w:pPr>
        <w:pStyle w:val="2"/>
        <w:numPr>
          <w:ilvl w:val="0"/>
          <w:numId w:val="2"/>
        </w:numPr>
        <w:ind w:firstLine="280" w:firstLineChars="100"/>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困难群众救助专项资金绩效执行结果</w:t>
      </w:r>
    </w:p>
    <w:p>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2020年困难群众救助资金实际支出4605万元，切实保障了困难群众的群益与其基本生活，较好地化解了城乡居民临时性、突发性、紧迫性困难，维护了困难群众的人格尊严，将党和政府的温暖送到了困难群众手中，促进了社会的和谐稳定，可预见未来仍可持续运行。</w:t>
      </w:r>
    </w:p>
    <w:p>
      <w:pPr>
        <w:pStyle w:val="2"/>
        <w:ind w:firstLine="560" w:firstLineChars="200"/>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同时，评价</w:t>
      </w:r>
      <w:r>
        <w:rPr>
          <w:rFonts w:hint="eastAsia" w:ascii="宋体" w:hAnsi="宋体" w:eastAsia="宋体" w:cs="宋体"/>
          <w:b w:val="0"/>
          <w:bCs w:val="0"/>
          <w:kern w:val="2"/>
          <w:sz w:val="28"/>
          <w:szCs w:val="28"/>
          <w:highlight w:val="none"/>
          <w:lang w:val="en-US" w:eastAsia="zh-CN" w:bidi="ar-SA"/>
        </w:rPr>
        <w:t>还发现了</w:t>
      </w:r>
      <w:r>
        <w:rPr>
          <w:rFonts w:hint="eastAsia" w:ascii="宋体" w:hAnsi="宋体" w:eastAsia="宋体" w:cs="宋体"/>
          <w:b w:val="0"/>
          <w:bCs w:val="0"/>
          <w:kern w:val="2"/>
          <w:sz w:val="28"/>
          <w:szCs w:val="28"/>
          <w:highlight w:val="none"/>
          <w:lang w:val="en-US" w:eastAsia="zh-CN" w:bidi="ar-SA"/>
        </w:rPr>
        <w:t>项目绩效目标体系设定不够完善、资金发放时效性有待提高等问题。</w:t>
      </w:r>
    </w:p>
    <w:p>
      <w:pPr>
        <w:pStyle w:val="2"/>
        <w:widowControl w:val="0"/>
        <w:numPr>
          <w:ilvl w:val="0"/>
          <w:numId w:val="0"/>
        </w:numPr>
        <w:spacing w:after="120"/>
        <w:jc w:val="both"/>
        <w:rPr>
          <w:rFonts w:hint="eastAsia" w:ascii="宋体" w:hAnsi="宋体" w:eastAsia="宋体" w:cs="宋体"/>
          <w:b w:val="0"/>
          <w:bCs w:val="0"/>
          <w:kern w:val="2"/>
          <w:sz w:val="28"/>
          <w:szCs w:val="28"/>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893E0"/>
    <w:multiLevelType w:val="singleLevel"/>
    <w:tmpl w:val="59C893E0"/>
    <w:lvl w:ilvl="0" w:tentative="0">
      <w:start w:val="1"/>
      <w:numFmt w:val="decimal"/>
      <w:suff w:val="nothing"/>
      <w:lvlText w:val="%1、"/>
      <w:lvlJc w:val="left"/>
    </w:lvl>
  </w:abstractNum>
  <w:abstractNum w:abstractNumId="1">
    <w:nsid w:val="7B469AA2"/>
    <w:multiLevelType w:val="singleLevel"/>
    <w:tmpl w:val="7B469AA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Zjg2ZDFiNjRmOGE5MTQ5YjdmZTI4NjQwN2JiOTgifQ=="/>
  </w:docVars>
  <w:rsids>
    <w:rsidRoot w:val="00000000"/>
    <w:rsid w:val="132E750E"/>
    <w:rsid w:val="1E6420F4"/>
    <w:rsid w:val="42F13C42"/>
    <w:rsid w:val="51665C64"/>
    <w:rsid w:val="609638C2"/>
    <w:rsid w:val="609E0615"/>
    <w:rsid w:val="64770A10"/>
    <w:rsid w:val="68472D96"/>
    <w:rsid w:val="76A22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table of authorities"/>
    <w:basedOn w:val="1"/>
    <w:next w:val="1"/>
    <w:qFormat/>
    <w:uiPriority w:val="0"/>
    <w:pPr>
      <w:ind w:left="420" w:leftChars="200"/>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2"/>
    <w:qFormat/>
    <w:uiPriority w:val="0"/>
    <w:pPr>
      <w:widowControl w:val="0"/>
      <w:tabs>
        <w:tab w:val="left" w:pos="630"/>
      </w:tabs>
      <w:ind w:left="420" w:leftChars="200" w:firstLine="420"/>
      <w:jc w:val="both"/>
    </w:pPr>
    <w:rPr>
      <w:rFonts w:hint="eastAsia" w:ascii="Times New Roman" w:hAnsi="Times New Roman" w:eastAsia="宋体" w:cs="Times New Roman"/>
      <w:kern w:val="2"/>
      <w:lang w:val="en-US" w:eastAsia="zh-CN" w:bidi="ar-SA"/>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1087</Words>
  <Characters>1167</Characters>
  <Lines>0</Lines>
  <Paragraphs>0</Paragraphs>
  <TotalTime>18</TotalTime>
  <ScaleCrop>false</ScaleCrop>
  <LinksUpToDate>false</LinksUpToDate>
  <CharactersWithSpaces>1177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2022-08-24T09:09:00Z</dcterms:created>
  <dc:creator>Administrator</dc:creator>
  <cp:lastModifiedBy>柠檬</cp:lastModifiedBy>
  <dcterms:modified xsi:type="dcterms:W3CDTF">2022-08-27T11:40:26Z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4CB33290278441F990325F2B8578FE63</vt:lpwstr>
  </property>
</Properties>
</file>