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蓝山县老干部服务中心单位</w:t>
      </w:r>
      <w:r>
        <w:rPr>
          <w:rFonts w:hint="eastAsia" w:ascii="方正小标宋简体" w:hAnsi="方正小标宋简体" w:eastAsia="方正小标宋简体" w:cs="方正小标宋简体"/>
          <w:sz w:val="44"/>
          <w:szCs w:val="44"/>
        </w:rPr>
        <w:t>2019年度部门决算</w:t>
      </w:r>
      <w:r>
        <w:rPr>
          <w:rFonts w:hint="eastAsia" w:ascii="方正小标宋简体" w:hAnsi="方正小标宋简体" w:eastAsia="方正小标宋简体" w:cs="方正小标宋简体"/>
          <w:sz w:val="44"/>
          <w:szCs w:val="44"/>
          <w:lang w:val="en-US" w:eastAsia="zh-CN"/>
        </w:rPr>
        <w:t>公开</w:t>
      </w:r>
    </w:p>
    <w:p>
      <w:pPr>
        <w:pStyle w:val="10"/>
        <w:spacing w:line="52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目录</w:t>
      </w:r>
    </w:p>
    <w:p>
      <w:pPr>
        <w:pStyle w:val="10"/>
        <w:keepNext w:val="0"/>
        <w:keepLines w:val="0"/>
        <w:pageBreakBefore w:val="0"/>
        <w:widowControl w:val="0"/>
        <w:kinsoku/>
        <w:wordWrap/>
        <w:overflowPunct/>
        <w:topLinePunct w:val="0"/>
        <w:bidi w:val="0"/>
        <w:snapToGrid/>
        <w:spacing w:line="480" w:lineRule="exact"/>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第一部分</w:t>
      </w:r>
      <w:r>
        <w:rPr>
          <w:rFonts w:hint="eastAsia" w:ascii="仿宋_GB2312" w:hAnsi="仿宋_GB2312" w:eastAsia="仿宋_GB2312" w:cs="仿宋_GB2312"/>
          <w:b/>
          <w:sz w:val="32"/>
          <w:szCs w:val="32"/>
          <w:u w:val="none"/>
          <w:lang w:val="en-US" w:eastAsia="zh-CN"/>
        </w:rPr>
        <w:t>老干部服务中心单位</w:t>
      </w:r>
      <w:r>
        <w:rPr>
          <w:rFonts w:hint="eastAsia" w:ascii="仿宋_GB2312" w:hAnsi="仿宋_GB2312" w:eastAsia="仿宋_GB2312" w:cs="仿宋_GB2312"/>
          <w:b/>
          <w:sz w:val="32"/>
          <w:szCs w:val="32"/>
        </w:rPr>
        <w:t>概况</w:t>
      </w:r>
    </w:p>
    <w:p>
      <w:pPr>
        <w:pStyle w:val="10"/>
        <w:keepNext w:val="0"/>
        <w:keepLines w:val="0"/>
        <w:pageBreakBefore w:val="0"/>
        <w:widowControl w:val="0"/>
        <w:numPr>
          <w:ilvl w:val="0"/>
          <w:numId w:val="1"/>
        </w:numPr>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部门职责</w:t>
      </w:r>
    </w:p>
    <w:p>
      <w:pPr>
        <w:pStyle w:val="10"/>
        <w:keepNext w:val="0"/>
        <w:keepLines w:val="0"/>
        <w:pageBreakBefore w:val="0"/>
        <w:widowControl w:val="0"/>
        <w:numPr>
          <w:ilvl w:val="0"/>
          <w:numId w:val="1"/>
        </w:numPr>
        <w:kinsoku/>
        <w:wordWrap/>
        <w:overflowPunct/>
        <w:topLinePunct w:val="0"/>
        <w:bidi w:val="0"/>
        <w:snapToGrid/>
        <w:spacing w:line="480" w:lineRule="exact"/>
        <w:ind w:left="0" w:leftChars="0"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机构设置</w:t>
      </w:r>
    </w:p>
    <w:p>
      <w:pPr>
        <w:pStyle w:val="10"/>
        <w:keepNext w:val="0"/>
        <w:keepLines w:val="0"/>
        <w:pageBreakBefore w:val="0"/>
        <w:widowControl w:val="0"/>
        <w:kinsoku/>
        <w:wordWrap/>
        <w:overflowPunct/>
        <w:topLinePunct w:val="0"/>
        <w:bidi w:val="0"/>
        <w:snapToGrid/>
        <w:spacing w:line="480" w:lineRule="exact"/>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第二部分2019年度部门决算表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一、收入支出决算总表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二、收入决算表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三、支出决算表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四、财政拨款收入支出决算总表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五、一般公共预算财政拨款支出决算表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六、一般公共预算财政拨款基本支出决算表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七、一般公共预算财政拨款“三公”经费支出决算表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八、政府性基金预算财政拨款收入支出决算表</w:t>
      </w:r>
    </w:p>
    <w:p>
      <w:pPr>
        <w:pStyle w:val="10"/>
        <w:keepNext w:val="0"/>
        <w:keepLines w:val="0"/>
        <w:pageBreakBefore w:val="0"/>
        <w:widowControl w:val="0"/>
        <w:kinsoku/>
        <w:wordWrap/>
        <w:overflowPunct/>
        <w:topLinePunct w:val="0"/>
        <w:bidi w:val="0"/>
        <w:snapToGrid/>
        <w:spacing w:line="480" w:lineRule="exact"/>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第三部分2019年度部门决算情况说明</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一、收入支出决算总体情况说明</w:t>
      </w:r>
      <w:bookmarkStart w:id="2" w:name="_GoBack"/>
      <w:bookmarkEnd w:id="2"/>
    </w:p>
    <w:p>
      <w:pPr>
        <w:keepNext w:val="0"/>
        <w:keepLines w:val="0"/>
        <w:pageBreakBefore w:val="0"/>
        <w:widowControl w:val="0"/>
        <w:kinsoku/>
        <w:wordWrap/>
        <w:overflowPunct/>
        <w:topLinePunct w:val="0"/>
        <w:bidi w:val="0"/>
        <w:snapToGrid/>
        <w:spacing w:line="480" w:lineRule="exact"/>
        <w:ind w:firstLine="800" w:firstLineChars="25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二、收入决算情况说明</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三、支出决算情况说明</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四、财政拨款收入支出决算总体情况说明</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五、一般公共预算财政拨款支出决算情况说明</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六、一般公共预算财政拨款基本支出决算情况说明</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七、一般公共预算财政拨款三公经费支出决算情况说明</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八、政府性基金预算收入支出决算情况</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九、预算绩效情况说明</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十、其他重要事项情况说明</w:t>
      </w:r>
    </w:p>
    <w:p>
      <w:pPr>
        <w:keepNext w:val="0"/>
        <w:keepLines w:val="0"/>
        <w:pageBreakBefore w:val="0"/>
        <w:widowControl w:val="0"/>
        <w:kinsoku/>
        <w:wordWrap/>
        <w:overflowPunct/>
        <w:topLinePunct w:val="0"/>
        <w:autoSpaceDE w:val="0"/>
        <w:autoSpaceDN w:val="0"/>
        <w:bidi w:val="0"/>
        <w:adjustRightInd w:val="0"/>
        <w:snapToGrid/>
        <w:spacing w:line="480" w:lineRule="exact"/>
        <w:jc w:val="left"/>
        <w:textAlignment w:val="auto"/>
        <w:outlineLvl w:val="9"/>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第四部分名词解释</w:t>
      </w:r>
    </w:p>
    <w:p>
      <w:pPr>
        <w:keepNext w:val="0"/>
        <w:keepLines w:val="0"/>
        <w:pageBreakBefore w:val="0"/>
        <w:widowControl w:val="0"/>
        <w:kinsoku/>
        <w:wordWrap/>
        <w:overflowPunct/>
        <w:topLinePunct w:val="0"/>
        <w:bidi w:val="0"/>
        <w:snapToGrid/>
        <w:spacing w:line="480" w:lineRule="exact"/>
        <w:jc w:val="left"/>
        <w:textAlignment w:val="auto"/>
        <w:outlineLvl w:val="9"/>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第五部分附件</w:t>
      </w:r>
    </w:p>
    <w:p>
      <w:pPr>
        <w:keepNext w:val="0"/>
        <w:keepLines w:val="0"/>
        <w:pageBreakBefore w:val="0"/>
        <w:widowControl w:val="0"/>
        <w:kinsoku/>
        <w:wordWrap/>
        <w:overflowPunct/>
        <w:topLinePunct w:val="0"/>
        <w:bidi w:val="0"/>
        <w:snapToGrid/>
        <w:spacing w:line="480" w:lineRule="exact"/>
        <w:jc w:val="center"/>
        <w:textAlignment w:val="auto"/>
        <w:outlineLvl w:val="9"/>
        <w:rPr>
          <w:rFonts w:ascii="黑体" w:hAnsi="黑体" w:eastAsia="黑体"/>
          <w:b/>
          <w:bCs/>
          <w:sz w:val="32"/>
          <w:szCs w:val="32"/>
        </w:rPr>
      </w:pPr>
      <w:r>
        <w:rPr>
          <w:rFonts w:hint="eastAsia" w:ascii="仿宋_GB2312" w:hAnsi="仿宋_GB2312" w:eastAsia="仿宋_GB2312" w:cs="仿宋_GB2312"/>
          <w:b/>
          <w:bCs/>
          <w:sz w:val="32"/>
          <w:szCs w:val="32"/>
        </w:rPr>
        <w:t>第一部分</w:t>
      </w:r>
      <w:r>
        <w:rPr>
          <w:rFonts w:hint="eastAsia" w:ascii="仿宋_GB2312" w:hAnsi="仿宋_GB2312" w:eastAsia="仿宋_GB2312" w:cs="仿宋_GB2312"/>
          <w:b/>
          <w:bCs/>
          <w:sz w:val="32"/>
          <w:szCs w:val="32"/>
          <w:lang w:val="en-US" w:eastAsia="zh-CN"/>
        </w:rPr>
        <w:t>老干部服务中心</w:t>
      </w:r>
      <w:r>
        <w:rPr>
          <w:rFonts w:hint="eastAsia" w:ascii="仿宋_GB2312" w:hAnsi="仿宋_GB2312" w:eastAsia="仿宋_GB2312" w:cs="仿宋_GB2312"/>
          <w:b/>
          <w:bCs/>
          <w:sz w:val="32"/>
          <w:szCs w:val="32"/>
        </w:rPr>
        <w:t>概况</w:t>
      </w:r>
    </w:p>
    <w:p>
      <w:pPr>
        <w:pStyle w:val="11"/>
        <w:numPr>
          <w:ilvl w:val="0"/>
          <w:numId w:val="2"/>
        </w:numPr>
        <w:ind w:firstLineChars="0"/>
        <w:jc w:val="left"/>
        <w:rPr>
          <w:rFonts w:ascii="黑体" w:hAnsi="黑体" w:eastAsia="黑体"/>
          <w:sz w:val="32"/>
          <w:szCs w:val="32"/>
        </w:rPr>
      </w:pPr>
      <w:r>
        <w:rPr>
          <w:rFonts w:ascii="黑体" w:hAnsi="黑体" w:eastAsia="黑体"/>
          <w:sz w:val="32"/>
          <w:szCs w:val="32"/>
        </w:rPr>
        <w:t>部门职责</w:t>
      </w:r>
    </w:p>
    <w:p>
      <w:pPr>
        <w:ind w:firstLine="960" w:firstLineChars="300"/>
        <w:rPr>
          <w:rFonts w:hint="eastAsia" w:ascii="仿宋_GB2312" w:eastAsia="仿宋_GB2312"/>
          <w:sz w:val="32"/>
          <w:szCs w:val="32"/>
          <w:lang w:val="en-US" w:eastAsia="zh-CN"/>
        </w:rPr>
      </w:pPr>
      <w:r>
        <w:rPr>
          <w:rFonts w:hint="eastAsia" w:ascii="仿宋_GB2312" w:eastAsia="仿宋_GB2312"/>
          <w:sz w:val="32"/>
          <w:szCs w:val="32"/>
          <w:lang w:val="en-US" w:eastAsia="zh-CN"/>
        </w:rPr>
        <w:t>1.贯彻落实中央和省、市委有关老干部工作的方针、政策及各项规定，结合本县实际，制定全县老干部工作总体规划和年度工作计划并组织实施。    </w:t>
      </w:r>
    </w:p>
    <w:p>
      <w:pPr>
        <w:ind w:firstLine="960" w:firstLineChars="300"/>
        <w:rPr>
          <w:rFonts w:hint="eastAsia" w:ascii="仿宋_GB2312" w:eastAsia="仿宋_GB2312"/>
          <w:sz w:val="32"/>
          <w:szCs w:val="32"/>
          <w:lang w:val="en-US" w:eastAsia="zh-CN"/>
        </w:rPr>
      </w:pPr>
      <w:r>
        <w:rPr>
          <w:rFonts w:hint="eastAsia" w:ascii="仿宋_GB2312" w:eastAsia="仿宋_GB2312"/>
          <w:sz w:val="32"/>
          <w:szCs w:val="32"/>
          <w:lang w:val="en-US" w:eastAsia="zh-CN"/>
        </w:rPr>
        <w:t> 2、负责全县老干部工作的综合指导和协调工作，了解和掌握全县贯彻执行老干部工作方针、政策的情况。   </w:t>
      </w:r>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3、负责全县老干部的情况调查，认真进行可行性和前瞻性研究，对老干部工作出现的新情况、新问题及时提出相应的措施，为县委、县政府决策提供客观依据。</w:t>
      </w:r>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4、负责老干部党建工作，抓好老干部党支部建设，加强离退休干部的思想政治工作。    </w:t>
      </w:r>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5、负责离休干部政治待遇和生活待遇落实的督查工作。健全和完善离休干部离休费保障机制。   </w:t>
      </w:r>
    </w:p>
    <w:p>
      <w:pPr>
        <w:ind w:firstLine="320" w:firstLineChars="100"/>
        <w:rPr>
          <w:rFonts w:hint="eastAsia" w:ascii="仿宋_GB2312" w:eastAsia="仿宋_GB2312"/>
          <w:sz w:val="32"/>
          <w:szCs w:val="32"/>
          <w:lang w:val="en-US" w:eastAsia="zh-CN"/>
        </w:rPr>
      </w:pPr>
      <w:r>
        <w:rPr>
          <w:rFonts w:hint="eastAsia" w:ascii="仿宋_GB2312" w:eastAsia="仿宋_GB2312"/>
          <w:sz w:val="32"/>
          <w:szCs w:val="32"/>
          <w:lang w:val="en-US" w:eastAsia="zh-CN"/>
        </w:rPr>
        <w:t>   6、配合有关部门抓好老干部医疗保健工作，健全和完善离休干部医疗统筹机制，检查老干部就诊“五优先”等制度的落实情况。    </w:t>
      </w:r>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   </w:t>
      </w:r>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7、负责老干部工作人员和老干部党支部书记的业务培训工作。 </w:t>
      </w:r>
    </w:p>
    <w:p>
      <w:pPr>
        <w:numPr>
          <w:ilvl w:val="0"/>
          <w:numId w:val="0"/>
        </w:num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8、完成县委、县政府和县委组织部及上级业务部门交办的其他工作。（1）协助局领导组织、协调机关日常工作； （2）负责局机关行政管理、人事劳资、纪检监察工作；（3）负责综合性文稿起草、文秘文电处理、信息调研工作；（4）负责对外接待、会议组织、车辆调度和财务物资管理工作；（5）负责老干部来信来访和突出问题呈报与协调工作；（6）负责本局离退休干部管理服务工作；（7）负责局机关文书档案、财务档案和机要保密工作，负责印信管理；（8）负责老干部宣传教育工作。     </w:t>
      </w:r>
    </w:p>
    <w:p>
      <w:pPr>
        <w:ind w:firstLine="800" w:firstLineChars="250"/>
        <w:jc w:val="left"/>
        <w:rPr>
          <w:rFonts w:asciiTheme="minorEastAsia" w:hAnsiTheme="minorEastAsia"/>
          <w:sz w:val="32"/>
          <w:szCs w:val="32"/>
        </w:rPr>
      </w:pPr>
      <w:r>
        <w:rPr>
          <w:rFonts w:hint="eastAsia" w:ascii="仿宋_GB2312" w:eastAsia="仿宋_GB2312"/>
          <w:sz w:val="32"/>
          <w:szCs w:val="32"/>
          <w:lang w:val="en-US" w:eastAsia="zh-CN"/>
        </w:rPr>
        <w:t>9、（1）负责全县老干部工作有关政策规定及贯彻落实措施的草拟工作，负责对全县基层单位贯彻落实老干部工作方针、政策及有关规定的了解综合，对老干部工作出现的新情况、新问题进行调查研究，及时提出建议、意见，为领导决策提供准确客观的依据；（2）配合有关部门做好老干部医疗保健工作，协助做好离休干部急、危、重病员会诊</w:t>
      </w:r>
    </w:p>
    <w:p>
      <w:pPr>
        <w:widowControl/>
        <w:spacing w:line="600" w:lineRule="exact"/>
        <w:rPr>
          <w:rFonts w:ascii="黑体" w:hAnsi="黑体" w:eastAsia="黑体"/>
          <w:bCs/>
          <w:kern w:val="0"/>
          <w:sz w:val="32"/>
          <w:szCs w:val="32"/>
        </w:rPr>
      </w:pPr>
      <w:r>
        <w:rPr>
          <w:rFonts w:hint="eastAsia" w:ascii="黑体" w:hAnsi="黑体" w:eastAsia="黑体"/>
          <w:bCs/>
          <w:kern w:val="0"/>
          <w:sz w:val="32"/>
          <w:szCs w:val="32"/>
        </w:rPr>
        <w:t>二、机构设置及决算单位构成</w:t>
      </w:r>
    </w:p>
    <w:p>
      <w:pPr>
        <w:widowControl/>
        <w:spacing w:line="600" w:lineRule="exact"/>
        <w:rPr>
          <w:rFonts w:hint="eastAsia"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（一）内设机构设置。</w:t>
      </w:r>
    </w:p>
    <w:p>
      <w:pPr>
        <w:pStyle w:val="5"/>
        <w:widowControl/>
        <w:numPr>
          <w:ilvl w:val="0"/>
          <w:numId w:val="0"/>
        </w:numPr>
        <w:pBdr>
          <w:top w:val="none" w:color="auto" w:sz="0" w:space="0"/>
          <w:left w:val="none" w:color="auto" w:sz="0" w:space="0"/>
          <w:bottom w:val="none" w:color="auto" w:sz="0" w:space="0"/>
          <w:right w:val="none" w:color="auto" w:sz="0" w:space="0"/>
        </w:pBdr>
        <w:shd w:val="clear" w:color="auto" w:fill="FFFFFF"/>
        <w:spacing w:line="420" w:lineRule="atLeast"/>
        <w:ind w:left="600"/>
        <w:rPr>
          <w:rFonts w:hint="default" w:ascii="仿宋_GB2312" w:hAnsi="仿宋_GB2312" w:eastAsia="仿宋_GB2312" w:cs="仿宋_GB2312"/>
          <w:bCs/>
          <w:kern w:val="0"/>
          <w:sz w:val="32"/>
          <w:szCs w:val="32"/>
          <w:lang w:val="en-US" w:eastAsia="zh-CN"/>
        </w:rPr>
      </w:pPr>
      <w:r>
        <w:rPr>
          <w:rFonts w:hint="eastAsia" w:ascii="仿宋_GB2312" w:hAnsi="仿宋_GB2312" w:eastAsia="仿宋_GB2312" w:cs="仿宋_GB2312"/>
          <w:bCs/>
          <w:kern w:val="0"/>
          <w:sz w:val="32"/>
          <w:szCs w:val="32"/>
          <w:lang w:val="en-US" w:eastAsia="zh-CN"/>
        </w:rPr>
        <w:t>老干部服务中心</w:t>
      </w:r>
      <w:r>
        <w:rPr>
          <w:rFonts w:hint="eastAsia" w:ascii="仿宋_GB2312" w:eastAsia="仿宋_GB2312" w:hAnsiTheme="minorHAnsi" w:cstheme="minorBidi"/>
          <w:kern w:val="2"/>
          <w:sz w:val="32"/>
          <w:szCs w:val="32"/>
          <w:lang w:val="en-US" w:eastAsia="zh-CN" w:bidi="ar-SA"/>
        </w:rPr>
        <w:t>设局长室、办公室、财务室、接待室、会议室五个办公室。</w:t>
      </w:r>
    </w:p>
    <w:p>
      <w:pPr>
        <w:jc w:val="left"/>
        <w:rPr>
          <w:rFonts w:hint="eastAsia" w:eastAsia="仿宋_GB2312"/>
          <w:sz w:val="72"/>
          <w:szCs w:val="72"/>
          <w:lang w:eastAsia="zh-CN"/>
        </w:rPr>
      </w:pPr>
      <w:r>
        <w:rPr>
          <w:rFonts w:hint="eastAsia" w:ascii="仿宋_GB2312" w:hAnsi="仿宋_GB2312" w:eastAsia="仿宋_GB2312" w:cs="仿宋_GB2312"/>
          <w:bCs/>
          <w:kern w:val="0"/>
          <w:sz w:val="32"/>
          <w:szCs w:val="32"/>
        </w:rPr>
        <w:t>（二）决算单位构成。</w:t>
      </w:r>
      <w:r>
        <w:rPr>
          <w:rFonts w:hint="eastAsia" w:ascii="仿宋_GB2312" w:hAnsi="仿宋_GB2312" w:eastAsia="仿宋_GB2312" w:cs="仿宋_GB2312"/>
          <w:bCs/>
          <w:kern w:val="0"/>
          <w:sz w:val="32"/>
          <w:szCs w:val="32"/>
          <w:lang w:val="en-US" w:eastAsia="zh-CN"/>
        </w:rPr>
        <w:t>本</w:t>
      </w:r>
      <w:r>
        <w:rPr>
          <w:rFonts w:hint="eastAsia" w:ascii="仿宋_GB2312" w:hAnsi="仿宋_GB2312" w:eastAsia="仿宋_GB2312" w:cs="仿宋_GB2312"/>
          <w:bCs/>
          <w:kern w:val="0"/>
          <w:sz w:val="32"/>
          <w:szCs w:val="32"/>
        </w:rPr>
        <w:t>单位2019年部门决算汇总公开单位构成包括：</w:t>
      </w:r>
      <w:r>
        <w:rPr>
          <w:rFonts w:hint="eastAsia" w:ascii="仿宋_GB2312" w:hAnsi="仿宋_GB2312" w:eastAsia="仿宋_GB2312" w:cs="仿宋_GB2312"/>
          <w:bCs/>
          <w:kern w:val="0"/>
          <w:sz w:val="32"/>
          <w:szCs w:val="32"/>
          <w:lang w:val="en-US" w:eastAsia="zh-CN"/>
        </w:rPr>
        <w:t>老干部服务中心</w:t>
      </w:r>
      <w:r>
        <w:rPr>
          <w:rFonts w:hint="eastAsia" w:ascii="仿宋_GB2312" w:hAnsi="仿宋_GB2312" w:eastAsia="仿宋_GB2312" w:cs="仿宋_GB2312"/>
          <w:bCs/>
          <w:kern w:val="0"/>
          <w:sz w:val="32"/>
          <w:szCs w:val="32"/>
        </w:rPr>
        <w:t>本级</w:t>
      </w:r>
      <w:r>
        <w:rPr>
          <w:rFonts w:hint="eastAsia" w:ascii="仿宋_GB2312" w:hAnsi="仿宋_GB2312" w:eastAsia="仿宋_GB2312" w:cs="仿宋_GB2312"/>
          <w:bCs/>
          <w:kern w:val="0"/>
          <w:sz w:val="32"/>
          <w:szCs w:val="32"/>
          <w:lang w:eastAsia="zh-CN"/>
        </w:rPr>
        <w:t>。</w:t>
      </w:r>
    </w:p>
    <w:p>
      <w:pPr>
        <w:jc w:val="left"/>
        <w:rPr>
          <w:sz w:val="72"/>
          <w:szCs w:val="72"/>
        </w:rPr>
      </w:pPr>
    </w:p>
    <w:p>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第二部分部门决算表</w:t>
      </w:r>
    </w:p>
    <w:p>
      <w:pPr>
        <w:jc w:val="center"/>
        <w:rPr>
          <w:rFonts w:ascii="黑体" w:hAnsi="黑体" w:eastAsia="黑体"/>
          <w:sz w:val="36"/>
          <w:szCs w:val="32"/>
        </w:rPr>
      </w:pPr>
      <w:r>
        <w:rPr>
          <w:rFonts w:hint="eastAsia" w:ascii="黑体" w:hAnsi="黑体" w:eastAsia="黑体"/>
          <w:sz w:val="36"/>
          <w:szCs w:val="32"/>
        </w:rPr>
        <w:t>收入支出决算总表</w:t>
      </w:r>
    </w:p>
    <w:p>
      <w:pPr>
        <w:widowControl/>
        <w:spacing w:line="320" w:lineRule="exact"/>
        <w:ind w:right="198"/>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部门：</w:t>
      </w:r>
      <w:r>
        <w:rPr>
          <w:rFonts w:hint="eastAsia" w:ascii="Times New Roman" w:hAnsi="Times New Roman" w:eastAsia="仿宋_GB2312" w:cs="Times New Roman"/>
          <w:color w:val="000000"/>
          <w:kern w:val="0"/>
          <w:szCs w:val="21"/>
          <w:lang w:val="en-US" w:eastAsia="zh-CN"/>
        </w:rPr>
        <w:t>老干部服务中心</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公开</w:t>
      </w:r>
      <w:r>
        <w:rPr>
          <w:rFonts w:ascii="Times New Roman" w:hAnsi="Times New Roman" w:eastAsia="仿宋_GB2312" w:cs="Times New Roman"/>
          <w:color w:val="000000"/>
          <w:kern w:val="0"/>
          <w:szCs w:val="21"/>
        </w:rPr>
        <w:t>01</w:t>
      </w:r>
      <w:r>
        <w:rPr>
          <w:rFonts w:hint="eastAsia" w:ascii="Times New Roman" w:hAnsi="Times New Roman" w:eastAsia="仿宋_GB2312" w:cs="Times New Roman"/>
          <w:color w:val="000000"/>
          <w:kern w:val="0"/>
          <w:szCs w:val="21"/>
        </w:rPr>
        <w:t>表</w:t>
      </w:r>
    </w:p>
    <w:p>
      <w:pPr>
        <w:widowControl/>
        <w:spacing w:line="320" w:lineRule="exact"/>
        <w:ind w:right="198"/>
        <w:jc w:val="right"/>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单位：万元</w:t>
      </w:r>
    </w:p>
    <w:tbl>
      <w:tblPr>
        <w:tblStyle w:val="7"/>
        <w:tblW w:w="14061" w:type="dxa"/>
        <w:jc w:val="center"/>
        <w:tblLayout w:type="fixed"/>
        <w:tblCellMar>
          <w:top w:w="0" w:type="dxa"/>
          <w:left w:w="108" w:type="dxa"/>
          <w:bottom w:w="0" w:type="dxa"/>
          <w:right w:w="108" w:type="dxa"/>
        </w:tblCellMar>
      </w:tblPr>
      <w:tblGrid>
        <w:gridCol w:w="4932"/>
        <w:gridCol w:w="702"/>
        <w:gridCol w:w="1224"/>
        <w:gridCol w:w="4820"/>
        <w:gridCol w:w="702"/>
        <w:gridCol w:w="1681"/>
      </w:tblGrid>
      <w:tr>
        <w:trPr>
          <w:trHeight w:val="340" w:hRule="atLeast"/>
          <w:jc w:val="center"/>
        </w:trPr>
        <w:tc>
          <w:tcPr>
            <w:tcW w:w="685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收入</w:t>
            </w:r>
          </w:p>
        </w:tc>
        <w:tc>
          <w:tcPr>
            <w:tcW w:w="7203"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支出</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项</w:t>
            </w: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目</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行次</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决算数</w:t>
            </w:r>
          </w:p>
        </w:tc>
        <w:tc>
          <w:tcPr>
            <w:tcW w:w="48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项</w:t>
            </w: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目</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行次</w:t>
            </w:r>
          </w:p>
        </w:tc>
        <w:tc>
          <w:tcPr>
            <w:tcW w:w="168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决算数</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栏</w:t>
            </w: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次</w:t>
            </w:r>
          </w:p>
        </w:tc>
        <w:tc>
          <w:tcPr>
            <w:tcW w:w="702" w:type="dxa"/>
            <w:tcBorders>
              <w:top w:val="nil"/>
              <w:left w:val="nil"/>
              <w:bottom w:val="single" w:color="auto" w:sz="4" w:space="0"/>
              <w:right w:val="single" w:color="auto" w:sz="4" w:space="0"/>
            </w:tcBorders>
            <w:vAlign w:val="center"/>
          </w:tcPr>
          <w:p>
            <w:pP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48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栏</w:t>
            </w: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次</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168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一、一般公共预算财政拨款收入</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224" w:type="dxa"/>
            <w:tcBorders>
              <w:top w:val="nil"/>
              <w:left w:val="nil"/>
              <w:bottom w:val="single" w:color="auto" w:sz="4" w:space="0"/>
              <w:right w:val="single" w:color="auto" w:sz="4" w:space="0"/>
            </w:tcBorders>
            <w:vAlign w:val="center"/>
          </w:tcPr>
          <w:p>
            <w:pPr>
              <w:widowControl/>
              <w:tabs>
                <w:tab w:val="center" w:pos="504"/>
                <w:tab w:val="right" w:pos="1338"/>
              </w:tabs>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一、一般公共服务支出</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14</w:t>
            </w:r>
          </w:p>
        </w:tc>
        <w:tc>
          <w:tcPr>
            <w:tcW w:w="1681" w:type="dxa"/>
            <w:tcBorders>
              <w:top w:val="nil"/>
              <w:left w:val="nil"/>
              <w:bottom w:val="single" w:color="auto" w:sz="4" w:space="0"/>
              <w:right w:val="single" w:color="auto" w:sz="4" w:space="0"/>
            </w:tcBorders>
            <w:vAlign w:val="center"/>
          </w:tcPr>
          <w:p>
            <w:pPr>
              <w:widowControl/>
              <w:tabs>
                <w:tab w:val="left" w:pos="551"/>
                <w:tab w:val="right" w:pos="1795"/>
              </w:tabs>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二、政府性基金预算财政拨款收入</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二、外交支出</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15</w:t>
            </w:r>
          </w:p>
        </w:tc>
        <w:tc>
          <w:tcPr>
            <w:tcW w:w="1681"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三、上级补助收入</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三、国防支出</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16</w:t>
            </w:r>
          </w:p>
        </w:tc>
        <w:tc>
          <w:tcPr>
            <w:tcW w:w="1681"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四、事业收入</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四、公共安全支出</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17</w:t>
            </w:r>
          </w:p>
        </w:tc>
        <w:tc>
          <w:tcPr>
            <w:tcW w:w="1681"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五、经营收入</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5</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五、教育支出</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18</w:t>
            </w:r>
          </w:p>
        </w:tc>
        <w:tc>
          <w:tcPr>
            <w:tcW w:w="1681"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六、附属单位上缴收入</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6</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六、科学技术支出</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19</w:t>
            </w:r>
          </w:p>
        </w:tc>
        <w:tc>
          <w:tcPr>
            <w:tcW w:w="1681"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七、其他收入</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7</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七、</w:t>
            </w:r>
            <w:r>
              <w:rPr>
                <w:rFonts w:ascii="Times New Roman" w:hAnsi="Times New Roman" w:eastAsia="仿宋_GB2312" w:cs="Times New Roman"/>
                <w:kern w:val="0"/>
                <w:szCs w:val="21"/>
              </w:rPr>
              <w:t>……</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20</w:t>
            </w:r>
          </w:p>
        </w:tc>
        <w:tc>
          <w:tcPr>
            <w:tcW w:w="1681"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8</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21</w:t>
            </w:r>
          </w:p>
        </w:tc>
        <w:tc>
          <w:tcPr>
            <w:tcW w:w="168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b/>
                <w:bCs/>
                <w:kern w:val="0"/>
                <w:szCs w:val="21"/>
              </w:rPr>
            </w:pPr>
            <w:r>
              <w:rPr>
                <w:rFonts w:hint="eastAsia" w:ascii="Times New Roman" w:hAnsi="Times New Roman" w:eastAsia="仿宋_GB2312" w:cs="Times New Roman"/>
                <w:b/>
                <w:bCs/>
                <w:kern w:val="0"/>
                <w:szCs w:val="21"/>
              </w:rPr>
              <w:t>本年收入合计</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9</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48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b/>
                <w:bCs/>
                <w:kern w:val="0"/>
                <w:szCs w:val="21"/>
              </w:rPr>
            </w:pPr>
            <w:r>
              <w:rPr>
                <w:rFonts w:hint="eastAsia" w:ascii="Times New Roman" w:hAnsi="Times New Roman" w:eastAsia="仿宋_GB2312" w:cs="Times New Roman"/>
                <w:b/>
                <w:bCs/>
                <w:kern w:val="0"/>
                <w:szCs w:val="21"/>
              </w:rPr>
              <w:t>本年支出合计</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22</w:t>
            </w:r>
          </w:p>
        </w:tc>
        <w:tc>
          <w:tcPr>
            <w:tcW w:w="1681"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cs="Times New Roman"/>
                <w:b/>
                <w:bCs/>
                <w:kern w:val="0"/>
                <w:szCs w:val="21"/>
                <w:lang w:val="en-US" w:eastAsia="zh-CN"/>
              </w:rPr>
            </w:pPr>
            <w:r>
              <w:rPr>
                <w:rFonts w:hint="eastAsia" w:ascii="Times New Roman" w:hAnsi="Times New Roman" w:eastAsia="仿宋_GB2312" w:cs="Times New Roman"/>
                <w:b/>
                <w:bCs/>
                <w:kern w:val="0"/>
                <w:szCs w:val="21"/>
                <w:lang w:val="en-US" w:eastAsia="zh-CN"/>
              </w:rPr>
              <w:t>293</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用事业基金弥补收支差额</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10</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结余分配</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23</w:t>
            </w:r>
          </w:p>
        </w:tc>
        <w:tc>
          <w:tcPr>
            <w:tcW w:w="168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年初结转和结余</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11</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年末结转和结余</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24</w:t>
            </w:r>
          </w:p>
        </w:tc>
        <w:tc>
          <w:tcPr>
            <w:tcW w:w="168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12</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25</w:t>
            </w:r>
          </w:p>
        </w:tc>
        <w:tc>
          <w:tcPr>
            <w:tcW w:w="168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b/>
                <w:bCs/>
                <w:kern w:val="0"/>
                <w:szCs w:val="21"/>
              </w:rPr>
            </w:pPr>
            <w:r>
              <w:rPr>
                <w:rFonts w:hint="eastAsia" w:ascii="Times New Roman" w:hAnsi="Times New Roman" w:eastAsia="仿宋_GB2312" w:cs="Times New Roman"/>
                <w:b/>
                <w:bCs/>
                <w:kern w:val="0"/>
                <w:szCs w:val="21"/>
              </w:rPr>
              <w:t>总计</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13</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48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b/>
                <w:bCs/>
                <w:kern w:val="0"/>
                <w:szCs w:val="21"/>
              </w:rPr>
            </w:pPr>
            <w:r>
              <w:rPr>
                <w:rFonts w:hint="eastAsia" w:ascii="Times New Roman" w:hAnsi="Times New Roman" w:eastAsia="仿宋_GB2312" w:cs="Times New Roman"/>
                <w:b/>
                <w:bCs/>
                <w:kern w:val="0"/>
                <w:szCs w:val="21"/>
              </w:rPr>
              <w:t>总计</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26</w:t>
            </w:r>
          </w:p>
        </w:tc>
        <w:tc>
          <w:tcPr>
            <w:tcW w:w="1681"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cs="Times New Roman"/>
                <w:b/>
                <w:bCs/>
                <w:kern w:val="0"/>
                <w:szCs w:val="21"/>
                <w:lang w:val="en-US" w:eastAsia="zh-CN"/>
              </w:rPr>
            </w:pPr>
            <w:r>
              <w:rPr>
                <w:rFonts w:hint="eastAsia" w:ascii="Times New Roman" w:hAnsi="Times New Roman" w:eastAsia="仿宋_GB2312" w:cs="Times New Roman"/>
                <w:b/>
                <w:bCs/>
                <w:kern w:val="0"/>
                <w:szCs w:val="21"/>
                <w:lang w:val="en-US" w:eastAsia="zh-CN"/>
              </w:rPr>
              <w:t>293</w:t>
            </w:r>
          </w:p>
        </w:tc>
      </w:tr>
    </w:tbl>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注：本表反映部门本年度的总收支和年末结转结余情况。</w:t>
      </w:r>
    </w:p>
    <w:p>
      <w:pPr>
        <w:widowControl/>
        <w:jc w:val="left"/>
        <w:rPr>
          <w:rFonts w:ascii="黑体" w:hAnsi="黑体" w:eastAsia="黑体"/>
          <w:sz w:val="28"/>
          <w:szCs w:val="28"/>
        </w:rPr>
        <w:sectPr>
          <w:footerReference r:id="rId3" w:type="default"/>
          <w:pgSz w:w="16838" w:h="11906" w:orient="landscape"/>
          <w:pgMar w:top="1797" w:right="1440" w:bottom="1797" w:left="1440" w:header="851" w:footer="992" w:gutter="0"/>
          <w:cols w:space="425" w:num="1"/>
          <w:docGrid w:type="linesAndChars" w:linePitch="312" w:charSpace="0"/>
        </w:sectPr>
      </w:pPr>
      <w:r>
        <w:rPr>
          <w:rFonts w:ascii="Times New Roman" w:hAnsi="Times New Roman" w:eastAsia="黑体" w:cs="Times New Roman"/>
          <w:bCs/>
          <w:kern w:val="0"/>
          <w:sz w:val="32"/>
          <w:szCs w:val="32"/>
        </w:rPr>
        <w:br w:type="page"/>
      </w:r>
    </w:p>
    <w:p>
      <w:pPr>
        <w:widowControl/>
        <w:jc w:val="center"/>
        <w:rPr>
          <w:rFonts w:ascii="Times New Roman" w:hAnsi="Times New Roman" w:eastAsia="方正小标宋_GBK" w:cs="Times New Roman"/>
          <w:color w:val="000000"/>
          <w:kern w:val="0"/>
          <w:sz w:val="36"/>
          <w:szCs w:val="36"/>
        </w:rPr>
      </w:pPr>
      <w:r>
        <w:rPr>
          <w:rFonts w:ascii="Times New Roman" w:hAnsi="Times New Roman" w:eastAsia="方正小标宋_GBK" w:cs="Times New Roman"/>
          <w:color w:val="000000"/>
          <w:kern w:val="0"/>
          <w:sz w:val="36"/>
          <w:szCs w:val="36"/>
        </w:rPr>
        <w:t>收入决算表</w:t>
      </w:r>
    </w:p>
    <w:p>
      <w:pPr>
        <w:widowControl/>
        <w:ind w:firstLine="630" w:firstLineChars="300"/>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部门： </w:t>
      </w:r>
      <w:r>
        <w:rPr>
          <w:rFonts w:hint="eastAsia" w:ascii="Times New Roman" w:hAnsi="Times New Roman" w:eastAsia="仿宋_GB2312" w:cs="Times New Roman"/>
          <w:color w:val="000000"/>
          <w:kern w:val="0"/>
          <w:szCs w:val="21"/>
          <w:lang w:val="en-US" w:eastAsia="zh-CN"/>
        </w:rPr>
        <w:t>老干部服务中心</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 xml:space="preserve"> 公开02表</w:t>
      </w:r>
    </w:p>
    <w:p>
      <w:pPr>
        <w:widowControl/>
        <w:ind w:right="630"/>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单位：万元</w:t>
      </w:r>
    </w:p>
    <w:tbl>
      <w:tblPr>
        <w:tblStyle w:val="7"/>
        <w:tblW w:w="13813" w:type="dxa"/>
        <w:jc w:val="center"/>
        <w:tblLayout w:type="fixed"/>
        <w:tblCellMar>
          <w:top w:w="0" w:type="dxa"/>
          <w:left w:w="108" w:type="dxa"/>
          <w:bottom w:w="0" w:type="dxa"/>
          <w:right w:w="108" w:type="dxa"/>
        </w:tblCellMar>
      </w:tblPr>
      <w:tblGrid>
        <w:gridCol w:w="1117"/>
        <w:gridCol w:w="75"/>
        <w:gridCol w:w="5"/>
        <w:gridCol w:w="1188"/>
        <w:gridCol w:w="1676"/>
        <w:gridCol w:w="1595"/>
        <w:gridCol w:w="1676"/>
        <w:gridCol w:w="1382"/>
        <w:gridCol w:w="1412"/>
        <w:gridCol w:w="1676"/>
        <w:gridCol w:w="2011"/>
      </w:tblGrid>
      <w:tr>
        <w:trPr>
          <w:trHeight w:val="450" w:hRule="atLeast"/>
          <w:jc w:val="center"/>
        </w:trPr>
        <w:tc>
          <w:tcPr>
            <w:tcW w:w="2385" w:type="dxa"/>
            <w:gridSpan w:val="4"/>
            <w:tcBorders>
              <w:top w:val="single" w:color="auto" w:sz="8" w:space="0"/>
              <w:left w:val="single" w:color="auto" w:sz="8" w:space="0"/>
              <w:bottom w:val="single" w:color="auto" w:sz="4" w:space="0"/>
              <w:right w:val="nil"/>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项    目</w:t>
            </w:r>
          </w:p>
        </w:tc>
        <w:tc>
          <w:tcPr>
            <w:tcW w:w="1676" w:type="dxa"/>
            <w:vMerge w:val="restart"/>
            <w:tcBorders>
              <w:top w:val="single" w:color="auto" w:sz="8"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本年收入合计</w:t>
            </w:r>
          </w:p>
        </w:tc>
        <w:tc>
          <w:tcPr>
            <w:tcW w:w="1595" w:type="dxa"/>
            <w:vMerge w:val="restart"/>
            <w:tcBorders>
              <w:top w:val="single" w:color="auto" w:sz="8"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财政拨款收入</w:t>
            </w:r>
          </w:p>
        </w:tc>
        <w:tc>
          <w:tcPr>
            <w:tcW w:w="1676" w:type="dxa"/>
            <w:vMerge w:val="restart"/>
            <w:tcBorders>
              <w:top w:val="single" w:color="auto" w:sz="8"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上级补助收入</w:t>
            </w:r>
          </w:p>
        </w:tc>
        <w:tc>
          <w:tcPr>
            <w:tcW w:w="1382" w:type="dxa"/>
            <w:vMerge w:val="restart"/>
            <w:tcBorders>
              <w:top w:val="single" w:color="auto" w:sz="8"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事业收入</w:t>
            </w:r>
          </w:p>
        </w:tc>
        <w:tc>
          <w:tcPr>
            <w:tcW w:w="1412" w:type="dxa"/>
            <w:vMerge w:val="restart"/>
            <w:tcBorders>
              <w:top w:val="single" w:color="auto" w:sz="8"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经营收入</w:t>
            </w:r>
          </w:p>
        </w:tc>
        <w:tc>
          <w:tcPr>
            <w:tcW w:w="1676" w:type="dxa"/>
            <w:vMerge w:val="restart"/>
            <w:tcBorders>
              <w:top w:val="single" w:color="auto" w:sz="8"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附属单位上缴收入</w:t>
            </w:r>
          </w:p>
        </w:tc>
        <w:tc>
          <w:tcPr>
            <w:tcW w:w="2011" w:type="dxa"/>
            <w:vMerge w:val="restart"/>
            <w:tcBorders>
              <w:top w:val="single" w:color="auto" w:sz="8" w:space="0"/>
              <w:left w:val="single" w:color="auto" w:sz="4" w:space="0"/>
              <w:bottom w:val="single" w:color="000000" w:sz="4" w:space="0"/>
              <w:right w:val="single" w:color="auto"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其他收入</w:t>
            </w:r>
          </w:p>
        </w:tc>
      </w:tr>
      <w:tr>
        <w:trPr>
          <w:trHeight w:val="450" w:hRule="atLeast"/>
          <w:jc w:val="center"/>
        </w:trPr>
        <w:tc>
          <w:tcPr>
            <w:tcW w:w="1197" w:type="dxa"/>
            <w:gridSpan w:val="3"/>
            <w:vMerge w:val="restart"/>
            <w:tcBorders>
              <w:top w:val="single" w:color="auto" w:sz="4" w:space="0"/>
              <w:left w:val="single" w:color="auto" w:sz="8" w:space="0"/>
              <w:bottom w:val="single" w:color="000000" w:sz="4" w:space="0"/>
              <w:right w:val="nil"/>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功能分类科目编码</w:t>
            </w:r>
          </w:p>
        </w:tc>
        <w:tc>
          <w:tcPr>
            <w:tcW w:w="118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科目名称</w:t>
            </w:r>
          </w:p>
        </w:tc>
        <w:tc>
          <w:tcPr>
            <w:tcW w:w="1676"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595"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676"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382"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412"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676"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2011" w:type="dxa"/>
            <w:vMerge w:val="continue"/>
            <w:tcBorders>
              <w:top w:val="single" w:color="auto" w:sz="8" w:space="0"/>
              <w:left w:val="single" w:color="auto" w:sz="4" w:space="0"/>
              <w:bottom w:val="single" w:color="000000" w:sz="4" w:space="0"/>
              <w:right w:val="single" w:color="auto" w:sz="8" w:space="0"/>
            </w:tcBorders>
            <w:vAlign w:val="center"/>
          </w:tcPr>
          <w:p>
            <w:pPr>
              <w:widowControl/>
              <w:jc w:val="left"/>
              <w:rPr>
                <w:rFonts w:ascii="Times New Roman" w:hAnsi="Times New Roman" w:eastAsia="仿宋_GB2312" w:cs="Times New Roman"/>
                <w:kern w:val="0"/>
                <w:szCs w:val="21"/>
              </w:rPr>
            </w:pPr>
          </w:p>
        </w:tc>
      </w:tr>
      <w:tr>
        <w:trPr>
          <w:trHeight w:val="450" w:hRule="atLeast"/>
          <w:jc w:val="center"/>
        </w:trPr>
        <w:tc>
          <w:tcPr>
            <w:tcW w:w="1197" w:type="dxa"/>
            <w:gridSpan w:val="3"/>
            <w:vMerge w:val="continue"/>
            <w:tcBorders>
              <w:top w:val="single" w:color="auto" w:sz="4" w:space="0"/>
              <w:left w:val="single" w:color="auto" w:sz="8" w:space="0"/>
              <w:bottom w:val="single" w:color="000000" w:sz="4" w:space="0"/>
              <w:right w:val="nil"/>
            </w:tcBorders>
            <w:vAlign w:val="center"/>
          </w:tcPr>
          <w:p>
            <w:pPr>
              <w:widowControl/>
              <w:jc w:val="left"/>
              <w:rPr>
                <w:rFonts w:ascii="Times New Roman" w:hAnsi="Times New Roman" w:eastAsia="仿宋_GB2312" w:cs="Times New Roman"/>
                <w:kern w:val="0"/>
                <w:szCs w:val="21"/>
              </w:rPr>
            </w:pPr>
          </w:p>
        </w:tc>
        <w:tc>
          <w:tcPr>
            <w:tcW w:w="1188"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676"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595"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676"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382"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412"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676"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2011" w:type="dxa"/>
            <w:vMerge w:val="continue"/>
            <w:tcBorders>
              <w:top w:val="single" w:color="auto" w:sz="8" w:space="0"/>
              <w:left w:val="single" w:color="auto" w:sz="4" w:space="0"/>
              <w:bottom w:val="single" w:color="000000" w:sz="4" w:space="0"/>
              <w:right w:val="single" w:color="auto" w:sz="8" w:space="0"/>
            </w:tcBorders>
            <w:vAlign w:val="center"/>
          </w:tcPr>
          <w:p>
            <w:pPr>
              <w:widowControl/>
              <w:jc w:val="left"/>
              <w:rPr>
                <w:rFonts w:ascii="Times New Roman" w:hAnsi="Times New Roman" w:eastAsia="仿宋_GB2312" w:cs="Times New Roman"/>
                <w:kern w:val="0"/>
                <w:szCs w:val="21"/>
              </w:rPr>
            </w:pPr>
          </w:p>
        </w:tc>
      </w:tr>
      <w:tr>
        <w:trPr>
          <w:trHeight w:val="450" w:hRule="atLeast"/>
          <w:jc w:val="center"/>
        </w:trPr>
        <w:tc>
          <w:tcPr>
            <w:tcW w:w="2385" w:type="dxa"/>
            <w:gridSpan w:val="4"/>
            <w:tcBorders>
              <w:top w:val="single" w:color="auto" w:sz="4" w:space="0"/>
              <w:left w:val="single" w:color="auto" w:sz="8" w:space="0"/>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栏次</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5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5</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6</w:t>
            </w:r>
          </w:p>
        </w:tc>
        <w:tc>
          <w:tcPr>
            <w:tcW w:w="2011"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7</w:t>
            </w:r>
          </w:p>
        </w:tc>
      </w:tr>
      <w:tr>
        <w:trPr>
          <w:trHeight w:val="450" w:hRule="atLeast"/>
          <w:jc w:val="center"/>
        </w:trPr>
        <w:tc>
          <w:tcPr>
            <w:tcW w:w="2385" w:type="dxa"/>
            <w:gridSpan w:val="4"/>
            <w:tcBorders>
              <w:top w:val="nil"/>
              <w:left w:val="single" w:color="auto" w:sz="8" w:space="0"/>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合计</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5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2011" w:type="dxa"/>
            <w:tcBorders>
              <w:top w:val="nil"/>
              <w:left w:val="nil"/>
              <w:bottom w:val="single" w:color="auto" w:sz="4" w:space="0"/>
              <w:right w:val="single" w:color="auto" w:sz="8" w:space="0"/>
            </w:tcBorders>
            <w:shd w:val="clear" w:color="auto" w:fill="auto"/>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rPr>
          <w:trHeight w:val="450" w:hRule="atLeast"/>
          <w:jc w:val="center"/>
        </w:trPr>
        <w:tc>
          <w:tcPr>
            <w:tcW w:w="1117"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cs="Times New Roman"/>
                <w:kern w:val="0"/>
                <w:szCs w:val="21"/>
              </w:rPr>
            </w:pPr>
          </w:p>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201</w:t>
            </w:r>
          </w:p>
        </w:tc>
        <w:tc>
          <w:tcPr>
            <w:tcW w:w="1268"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Times New Roman" w:hAnsi="Times New Roman" w:eastAsia="仿宋_GB2312" w:cs="Times New Roman"/>
                <w:kern w:val="0"/>
                <w:szCs w:val="21"/>
              </w:rPr>
            </w:pPr>
            <w:r>
              <w:rPr>
                <w:rFonts w:hint="eastAsia" w:ascii="宋体" w:hAnsi="宋体" w:eastAsia="宋体" w:cs="宋体"/>
                <w:i w:val="0"/>
                <w:color w:val="000000"/>
                <w:kern w:val="0"/>
                <w:sz w:val="22"/>
                <w:szCs w:val="22"/>
                <w:u w:val="none"/>
                <w:lang w:val="en-US" w:eastAsia="zh-CN" w:bidi="ar"/>
              </w:rPr>
              <w:t>一般公共服务支出</w:t>
            </w:r>
          </w:p>
        </w:tc>
        <w:tc>
          <w:tcPr>
            <w:tcW w:w="1676" w:type="dxa"/>
            <w:tcBorders>
              <w:top w:val="nil"/>
              <w:left w:val="nil"/>
              <w:bottom w:val="single" w:color="auto" w:sz="4" w:space="0"/>
              <w:right w:val="single" w:color="auto" w:sz="4" w:space="0"/>
            </w:tcBorders>
            <w:shd w:val="clear" w:color="auto" w:fill="auto"/>
            <w:vAlign w:val="center"/>
          </w:tcPr>
          <w:p>
            <w:pPr>
              <w:widowControl/>
              <w:tabs>
                <w:tab w:val="left" w:pos="559"/>
                <w:tab w:val="right" w:pos="1889"/>
              </w:tabs>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5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2011" w:type="dxa"/>
            <w:tcBorders>
              <w:top w:val="nil"/>
              <w:left w:val="nil"/>
              <w:bottom w:val="single" w:color="auto" w:sz="4" w:space="0"/>
              <w:right w:val="single" w:color="auto" w:sz="8" w:space="0"/>
            </w:tcBorders>
            <w:shd w:val="clear" w:color="auto" w:fill="auto"/>
            <w:vAlign w:val="center"/>
          </w:tcPr>
          <w:p>
            <w:pPr>
              <w:widowControl/>
              <w:jc w:val="center"/>
              <w:rPr>
                <w:rFonts w:hint="eastAsia" w:ascii="Times New Roman" w:hAnsi="Times New Roman" w:eastAsia="仿宋_GB2312" w:cs="Times New Roman"/>
                <w:kern w:val="0"/>
                <w:szCs w:val="21"/>
              </w:rPr>
            </w:pPr>
          </w:p>
          <w:p>
            <w:pPr>
              <w:widowControl/>
              <w:jc w:val="center"/>
              <w:rPr>
                <w:rFonts w:ascii="Times New Roman" w:hAnsi="Times New Roman" w:eastAsia="仿宋_GB2312" w:cs="Times New Roman"/>
                <w:kern w:val="0"/>
                <w:szCs w:val="21"/>
              </w:rPr>
            </w:pPr>
          </w:p>
          <w:p>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lang w:val="en-US" w:eastAsia="zh-CN" w:bidi="ar"/>
              </w:rPr>
              <w:t>0</w:t>
            </w:r>
          </w:p>
        </w:tc>
      </w:tr>
      <w:tr>
        <w:trPr>
          <w:trHeight w:val="450" w:hRule="atLeast"/>
          <w:jc w:val="center"/>
        </w:trPr>
        <w:tc>
          <w:tcPr>
            <w:tcW w:w="1117"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20136</w:t>
            </w:r>
          </w:p>
        </w:tc>
        <w:tc>
          <w:tcPr>
            <w:tcW w:w="1268"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Times New Roman" w:hAnsi="Times New Roman" w:eastAsia="仿宋_GB2312" w:cs="Times New Roman"/>
                <w:kern w:val="0"/>
                <w:szCs w:val="21"/>
              </w:rPr>
            </w:pPr>
            <w:r>
              <w:rPr>
                <w:rFonts w:hint="eastAsia" w:ascii="宋体" w:hAnsi="宋体" w:eastAsia="宋体" w:cs="宋体"/>
                <w:i w:val="0"/>
                <w:color w:val="000000"/>
                <w:kern w:val="0"/>
                <w:sz w:val="22"/>
                <w:szCs w:val="22"/>
                <w:u w:val="none"/>
                <w:lang w:val="en-US" w:eastAsia="zh-CN" w:bidi="ar"/>
              </w:rPr>
              <w:t>其他共产党事务支出</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5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2011" w:type="dxa"/>
            <w:tcBorders>
              <w:top w:val="nil"/>
              <w:left w:val="nil"/>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hint="default"/>
                <w:lang w:val="en-US"/>
              </w:rPr>
            </w:pPr>
            <w:r>
              <w:rPr>
                <w:rFonts w:hint="eastAsia" w:ascii="宋体" w:hAnsi="宋体" w:eastAsia="宋体" w:cs="宋体"/>
                <w:i w:val="0"/>
                <w:color w:val="000000"/>
                <w:kern w:val="0"/>
                <w:sz w:val="22"/>
                <w:szCs w:val="22"/>
                <w:u w:val="none"/>
                <w:lang w:val="en-US" w:eastAsia="zh-CN" w:bidi="ar"/>
              </w:rPr>
              <w:t>0</w:t>
            </w:r>
          </w:p>
        </w:tc>
      </w:tr>
      <w:tr>
        <w:trPr>
          <w:trHeight w:val="450" w:hRule="atLeast"/>
          <w:jc w:val="center"/>
        </w:trPr>
        <w:tc>
          <w:tcPr>
            <w:tcW w:w="1117"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2013601</w:t>
            </w:r>
          </w:p>
        </w:tc>
        <w:tc>
          <w:tcPr>
            <w:tcW w:w="1268"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Times New Roman" w:hAnsi="Times New Roman" w:eastAsia="仿宋_GB2312" w:cs="Times New Roman"/>
                <w:kern w:val="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5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2011" w:type="dxa"/>
            <w:tcBorders>
              <w:top w:val="nil"/>
              <w:left w:val="nil"/>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hint="default"/>
                <w:lang w:val="en-US"/>
              </w:rPr>
            </w:pPr>
            <w:r>
              <w:rPr>
                <w:rFonts w:hint="eastAsia" w:ascii="Times New Roman" w:hAnsi="Times New Roman" w:eastAsia="仿宋_GB2312" w:cs="Times New Roman"/>
                <w:kern w:val="0"/>
                <w:szCs w:val="21"/>
                <w:lang w:val="en-US" w:eastAsia="zh-CN"/>
              </w:rPr>
              <w:t>0</w:t>
            </w:r>
          </w:p>
        </w:tc>
      </w:tr>
      <w:tr>
        <w:trPr>
          <w:trHeight w:val="450" w:hRule="atLeast"/>
          <w:jc w:val="center"/>
        </w:trPr>
        <w:tc>
          <w:tcPr>
            <w:tcW w:w="1192"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p>
        </w:tc>
        <w:tc>
          <w:tcPr>
            <w:tcW w:w="1193"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p>
        </w:tc>
        <w:tc>
          <w:tcPr>
            <w:tcW w:w="15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p>
        </w:tc>
        <w:tc>
          <w:tcPr>
            <w:tcW w:w="2011" w:type="dxa"/>
            <w:tcBorders>
              <w:top w:val="nil"/>
              <w:left w:val="nil"/>
              <w:bottom w:val="single" w:color="auto" w:sz="4" w:space="0"/>
              <w:right w:val="single" w:color="auto" w:sz="8" w:space="0"/>
            </w:tcBorders>
            <w:shd w:val="clear" w:color="auto" w:fill="auto"/>
            <w:vAlign w:val="center"/>
          </w:tcPr>
          <w:p>
            <w:pPr>
              <w:widowControl/>
              <w:jc w:val="center"/>
              <w:rPr>
                <w:rFonts w:hint="eastAsia" w:ascii="Times New Roman" w:hAnsi="Times New Roman" w:eastAsia="仿宋_GB2312" w:cs="Times New Roman"/>
                <w:kern w:val="0"/>
                <w:szCs w:val="21"/>
                <w:lang w:eastAsia="zh-CN"/>
              </w:rPr>
            </w:pPr>
          </w:p>
        </w:tc>
      </w:tr>
      <w:tr>
        <w:trPr>
          <w:trHeight w:val="450" w:hRule="atLeast"/>
          <w:jc w:val="center"/>
        </w:trPr>
        <w:tc>
          <w:tcPr>
            <w:tcW w:w="1197" w:type="dxa"/>
            <w:gridSpan w:val="3"/>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188"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9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8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1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11" w:type="dxa"/>
            <w:tcBorders>
              <w:top w:val="nil"/>
              <w:left w:val="nil"/>
              <w:bottom w:val="single" w:color="auto" w:sz="4" w:space="0"/>
              <w:right w:val="single" w:color="auto" w:sz="8"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197" w:type="dxa"/>
            <w:gridSpan w:val="3"/>
            <w:tcBorders>
              <w:top w:val="single" w:color="auto" w:sz="4" w:space="0"/>
              <w:left w:val="single" w:color="auto" w:sz="8" w:space="0"/>
              <w:bottom w:val="single" w:color="auto" w:sz="8"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188" w:type="dxa"/>
            <w:tcBorders>
              <w:top w:val="nil"/>
              <w:left w:val="nil"/>
              <w:bottom w:val="single" w:color="auto" w:sz="8"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8"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95" w:type="dxa"/>
            <w:tcBorders>
              <w:top w:val="nil"/>
              <w:left w:val="nil"/>
              <w:bottom w:val="single" w:color="auto" w:sz="8"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8"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82" w:type="dxa"/>
            <w:tcBorders>
              <w:top w:val="nil"/>
              <w:left w:val="nil"/>
              <w:bottom w:val="single" w:color="auto" w:sz="8"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12" w:type="dxa"/>
            <w:tcBorders>
              <w:top w:val="nil"/>
              <w:left w:val="nil"/>
              <w:bottom w:val="single" w:color="auto" w:sz="8"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8"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11" w:type="dxa"/>
            <w:tcBorders>
              <w:top w:val="nil"/>
              <w:left w:val="nil"/>
              <w:bottom w:val="single" w:color="auto" w:sz="8" w:space="0"/>
              <w:right w:val="single" w:color="auto" w:sz="8"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615" w:hRule="atLeast"/>
          <w:jc w:val="center"/>
        </w:trPr>
        <w:tc>
          <w:tcPr>
            <w:tcW w:w="13813" w:type="dxa"/>
            <w:gridSpan w:val="11"/>
            <w:tcBorders>
              <w:top w:val="single" w:color="auto" w:sz="8" w:space="0"/>
              <w:left w:val="nil"/>
              <w:bottom w:val="nil"/>
              <w:right w:val="nil"/>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注：本表反映部门本年度取得的各项收入情况。</w:t>
            </w:r>
          </w:p>
        </w:tc>
      </w:tr>
    </w:tbl>
    <w:p>
      <w:pPr>
        <w:widowControl/>
        <w:jc w:val="left"/>
        <w:rPr>
          <w:rFonts w:ascii="Times New Roman" w:hAnsi="Times New Roman" w:eastAsia="黑体" w:cs="Times New Roman"/>
          <w:bCs/>
          <w:kern w:val="0"/>
          <w:sz w:val="32"/>
          <w:szCs w:val="32"/>
        </w:rPr>
      </w:pPr>
    </w:p>
    <w:p>
      <w:pPr>
        <w:widowControl/>
        <w:jc w:val="left"/>
        <w:rPr>
          <w:rFonts w:ascii="Times New Roman" w:hAnsi="Times New Roman" w:eastAsia="黑体" w:cs="Times New Roman"/>
          <w:bCs/>
          <w:kern w:val="0"/>
          <w:sz w:val="32"/>
          <w:szCs w:val="32"/>
        </w:rPr>
      </w:pPr>
      <w:r>
        <w:rPr>
          <w:rFonts w:ascii="Times New Roman" w:hAnsi="Times New Roman" w:eastAsia="黑体" w:cs="Times New Roman"/>
          <w:bCs/>
          <w:kern w:val="0"/>
          <w:sz w:val="32"/>
          <w:szCs w:val="32"/>
        </w:rPr>
        <w:br w:type="page"/>
      </w:r>
    </w:p>
    <w:p>
      <w:pPr>
        <w:widowControl/>
        <w:rPr>
          <w:rFonts w:ascii="Times New Roman" w:hAnsi="Times New Roman" w:eastAsia="方正小标宋_GBK" w:cs="Times New Roman"/>
          <w:color w:val="000000"/>
          <w:kern w:val="0"/>
          <w:sz w:val="36"/>
          <w:szCs w:val="36"/>
        </w:rPr>
      </w:pPr>
    </w:p>
    <w:p>
      <w:pPr>
        <w:widowControl/>
        <w:jc w:val="center"/>
        <w:rPr>
          <w:rFonts w:ascii="Times New Roman" w:hAnsi="Times New Roman" w:eastAsia="方正小标宋_GBK" w:cs="Times New Roman"/>
          <w:color w:val="000000"/>
          <w:kern w:val="0"/>
          <w:sz w:val="36"/>
          <w:szCs w:val="36"/>
        </w:rPr>
      </w:pPr>
      <w:r>
        <w:rPr>
          <w:rFonts w:ascii="Times New Roman" w:hAnsi="Times New Roman" w:eastAsia="方正小标宋_GBK" w:cs="Times New Roman"/>
          <w:color w:val="000000"/>
          <w:kern w:val="0"/>
          <w:sz w:val="36"/>
          <w:szCs w:val="36"/>
        </w:rPr>
        <w:t>支出决算表</w:t>
      </w:r>
    </w:p>
    <w:p>
      <w:pPr>
        <w:widowControl/>
        <w:spacing w:line="400" w:lineRule="exact"/>
        <w:ind w:firstLine="600" w:firstLineChars="300"/>
        <w:jc w:val="left"/>
        <w:rPr>
          <w:rFonts w:ascii="Times New Roman" w:hAnsi="Times New Roman" w:eastAsia="仿宋_GB2312" w:cs="Times New Roman"/>
          <w:color w:val="000000"/>
          <w:kern w:val="0"/>
          <w:sz w:val="20"/>
          <w:szCs w:val="20"/>
        </w:rPr>
      </w:pPr>
      <w:r>
        <w:rPr>
          <w:rFonts w:ascii="Times New Roman" w:hAnsi="Times New Roman" w:eastAsia="仿宋_GB2312" w:cs="Times New Roman"/>
          <w:color w:val="000000"/>
          <w:kern w:val="0"/>
          <w:sz w:val="20"/>
          <w:szCs w:val="20"/>
        </w:rPr>
        <w:t xml:space="preserve">部门：   </w:t>
      </w:r>
      <w:r>
        <w:rPr>
          <w:rFonts w:hint="eastAsia" w:ascii="Times New Roman" w:hAnsi="Times New Roman" w:eastAsia="仿宋_GB2312" w:cs="Times New Roman"/>
          <w:color w:val="000000"/>
          <w:kern w:val="0"/>
          <w:szCs w:val="21"/>
          <w:lang w:val="en-US" w:eastAsia="zh-CN"/>
        </w:rPr>
        <w:t>老干部服务中心</w:t>
      </w:r>
      <w:r>
        <w:rPr>
          <w:rFonts w:ascii="Times New Roman" w:hAnsi="Times New Roman" w:eastAsia="仿宋_GB2312" w:cs="Times New Roman"/>
          <w:color w:val="000000"/>
          <w:kern w:val="0"/>
          <w:sz w:val="20"/>
          <w:szCs w:val="20"/>
        </w:rPr>
        <w:t xml:space="preserve">                                                                                                                 公开03表</w:t>
      </w:r>
    </w:p>
    <w:p>
      <w:pPr>
        <w:widowControl/>
        <w:spacing w:line="400" w:lineRule="exact"/>
        <w:ind w:right="700"/>
        <w:jc w:val="right"/>
        <w:rPr>
          <w:rFonts w:ascii="Times New Roman" w:hAnsi="Times New Roman" w:eastAsia="仿宋_GB2312" w:cs="Times New Roman"/>
          <w:color w:val="000000"/>
          <w:kern w:val="0"/>
          <w:sz w:val="20"/>
          <w:szCs w:val="20"/>
        </w:rPr>
      </w:pPr>
      <w:r>
        <w:rPr>
          <w:rFonts w:ascii="Times New Roman" w:hAnsi="Times New Roman" w:eastAsia="仿宋_GB2312" w:cs="Times New Roman"/>
          <w:color w:val="000000"/>
          <w:kern w:val="0"/>
          <w:sz w:val="20"/>
          <w:szCs w:val="20"/>
        </w:rPr>
        <w:t>单位：万元</w:t>
      </w:r>
    </w:p>
    <w:tbl>
      <w:tblPr>
        <w:tblStyle w:val="7"/>
        <w:tblW w:w="1408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02"/>
        <w:gridCol w:w="1249"/>
        <w:gridCol w:w="1775"/>
        <w:gridCol w:w="1985"/>
        <w:gridCol w:w="1842"/>
        <w:gridCol w:w="1843"/>
        <w:gridCol w:w="1985"/>
        <w:gridCol w:w="23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2351" w:type="dxa"/>
            <w:gridSpan w:val="2"/>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项    目</w:t>
            </w:r>
          </w:p>
        </w:tc>
        <w:tc>
          <w:tcPr>
            <w:tcW w:w="1775"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本年支出合计</w:t>
            </w:r>
          </w:p>
        </w:tc>
        <w:tc>
          <w:tcPr>
            <w:tcW w:w="1985"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基本支出</w:t>
            </w:r>
          </w:p>
        </w:tc>
        <w:tc>
          <w:tcPr>
            <w:tcW w:w="1842"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项目支出</w:t>
            </w:r>
          </w:p>
        </w:tc>
        <w:tc>
          <w:tcPr>
            <w:tcW w:w="1843"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上缴上级支出</w:t>
            </w:r>
          </w:p>
        </w:tc>
        <w:tc>
          <w:tcPr>
            <w:tcW w:w="1985"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经营支出</w:t>
            </w:r>
          </w:p>
        </w:tc>
        <w:tc>
          <w:tcPr>
            <w:tcW w:w="2308"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对附属单位补助支出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功能分类科目编码</w:t>
            </w:r>
          </w:p>
        </w:tc>
        <w:tc>
          <w:tcPr>
            <w:tcW w:w="1249"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科目名称</w:t>
            </w:r>
          </w:p>
        </w:tc>
        <w:tc>
          <w:tcPr>
            <w:tcW w:w="1775"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985"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842"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843"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985"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2308" w:type="dxa"/>
            <w:vMerge w:val="continue"/>
            <w:shd w:val="clear" w:color="auto" w:fill="auto"/>
            <w:vAlign w:val="center"/>
          </w:tcPr>
          <w:p>
            <w:pPr>
              <w:widowControl/>
              <w:jc w:val="left"/>
              <w:rPr>
                <w:rFonts w:ascii="Times New Roman" w:hAnsi="Times New Roman" w:eastAsia="仿宋_GB2312"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249"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775"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985"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842"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843"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985"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2308" w:type="dxa"/>
            <w:vMerge w:val="continue"/>
            <w:shd w:val="clear" w:color="auto" w:fill="auto"/>
            <w:vAlign w:val="center"/>
          </w:tcPr>
          <w:p>
            <w:pPr>
              <w:widowControl/>
              <w:jc w:val="left"/>
              <w:rPr>
                <w:rFonts w:ascii="Times New Roman" w:hAnsi="Times New Roman" w:eastAsia="仿宋_GB2312"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10" w:hRule="atLeast"/>
          <w:jc w:val="center"/>
        </w:trPr>
        <w:tc>
          <w:tcPr>
            <w:tcW w:w="2351" w:type="dxa"/>
            <w:gridSpan w:val="2"/>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栏次</w:t>
            </w:r>
          </w:p>
        </w:tc>
        <w:tc>
          <w:tcPr>
            <w:tcW w:w="1775"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985"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1842"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1843"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c>
          <w:tcPr>
            <w:tcW w:w="1985"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5</w:t>
            </w:r>
          </w:p>
        </w:tc>
        <w:tc>
          <w:tcPr>
            <w:tcW w:w="2308"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2351" w:type="dxa"/>
            <w:gridSpan w:val="2"/>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合计</w:t>
            </w:r>
          </w:p>
        </w:tc>
        <w:tc>
          <w:tcPr>
            <w:tcW w:w="1775"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985"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842"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c>
          <w:tcPr>
            <w:tcW w:w="1843"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c>
          <w:tcPr>
            <w:tcW w:w="2308"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shd w:val="clear" w:color="auto" w:fill="auto"/>
            <w:vAlign w:val="center"/>
          </w:tcPr>
          <w:p>
            <w:pPr>
              <w:widowControl/>
              <w:jc w:val="center"/>
              <w:rPr>
                <w:rFonts w:hint="eastAsia" w:ascii="Times New Roman" w:hAnsi="Times New Roman" w:eastAsia="仿宋_GB2312" w:cs="Times New Roman"/>
                <w:kern w:val="0"/>
                <w:szCs w:val="21"/>
              </w:rPr>
            </w:pPr>
          </w:p>
          <w:p>
            <w:pPr>
              <w:widowControl/>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201</w:t>
            </w:r>
          </w:p>
        </w:tc>
        <w:tc>
          <w:tcPr>
            <w:tcW w:w="124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一般公共服务支出</w:t>
            </w:r>
          </w:p>
        </w:tc>
        <w:tc>
          <w:tcPr>
            <w:tcW w:w="1775" w:type="dxa"/>
            <w:shd w:val="clear" w:color="auto" w:fill="auto"/>
            <w:vAlign w:val="center"/>
          </w:tcPr>
          <w:p>
            <w:pPr>
              <w:widowControl/>
              <w:tabs>
                <w:tab w:val="left" w:pos="559"/>
                <w:tab w:val="right" w:pos="1889"/>
              </w:tabs>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985"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842"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c>
          <w:tcPr>
            <w:tcW w:w="1843"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c>
          <w:tcPr>
            <w:tcW w:w="2308"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shd w:val="clear" w:color="auto" w:fill="auto"/>
            <w:vAlign w:val="center"/>
          </w:tcPr>
          <w:p>
            <w:pPr>
              <w:widowControl/>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20136</w:t>
            </w:r>
          </w:p>
        </w:tc>
        <w:tc>
          <w:tcPr>
            <w:tcW w:w="124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其他共产党事务支出</w:t>
            </w:r>
          </w:p>
        </w:tc>
        <w:tc>
          <w:tcPr>
            <w:tcW w:w="1775"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985"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842"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c>
          <w:tcPr>
            <w:tcW w:w="1843"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c>
          <w:tcPr>
            <w:tcW w:w="2308"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shd w:val="clear" w:color="auto" w:fill="auto"/>
            <w:vAlign w:val="center"/>
          </w:tcPr>
          <w:p>
            <w:pPr>
              <w:widowControl/>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2013601</w:t>
            </w:r>
          </w:p>
        </w:tc>
        <w:tc>
          <w:tcPr>
            <w:tcW w:w="124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 xml:space="preserve">  行政运行</w:t>
            </w:r>
          </w:p>
        </w:tc>
        <w:tc>
          <w:tcPr>
            <w:tcW w:w="1775"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985"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1842"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c>
          <w:tcPr>
            <w:tcW w:w="1843"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c>
          <w:tcPr>
            <w:tcW w:w="2308"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249"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77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3"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308"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249"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77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3"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308"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249"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77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3"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308"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bl>
    <w:p>
      <w:pPr>
        <w:widowControl/>
        <w:ind w:firstLine="630" w:firstLineChars="300"/>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注：本表反映部门本年度各项支出情况。</w:t>
      </w:r>
    </w:p>
    <w:p>
      <w:pPr>
        <w:widowControl/>
        <w:jc w:val="left"/>
        <w:rPr>
          <w:rFonts w:ascii="Times New Roman" w:hAnsi="Times New Roman" w:eastAsia="仿宋_GB2312" w:cs="Times New Roman"/>
          <w:bCs/>
          <w:kern w:val="0"/>
          <w:szCs w:val="21"/>
        </w:rPr>
      </w:pPr>
      <w:r>
        <w:rPr>
          <w:rFonts w:ascii="Times New Roman" w:hAnsi="Times New Roman" w:eastAsia="仿宋_GB2312" w:cs="Times New Roman"/>
          <w:bCs/>
          <w:kern w:val="0"/>
          <w:szCs w:val="21"/>
        </w:rPr>
        <w:br w:type="page"/>
      </w:r>
    </w:p>
    <w:p>
      <w:pPr>
        <w:widowControl/>
        <w:ind w:left="93"/>
        <w:jc w:val="center"/>
        <w:rPr>
          <w:rFonts w:ascii="Times New Roman" w:hAnsi="Times New Roman" w:eastAsia="方正小标宋_GBK" w:cs="Times New Roman"/>
          <w:color w:val="000000"/>
          <w:kern w:val="0"/>
          <w:sz w:val="36"/>
          <w:szCs w:val="21"/>
        </w:rPr>
      </w:pPr>
      <w:r>
        <w:rPr>
          <w:rFonts w:ascii="Times New Roman" w:hAnsi="Times New Roman" w:eastAsia="方正小标宋_GBK" w:cs="Times New Roman"/>
          <w:color w:val="000000"/>
          <w:kern w:val="0"/>
          <w:sz w:val="36"/>
          <w:szCs w:val="21"/>
        </w:rPr>
        <w:t>财政拨款收入支出决算总表</w:t>
      </w:r>
    </w:p>
    <w:p>
      <w:pPr>
        <w:widowControl/>
        <w:tabs>
          <w:tab w:val="left" w:pos="4453"/>
          <w:tab w:val="left" w:pos="4933"/>
          <w:tab w:val="left" w:pos="6813"/>
          <w:tab w:val="left" w:pos="11113"/>
          <w:tab w:val="left" w:pos="11549"/>
          <w:tab w:val="left" w:pos="13429"/>
          <w:tab w:val="left" w:pos="15089"/>
        </w:tabs>
        <w:spacing w:line="240" w:lineRule="exact"/>
        <w:ind w:left="91" w:right="630"/>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公开04表</w:t>
      </w:r>
    </w:p>
    <w:p>
      <w:pPr>
        <w:widowControl/>
        <w:tabs>
          <w:tab w:val="left" w:pos="13725"/>
          <w:tab w:val="left" w:pos="13755"/>
          <w:tab w:val="left" w:pos="13800"/>
        </w:tabs>
        <w:spacing w:line="240" w:lineRule="exact"/>
        <w:ind w:left="91" w:firstLine="315" w:firstLineChars="150"/>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部门</w:t>
      </w:r>
      <w:r>
        <w:rPr>
          <w:rFonts w:hint="eastAsia" w:ascii="Times New Roman" w:hAnsi="Times New Roman" w:eastAsia="仿宋_GB2312" w:cs="Times New Roman"/>
          <w:color w:val="000000"/>
          <w:kern w:val="0"/>
          <w:szCs w:val="21"/>
          <w:lang w:val="en-US" w:eastAsia="zh-CN"/>
        </w:rPr>
        <w:t>老干部服务中心</w:t>
      </w:r>
      <w:r>
        <w:rPr>
          <w:rFonts w:ascii="Times New Roman" w:hAnsi="Times New Roman" w:eastAsia="仿宋_GB2312" w:cs="Times New Roman"/>
          <w:color w:val="000000"/>
          <w:kern w:val="0"/>
          <w:szCs w:val="21"/>
        </w:rPr>
        <w:tab/>
      </w:r>
      <w:r>
        <w:rPr>
          <w:rFonts w:ascii="Times New Roman" w:hAnsi="Times New Roman" w:eastAsia="仿宋_GB2312" w:cs="Times New Roman"/>
          <w:color w:val="000000"/>
          <w:kern w:val="0"/>
          <w:szCs w:val="21"/>
        </w:rPr>
        <w:t>单位：万元</w:t>
      </w:r>
    </w:p>
    <w:tbl>
      <w:tblPr>
        <w:tblStyle w:val="7"/>
        <w:tblW w:w="1465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994"/>
        <w:gridCol w:w="480"/>
        <w:gridCol w:w="1880"/>
        <w:gridCol w:w="3761"/>
        <w:gridCol w:w="430"/>
        <w:gridCol w:w="1880"/>
        <w:gridCol w:w="1660"/>
        <w:gridCol w:w="15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62" w:hRule="atLeast"/>
          <w:jc w:val="center"/>
        </w:trPr>
        <w:tc>
          <w:tcPr>
            <w:tcW w:w="5354" w:type="dxa"/>
            <w:gridSpan w:val="3"/>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收入</w:t>
            </w:r>
          </w:p>
        </w:tc>
        <w:tc>
          <w:tcPr>
            <w:tcW w:w="9303" w:type="dxa"/>
            <w:gridSpan w:val="5"/>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支出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93" w:hRule="atLeast"/>
          <w:jc w:val="center"/>
        </w:trPr>
        <w:tc>
          <w:tcPr>
            <w:tcW w:w="2994"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项    目</w:t>
            </w:r>
          </w:p>
        </w:tc>
        <w:tc>
          <w:tcPr>
            <w:tcW w:w="480"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行次</w:t>
            </w:r>
          </w:p>
        </w:tc>
        <w:tc>
          <w:tcPr>
            <w:tcW w:w="1880"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金额</w:t>
            </w:r>
          </w:p>
        </w:tc>
        <w:tc>
          <w:tcPr>
            <w:tcW w:w="3761"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项    目</w:t>
            </w:r>
          </w:p>
        </w:tc>
        <w:tc>
          <w:tcPr>
            <w:tcW w:w="430"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行次</w:t>
            </w:r>
          </w:p>
        </w:tc>
        <w:tc>
          <w:tcPr>
            <w:tcW w:w="1880"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合计</w:t>
            </w:r>
          </w:p>
        </w:tc>
        <w:tc>
          <w:tcPr>
            <w:tcW w:w="1660"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一般公共预算财政拨款</w:t>
            </w:r>
          </w:p>
        </w:tc>
        <w:tc>
          <w:tcPr>
            <w:tcW w:w="1572"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政府性基金预算财政拨款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栏    次</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3761"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栏    次</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1572"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一、一般公共预算财政拨款</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一、一般公共服务支出</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15</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r>
              <w:rPr>
                <w:rFonts w:ascii="Times New Roman" w:hAnsi="Times New Roman" w:eastAsia="仿宋_GB2312" w:cs="Times New Roman"/>
                <w:kern w:val="0"/>
                <w:szCs w:val="21"/>
              </w:rPr>
              <w:t>　</w:t>
            </w:r>
          </w:p>
        </w:tc>
        <w:tc>
          <w:tcPr>
            <w:tcW w:w="1572"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二、政府性基金预算财政拨款</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二、外交支出</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16</w:t>
            </w:r>
          </w:p>
        </w:tc>
        <w:tc>
          <w:tcPr>
            <w:tcW w:w="1880" w:type="dxa"/>
            <w:shd w:val="clear" w:color="auto" w:fill="auto"/>
            <w:vAlign w:val="center"/>
          </w:tcPr>
          <w:p>
            <w:pPr>
              <w:widowControl/>
              <w:jc w:val="center"/>
              <w:rPr>
                <w:rFonts w:hint="eastAsia" w:ascii="Times New Roman" w:hAnsi="Times New Roman" w:eastAsia="仿宋_GB2312" w:cs="Times New Roman"/>
                <w:kern w:val="0"/>
                <w:szCs w:val="21"/>
                <w:lang w:eastAsia="zh-CN"/>
              </w:rPr>
            </w:pPr>
            <w:r>
              <w:rPr>
                <w:rFonts w:hint="eastAsia" w:ascii="Times New Roman" w:hAnsi="Times New Roman" w:eastAsia="仿宋_GB2312" w:cs="Times New Roman"/>
                <w:kern w:val="0"/>
                <w:szCs w:val="21"/>
                <w:lang w:eastAsia="zh-CN"/>
              </w:rPr>
              <w:t>0</w:t>
            </w:r>
          </w:p>
        </w:tc>
        <w:tc>
          <w:tcPr>
            <w:tcW w:w="1660" w:type="dxa"/>
            <w:shd w:val="clear" w:color="auto" w:fill="auto"/>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c>
          <w:tcPr>
            <w:tcW w:w="1572" w:type="dxa"/>
            <w:shd w:val="clear" w:color="auto" w:fill="auto"/>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三、国防支出</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17</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572" w:type="dxa"/>
            <w:shd w:val="clear" w:color="auto" w:fill="auto"/>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四、公共安全支出</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18</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660" w:type="dxa"/>
            <w:shd w:val="clear" w:color="auto" w:fill="auto"/>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c>
          <w:tcPr>
            <w:tcW w:w="1572" w:type="dxa"/>
            <w:shd w:val="clear" w:color="auto" w:fill="auto"/>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5</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五、教育支出</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19</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0</w:t>
            </w:r>
          </w:p>
        </w:tc>
        <w:tc>
          <w:tcPr>
            <w:tcW w:w="1572" w:type="dxa"/>
            <w:shd w:val="clear" w:color="auto" w:fill="auto"/>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6</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六、科学技术支出</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20</w:t>
            </w:r>
          </w:p>
        </w:tc>
        <w:tc>
          <w:tcPr>
            <w:tcW w:w="1880" w:type="dxa"/>
            <w:shd w:val="clear" w:color="auto" w:fill="auto"/>
            <w:vAlign w:val="center"/>
          </w:tcPr>
          <w:p>
            <w:pPr>
              <w:widowControl/>
              <w:jc w:val="center"/>
              <w:rPr>
                <w:rFonts w:hint="default" w:ascii="Times New Roman" w:hAnsi="Times New Roman" w:eastAsia="仿宋_GB2312" w:cs="Times New Roman"/>
                <w:kern w:val="0"/>
                <w:szCs w:val="21"/>
                <w:lang w:val="en-US"/>
              </w:rPr>
            </w:pPr>
            <w:r>
              <w:rPr>
                <w:rFonts w:hint="eastAsia" w:ascii="Times New Roman" w:hAnsi="Times New Roman" w:eastAsia="仿宋_GB2312" w:cs="Times New Roman"/>
                <w:kern w:val="0"/>
                <w:szCs w:val="21"/>
                <w:lang w:val="en-US" w:eastAsia="zh-CN"/>
              </w:rPr>
              <w:t>0</w:t>
            </w:r>
            <w:r>
              <w:rPr>
                <w:rFonts w:hint="default" w:ascii="Times New Roman" w:hAnsi="Times New Roman" w:eastAsia="仿宋_GB2312" w:cs="Times New Roman"/>
                <w:kern w:val="0"/>
                <w:szCs w:val="21"/>
                <w:lang w:val="en-US"/>
              </w:rPr>
              <w:t>　</w:t>
            </w:r>
          </w:p>
        </w:tc>
        <w:tc>
          <w:tcPr>
            <w:tcW w:w="1660" w:type="dxa"/>
            <w:shd w:val="clear" w:color="auto" w:fill="auto"/>
            <w:vAlign w:val="center"/>
          </w:tcPr>
          <w:p>
            <w:pPr>
              <w:widowControl/>
              <w:jc w:val="center"/>
              <w:rPr>
                <w:rFonts w:hint="default" w:ascii="Times New Roman" w:hAnsi="Times New Roman" w:eastAsia="仿宋_GB2312" w:cs="Times New Roman"/>
                <w:kern w:val="0"/>
                <w:szCs w:val="21"/>
                <w:lang w:val="en-US"/>
              </w:rPr>
            </w:pPr>
            <w:r>
              <w:rPr>
                <w:rFonts w:hint="eastAsia" w:ascii="Times New Roman" w:hAnsi="Times New Roman" w:eastAsia="仿宋_GB2312" w:cs="Times New Roman"/>
                <w:kern w:val="0"/>
                <w:szCs w:val="21"/>
                <w:lang w:val="en-US" w:eastAsia="zh-CN"/>
              </w:rPr>
              <w:t>0</w:t>
            </w:r>
            <w:r>
              <w:rPr>
                <w:rFonts w:hint="default" w:ascii="Times New Roman" w:hAnsi="Times New Roman" w:eastAsia="仿宋_GB2312" w:cs="Times New Roman"/>
                <w:kern w:val="0"/>
                <w:szCs w:val="21"/>
                <w:lang w:val="en-US"/>
              </w:rPr>
              <w:t>　</w:t>
            </w:r>
          </w:p>
        </w:tc>
        <w:tc>
          <w:tcPr>
            <w:tcW w:w="1572" w:type="dxa"/>
            <w:shd w:val="clear" w:color="auto" w:fill="auto"/>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7</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七、</w:t>
            </w:r>
            <w:r>
              <w:rPr>
                <w:rFonts w:ascii="Times New Roman" w:hAnsi="Times New Roman" w:eastAsia="仿宋_GB2312" w:cs="Times New Roman"/>
                <w:kern w:val="0"/>
                <w:szCs w:val="21"/>
              </w:rPr>
              <w:t>…</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21</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center"/>
              <w:rPr>
                <w:rFonts w:ascii="Times New Roman" w:hAnsi="Times New Roman" w:eastAsia="仿宋_GB2312"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8</w:t>
            </w:r>
          </w:p>
        </w:tc>
        <w:tc>
          <w:tcPr>
            <w:tcW w:w="188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22</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本年收入合计</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9</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3761" w:type="dxa"/>
            <w:shd w:val="clear" w:color="auto" w:fill="auto"/>
            <w:vAlign w:val="center"/>
          </w:tcPr>
          <w:p>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本年支出合计</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23</w:t>
            </w:r>
          </w:p>
        </w:tc>
        <w:tc>
          <w:tcPr>
            <w:tcW w:w="1880" w:type="dxa"/>
            <w:shd w:val="clear" w:color="auto" w:fill="auto"/>
            <w:vAlign w:val="center"/>
          </w:tcPr>
          <w:p>
            <w:pPr>
              <w:widowControl/>
              <w:jc w:val="center"/>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293</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r>
              <w:rPr>
                <w:rFonts w:ascii="Times New Roman" w:hAnsi="Times New Roman" w:eastAsia="仿宋_GB2312" w:cs="Times New Roman"/>
                <w:kern w:val="0"/>
                <w:szCs w:val="21"/>
              </w:rPr>
              <w:t>　</w:t>
            </w:r>
          </w:p>
        </w:tc>
        <w:tc>
          <w:tcPr>
            <w:tcW w:w="1572" w:type="dxa"/>
            <w:shd w:val="clear" w:color="auto" w:fill="auto"/>
            <w:vAlign w:val="center"/>
          </w:tcPr>
          <w:p>
            <w:pPr>
              <w:widowControl/>
              <w:jc w:val="left"/>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年初财政拨款结转和结余</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10</w:t>
            </w:r>
          </w:p>
        </w:tc>
        <w:tc>
          <w:tcPr>
            <w:tcW w:w="1880" w:type="dxa"/>
            <w:shd w:val="clear" w:color="auto" w:fill="auto"/>
            <w:vAlign w:val="center"/>
          </w:tcPr>
          <w:p>
            <w:pPr>
              <w:widowControl/>
              <w:jc w:val="center"/>
              <w:rPr>
                <w:rFonts w:ascii="Times New Roman" w:hAnsi="Times New Roman" w:eastAsia="仿宋_GB2312" w:cs="Times New Roman"/>
                <w:kern w:val="0"/>
                <w:szCs w:val="21"/>
              </w:rPr>
            </w:pPr>
          </w:p>
        </w:tc>
        <w:tc>
          <w:tcPr>
            <w:tcW w:w="3761"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年末财政拨款结转和结余</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24</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一、</w:t>
            </w:r>
            <w:r>
              <w:rPr>
                <w:rFonts w:ascii="Times New Roman" w:hAnsi="Times New Roman" w:eastAsia="仿宋_GB2312" w:cs="Times New Roman"/>
                <w:kern w:val="0"/>
                <w:szCs w:val="21"/>
              </w:rPr>
              <w:t>一般公共预算财政拨款</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11</w:t>
            </w:r>
          </w:p>
        </w:tc>
        <w:tc>
          <w:tcPr>
            <w:tcW w:w="1880" w:type="dxa"/>
            <w:shd w:val="clear" w:color="auto" w:fill="auto"/>
            <w:vAlign w:val="center"/>
          </w:tcPr>
          <w:p>
            <w:pPr>
              <w:widowControl/>
              <w:jc w:val="center"/>
              <w:rPr>
                <w:rFonts w:ascii="Times New Roman" w:hAnsi="Times New Roman" w:eastAsia="仿宋_GB2312" w:cs="Times New Roman"/>
                <w:kern w:val="0"/>
                <w:szCs w:val="21"/>
              </w:rPr>
            </w:pP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25</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二、</w:t>
            </w:r>
            <w:r>
              <w:rPr>
                <w:rFonts w:ascii="Times New Roman" w:hAnsi="Times New Roman" w:eastAsia="仿宋_GB2312" w:cs="Times New Roman"/>
                <w:kern w:val="0"/>
                <w:szCs w:val="21"/>
              </w:rPr>
              <w:t>政府性基金预算财政拨款</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12</w:t>
            </w:r>
          </w:p>
        </w:tc>
        <w:tc>
          <w:tcPr>
            <w:tcW w:w="1880" w:type="dxa"/>
            <w:shd w:val="clear" w:color="auto" w:fill="auto"/>
            <w:vAlign w:val="center"/>
          </w:tcPr>
          <w:p>
            <w:pPr>
              <w:widowControl/>
              <w:jc w:val="center"/>
              <w:rPr>
                <w:rFonts w:ascii="Times New Roman" w:hAnsi="Times New Roman" w:eastAsia="仿宋_GB2312" w:cs="Times New Roman"/>
                <w:kern w:val="0"/>
                <w:szCs w:val="21"/>
              </w:rPr>
            </w:pP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26</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13</w:t>
            </w:r>
          </w:p>
        </w:tc>
        <w:tc>
          <w:tcPr>
            <w:tcW w:w="1880" w:type="dxa"/>
            <w:shd w:val="clear" w:color="auto" w:fill="auto"/>
            <w:vAlign w:val="center"/>
          </w:tcPr>
          <w:p>
            <w:pPr>
              <w:widowControl/>
              <w:jc w:val="center"/>
              <w:rPr>
                <w:rFonts w:ascii="Times New Roman" w:hAnsi="Times New Roman" w:eastAsia="仿宋_GB2312" w:cs="Times New Roman"/>
                <w:kern w:val="0"/>
                <w:szCs w:val="21"/>
              </w:rPr>
            </w:pP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27</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总计</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14</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p>
        </w:tc>
        <w:tc>
          <w:tcPr>
            <w:tcW w:w="3761" w:type="dxa"/>
            <w:shd w:val="clear" w:color="auto" w:fill="auto"/>
            <w:vAlign w:val="center"/>
          </w:tcPr>
          <w:p>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总计</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28</w:t>
            </w:r>
          </w:p>
        </w:tc>
        <w:tc>
          <w:tcPr>
            <w:tcW w:w="1880" w:type="dxa"/>
            <w:shd w:val="clear" w:color="auto" w:fill="auto"/>
            <w:vAlign w:val="center"/>
          </w:tcPr>
          <w:p>
            <w:pPr>
              <w:widowControl/>
              <w:jc w:val="center"/>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293</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r>
              <w:rPr>
                <w:rFonts w:ascii="Times New Roman" w:hAnsi="Times New Roman" w:eastAsia="仿宋_GB2312" w:cs="Times New Roman"/>
                <w:kern w:val="0"/>
                <w:szCs w:val="21"/>
              </w:rPr>
              <w:t>　</w:t>
            </w:r>
          </w:p>
        </w:tc>
        <w:tc>
          <w:tcPr>
            <w:tcW w:w="1572" w:type="dxa"/>
            <w:shd w:val="clear" w:color="auto" w:fill="auto"/>
            <w:vAlign w:val="center"/>
          </w:tcPr>
          <w:p>
            <w:pPr>
              <w:widowControl/>
              <w:jc w:val="left"/>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　</w:t>
            </w:r>
          </w:p>
        </w:tc>
      </w:tr>
    </w:tbl>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注：本表反映部门本年度一般公共预算财政拨款和政府性基金预算财政拨款的总收支和年末结转结余情况。</w:t>
      </w:r>
    </w:p>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br w:type="page"/>
      </w:r>
    </w:p>
    <w:p>
      <w:pPr>
        <w:widowControl/>
        <w:jc w:val="center"/>
        <w:rPr>
          <w:rFonts w:ascii="Times New Roman" w:hAnsi="Times New Roman" w:eastAsia="方正小标宋_GBK" w:cs="Times New Roman"/>
          <w:kern w:val="0"/>
          <w:sz w:val="36"/>
          <w:szCs w:val="36"/>
        </w:rPr>
      </w:pPr>
      <w:bookmarkStart w:id="0" w:name="RANGE!A1:F16"/>
      <w:r>
        <w:rPr>
          <w:rFonts w:ascii="Times New Roman" w:hAnsi="Times New Roman" w:eastAsia="方正小标宋_GBK" w:cs="Times New Roman"/>
          <w:kern w:val="0"/>
          <w:sz w:val="36"/>
          <w:szCs w:val="36"/>
        </w:rPr>
        <w:t>一般公共预算财政拨款支出决算表</w:t>
      </w:r>
      <w:bookmarkEnd w:id="0"/>
    </w:p>
    <w:p>
      <w:pPr>
        <w:widowControl/>
        <w:spacing w:before="156" w:beforeLines="50"/>
        <w:jc w:val="left"/>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部门：</w:t>
      </w:r>
      <w:r>
        <w:rPr>
          <w:rFonts w:hint="eastAsia" w:ascii="Times New Roman" w:hAnsi="Times New Roman" w:eastAsia="仿宋_GB2312" w:cs="Times New Roman"/>
          <w:color w:val="000000"/>
          <w:kern w:val="0"/>
          <w:szCs w:val="21"/>
          <w:lang w:val="en-US" w:eastAsia="zh-CN"/>
        </w:rPr>
        <w:t>老干部服务中心</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 xml:space="preserve">                                                公开05表</w:t>
      </w:r>
    </w:p>
    <w:p>
      <w:pPr>
        <w:widowControl/>
        <w:jc w:val="left"/>
        <w:rPr>
          <w:rFonts w:ascii="Times New Roman" w:hAnsi="Times New Roman" w:eastAsia="宋体" w:cs="Times New Roman"/>
          <w:color w:val="000000"/>
          <w:kern w:val="0"/>
          <w:sz w:val="20"/>
          <w:szCs w:val="20"/>
        </w:rPr>
      </w:pP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 xml:space="preserve">       单位：万元</w:t>
      </w:r>
    </w:p>
    <w:tbl>
      <w:tblPr>
        <w:tblStyle w:val="7"/>
        <w:tblW w:w="14219" w:type="dxa"/>
        <w:jc w:val="center"/>
        <w:tblLayout w:type="fixed"/>
        <w:tblCellMar>
          <w:top w:w="0" w:type="dxa"/>
          <w:left w:w="108" w:type="dxa"/>
          <w:bottom w:w="0" w:type="dxa"/>
          <w:right w:w="108" w:type="dxa"/>
        </w:tblCellMar>
      </w:tblPr>
      <w:tblGrid>
        <w:gridCol w:w="1200"/>
        <w:gridCol w:w="3527"/>
        <w:gridCol w:w="3000"/>
        <w:gridCol w:w="3492"/>
        <w:gridCol w:w="3000"/>
      </w:tblGrid>
      <w:tr>
        <w:trPr>
          <w:trHeight w:val="405" w:hRule="atLeast"/>
          <w:jc w:val="center"/>
        </w:trPr>
        <w:tc>
          <w:tcPr>
            <w:tcW w:w="4727" w:type="dxa"/>
            <w:gridSpan w:val="2"/>
            <w:tcBorders>
              <w:top w:val="single" w:color="auto" w:sz="8"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 xml:space="preserve">项 </w:t>
            </w:r>
            <w:r>
              <w:rPr>
                <w:rFonts w:ascii="Times New Roman" w:hAnsi="Times New Roman" w:eastAsia="仿宋_GB2312" w:cs="Times New Roman"/>
                <w:b/>
                <w:color w:val="000000"/>
                <w:kern w:val="0"/>
                <w:szCs w:val="21"/>
              </w:rPr>
              <w:t xml:space="preserve">   </w:t>
            </w:r>
            <w:r>
              <w:rPr>
                <w:rFonts w:ascii="Times New Roman" w:hAnsi="Times New Roman" w:eastAsia="仿宋_GB2312" w:cs="Times New Roman"/>
                <w:b/>
                <w:kern w:val="0"/>
                <w:szCs w:val="21"/>
              </w:rPr>
              <w:t>目</w:t>
            </w:r>
          </w:p>
        </w:tc>
        <w:tc>
          <w:tcPr>
            <w:tcW w:w="9492" w:type="dxa"/>
            <w:gridSpan w:val="3"/>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本年支出</w:t>
            </w:r>
          </w:p>
        </w:tc>
      </w:tr>
      <w:tr>
        <w:trPr>
          <w:trHeight w:val="495" w:hRule="atLeast"/>
          <w:jc w:val="center"/>
        </w:trPr>
        <w:tc>
          <w:tcPr>
            <w:tcW w:w="1200"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功能分类科目编码</w:t>
            </w:r>
          </w:p>
        </w:tc>
        <w:tc>
          <w:tcPr>
            <w:tcW w:w="352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科目名称</w:t>
            </w:r>
          </w:p>
        </w:tc>
        <w:tc>
          <w:tcPr>
            <w:tcW w:w="30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小计</w:t>
            </w:r>
          </w:p>
        </w:tc>
        <w:tc>
          <w:tcPr>
            <w:tcW w:w="349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基本支出</w:t>
            </w:r>
          </w:p>
        </w:tc>
        <w:tc>
          <w:tcPr>
            <w:tcW w:w="3000" w:type="dxa"/>
            <w:vMerge w:val="restart"/>
            <w:tcBorders>
              <w:top w:val="nil"/>
              <w:left w:val="single" w:color="auto" w:sz="4" w:space="0"/>
              <w:bottom w:val="single" w:color="000000" w:sz="4" w:space="0"/>
              <w:right w:val="single" w:color="auto" w:sz="8" w:space="0"/>
            </w:tcBorders>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项目支出</w:t>
            </w:r>
          </w:p>
        </w:tc>
      </w:tr>
      <w:tr>
        <w:trPr>
          <w:trHeight w:val="360" w:hRule="atLeast"/>
          <w:jc w:val="center"/>
        </w:trPr>
        <w:tc>
          <w:tcPr>
            <w:tcW w:w="120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52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00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492"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000" w:type="dxa"/>
            <w:vMerge w:val="continue"/>
            <w:tcBorders>
              <w:top w:val="nil"/>
              <w:left w:val="single" w:color="auto" w:sz="4" w:space="0"/>
              <w:bottom w:val="single" w:color="000000" w:sz="4" w:space="0"/>
              <w:right w:val="single" w:color="auto" w:sz="8" w:space="0"/>
            </w:tcBorders>
            <w:vAlign w:val="center"/>
          </w:tcPr>
          <w:p>
            <w:pPr>
              <w:widowControl/>
              <w:jc w:val="left"/>
              <w:rPr>
                <w:rFonts w:ascii="Times New Roman" w:hAnsi="Times New Roman" w:eastAsia="仿宋_GB2312" w:cs="Times New Roman"/>
                <w:kern w:val="0"/>
                <w:szCs w:val="21"/>
              </w:rPr>
            </w:pPr>
          </w:p>
        </w:tc>
      </w:tr>
      <w:tr>
        <w:trPr>
          <w:trHeight w:val="450" w:hRule="atLeast"/>
          <w:jc w:val="center"/>
        </w:trPr>
        <w:tc>
          <w:tcPr>
            <w:tcW w:w="120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52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00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492"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000" w:type="dxa"/>
            <w:vMerge w:val="continue"/>
            <w:tcBorders>
              <w:top w:val="nil"/>
              <w:left w:val="single" w:color="auto" w:sz="4" w:space="0"/>
              <w:bottom w:val="single" w:color="000000" w:sz="4" w:space="0"/>
              <w:right w:val="single" w:color="auto" w:sz="8" w:space="0"/>
            </w:tcBorders>
            <w:vAlign w:val="center"/>
          </w:tcPr>
          <w:p>
            <w:pPr>
              <w:widowControl/>
              <w:jc w:val="left"/>
              <w:rPr>
                <w:rFonts w:ascii="Times New Roman" w:hAnsi="Times New Roman" w:eastAsia="仿宋_GB2312" w:cs="Times New Roman"/>
                <w:kern w:val="0"/>
                <w:szCs w:val="21"/>
              </w:rPr>
            </w:pPr>
          </w:p>
        </w:tc>
      </w:tr>
      <w:tr>
        <w:trPr>
          <w:trHeight w:val="450" w:hRule="atLeast"/>
          <w:jc w:val="center"/>
        </w:trPr>
        <w:tc>
          <w:tcPr>
            <w:tcW w:w="472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栏次</w:t>
            </w:r>
          </w:p>
        </w:tc>
        <w:tc>
          <w:tcPr>
            <w:tcW w:w="300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34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3000"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r>
      <w:tr>
        <w:trPr>
          <w:trHeight w:val="450" w:hRule="atLeast"/>
          <w:jc w:val="center"/>
        </w:trPr>
        <w:tc>
          <w:tcPr>
            <w:tcW w:w="472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合计</w:t>
            </w:r>
          </w:p>
        </w:tc>
        <w:tc>
          <w:tcPr>
            <w:tcW w:w="300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r>
              <w:rPr>
                <w:rFonts w:ascii="Times New Roman" w:hAnsi="Times New Roman" w:eastAsia="仿宋_GB2312" w:cs="Times New Roman"/>
                <w:kern w:val="0"/>
                <w:szCs w:val="21"/>
              </w:rPr>
              <w:t>　</w:t>
            </w:r>
          </w:p>
        </w:tc>
        <w:tc>
          <w:tcPr>
            <w:tcW w:w="34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293</w:t>
            </w:r>
            <w:r>
              <w:rPr>
                <w:rFonts w:ascii="Times New Roman" w:hAnsi="Times New Roman" w:eastAsia="仿宋_GB2312" w:cs="Times New Roman"/>
                <w:kern w:val="0"/>
                <w:szCs w:val="21"/>
              </w:rPr>
              <w:t>　</w:t>
            </w:r>
          </w:p>
        </w:tc>
        <w:tc>
          <w:tcPr>
            <w:tcW w:w="3000" w:type="dxa"/>
            <w:tcBorders>
              <w:top w:val="nil"/>
              <w:left w:val="nil"/>
              <w:bottom w:val="single" w:color="auto" w:sz="4" w:space="0"/>
              <w:right w:val="single" w:color="auto" w:sz="8" w:space="0"/>
            </w:tcBorders>
            <w:shd w:val="clear" w:color="auto" w:fill="auto"/>
            <w:vAlign w:val="center"/>
          </w:tcPr>
          <w:p>
            <w:pPr>
              <w:widowControl/>
              <w:jc w:val="center"/>
              <w:rPr>
                <w:rFonts w:hint="eastAsia"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0</w:t>
            </w:r>
          </w:p>
        </w:tc>
      </w:tr>
      <w:tr>
        <w:trPr>
          <w:trHeight w:val="450" w:hRule="atLeast"/>
          <w:jc w:val="center"/>
        </w:trPr>
        <w:tc>
          <w:tcPr>
            <w:tcW w:w="1200"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201</w:t>
            </w:r>
            <w:r>
              <w:rPr>
                <w:rFonts w:ascii="Times New Roman" w:hAnsi="Times New Roman" w:eastAsia="仿宋_GB2312" w:cs="Times New Roman"/>
                <w:kern w:val="0"/>
                <w:szCs w:val="21"/>
              </w:rPr>
              <w:t>　</w:t>
            </w:r>
          </w:p>
        </w:tc>
        <w:tc>
          <w:tcPr>
            <w:tcW w:w="352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一般公共服务支出</w:t>
            </w:r>
          </w:p>
        </w:tc>
        <w:tc>
          <w:tcPr>
            <w:tcW w:w="300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293</w:t>
            </w:r>
          </w:p>
        </w:tc>
        <w:tc>
          <w:tcPr>
            <w:tcW w:w="3492"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293</w:t>
            </w:r>
          </w:p>
        </w:tc>
        <w:tc>
          <w:tcPr>
            <w:tcW w:w="3000" w:type="dxa"/>
            <w:tcBorders>
              <w:top w:val="nil"/>
              <w:left w:val="nil"/>
              <w:bottom w:val="single" w:color="auto" w:sz="4" w:space="0"/>
              <w:right w:val="single" w:color="auto" w:sz="8" w:space="0"/>
            </w:tcBorders>
            <w:shd w:val="clear" w:color="auto" w:fill="auto"/>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rPr>
          <w:trHeight w:val="450" w:hRule="atLeast"/>
          <w:jc w:val="center"/>
        </w:trPr>
        <w:tc>
          <w:tcPr>
            <w:tcW w:w="1200"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20136</w:t>
            </w:r>
            <w:r>
              <w:rPr>
                <w:rFonts w:ascii="Times New Roman" w:hAnsi="Times New Roman" w:eastAsia="仿宋_GB2312" w:cs="Times New Roman"/>
                <w:kern w:val="0"/>
                <w:szCs w:val="21"/>
              </w:rPr>
              <w:t>　</w:t>
            </w:r>
          </w:p>
        </w:tc>
        <w:tc>
          <w:tcPr>
            <w:tcW w:w="352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其他共产党事务支出</w:t>
            </w:r>
          </w:p>
        </w:tc>
        <w:tc>
          <w:tcPr>
            <w:tcW w:w="300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293</w:t>
            </w:r>
          </w:p>
        </w:tc>
        <w:tc>
          <w:tcPr>
            <w:tcW w:w="3492"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293</w:t>
            </w:r>
          </w:p>
        </w:tc>
        <w:tc>
          <w:tcPr>
            <w:tcW w:w="3000" w:type="dxa"/>
            <w:tcBorders>
              <w:top w:val="nil"/>
              <w:left w:val="nil"/>
              <w:bottom w:val="single" w:color="auto" w:sz="4" w:space="0"/>
              <w:right w:val="single" w:color="auto" w:sz="8" w:space="0"/>
            </w:tcBorders>
            <w:shd w:val="clear" w:color="auto" w:fill="auto"/>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rPr>
          <w:trHeight w:val="450" w:hRule="atLeast"/>
          <w:jc w:val="center"/>
        </w:trPr>
        <w:tc>
          <w:tcPr>
            <w:tcW w:w="1200"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2013601</w:t>
            </w:r>
          </w:p>
        </w:tc>
        <w:tc>
          <w:tcPr>
            <w:tcW w:w="352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 xml:space="preserve">  行政运行</w:t>
            </w:r>
          </w:p>
        </w:tc>
        <w:tc>
          <w:tcPr>
            <w:tcW w:w="300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293</w:t>
            </w:r>
          </w:p>
        </w:tc>
        <w:tc>
          <w:tcPr>
            <w:tcW w:w="3492"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293</w:t>
            </w:r>
          </w:p>
        </w:tc>
        <w:tc>
          <w:tcPr>
            <w:tcW w:w="3000" w:type="dxa"/>
            <w:tcBorders>
              <w:top w:val="nil"/>
              <w:left w:val="nil"/>
              <w:bottom w:val="single" w:color="auto" w:sz="4" w:space="0"/>
              <w:right w:val="single" w:color="auto" w:sz="8" w:space="0"/>
            </w:tcBorders>
            <w:shd w:val="clear" w:color="auto" w:fill="auto"/>
            <w:vAlign w:val="center"/>
          </w:tcPr>
          <w:p>
            <w:pPr>
              <w:widowControl/>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p>
        </w:tc>
      </w:tr>
      <w:tr>
        <w:trPr>
          <w:trHeight w:val="450" w:hRule="atLeast"/>
          <w:jc w:val="center"/>
        </w:trPr>
        <w:tc>
          <w:tcPr>
            <w:tcW w:w="1200"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52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00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49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000" w:type="dxa"/>
            <w:tcBorders>
              <w:top w:val="nil"/>
              <w:left w:val="nil"/>
              <w:bottom w:val="single" w:color="auto" w:sz="4"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200"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52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00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49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000" w:type="dxa"/>
            <w:tcBorders>
              <w:top w:val="nil"/>
              <w:left w:val="nil"/>
              <w:bottom w:val="single" w:color="auto" w:sz="4"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200" w:type="dxa"/>
            <w:tcBorders>
              <w:top w:val="single" w:color="auto" w:sz="4" w:space="0"/>
              <w:left w:val="single" w:color="auto" w:sz="8" w:space="0"/>
              <w:bottom w:val="single" w:color="auto" w:sz="8"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527" w:type="dxa"/>
            <w:tcBorders>
              <w:top w:val="nil"/>
              <w:left w:val="nil"/>
              <w:bottom w:val="single" w:color="auto" w:sz="8"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000" w:type="dxa"/>
            <w:tcBorders>
              <w:top w:val="nil"/>
              <w:left w:val="nil"/>
              <w:bottom w:val="single" w:color="auto" w:sz="8"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492" w:type="dxa"/>
            <w:tcBorders>
              <w:top w:val="nil"/>
              <w:left w:val="nil"/>
              <w:bottom w:val="single" w:color="auto" w:sz="8"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00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645" w:hRule="atLeast"/>
          <w:jc w:val="center"/>
        </w:trPr>
        <w:tc>
          <w:tcPr>
            <w:tcW w:w="14219" w:type="dxa"/>
            <w:gridSpan w:val="5"/>
            <w:tcBorders>
              <w:top w:val="nil"/>
              <w:left w:val="nil"/>
              <w:bottom w:val="nil"/>
              <w:right w:val="nil"/>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注：本表反映部门本年度一般公共预算财政拨款支出情况。</w:t>
            </w:r>
          </w:p>
        </w:tc>
      </w:tr>
    </w:tbl>
    <w:p>
      <w:pPr>
        <w:widowControl/>
        <w:jc w:val="left"/>
        <w:rPr>
          <w:rFonts w:ascii="Times New Roman" w:hAnsi="Times New Roman" w:eastAsia="仿宋_GB2312" w:cs="Times New Roman"/>
          <w:bCs/>
          <w:kern w:val="0"/>
          <w:szCs w:val="21"/>
        </w:rPr>
      </w:pPr>
    </w:p>
    <w:p>
      <w:pPr>
        <w:widowControl/>
        <w:jc w:val="left"/>
        <w:rPr>
          <w:rFonts w:ascii="Times New Roman" w:hAnsi="Times New Roman" w:eastAsia="仿宋_GB2312" w:cs="Times New Roman"/>
          <w:bCs/>
          <w:kern w:val="0"/>
          <w:szCs w:val="21"/>
        </w:rPr>
      </w:pPr>
      <w:r>
        <w:rPr>
          <w:rFonts w:ascii="Times New Roman" w:hAnsi="Times New Roman" w:eastAsia="仿宋_GB2312" w:cs="Times New Roman"/>
          <w:bCs/>
          <w:kern w:val="0"/>
          <w:szCs w:val="21"/>
        </w:rPr>
        <w:br w:type="page"/>
      </w:r>
    </w:p>
    <w:p>
      <w:pPr>
        <w:widowControl/>
        <w:jc w:val="center"/>
        <w:rPr>
          <w:rFonts w:ascii="Times New Roman" w:hAnsi="Times New Roman" w:eastAsia="方正小标宋_GBK" w:cs="Times New Roman"/>
          <w:color w:val="000000"/>
          <w:kern w:val="0"/>
          <w:sz w:val="28"/>
          <w:szCs w:val="36"/>
        </w:rPr>
      </w:pPr>
      <w:bookmarkStart w:id="1" w:name="RANGE!A1:I39"/>
      <w:r>
        <w:rPr>
          <w:rFonts w:ascii="Times New Roman" w:hAnsi="Times New Roman" w:eastAsia="方正小标宋_GBK" w:cs="Times New Roman"/>
          <w:color w:val="000000"/>
          <w:kern w:val="0"/>
          <w:sz w:val="28"/>
          <w:szCs w:val="36"/>
        </w:rPr>
        <w:t>一般公共预算财政拨款基本支出决算表</w:t>
      </w:r>
      <w:bookmarkEnd w:id="1"/>
    </w:p>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部门： </w:t>
      </w:r>
      <w:r>
        <w:rPr>
          <w:rFonts w:hint="eastAsia" w:ascii="Times New Roman" w:hAnsi="Times New Roman" w:eastAsia="仿宋_GB2312" w:cs="Times New Roman"/>
          <w:color w:val="000000"/>
          <w:kern w:val="0"/>
          <w:szCs w:val="21"/>
          <w:lang w:val="en-US" w:eastAsia="zh-CN"/>
        </w:rPr>
        <w:t>老干部服务中心</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 xml:space="preserve">          公开06表</w:t>
      </w:r>
    </w:p>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单位：万元</w:t>
      </w:r>
    </w:p>
    <w:tbl>
      <w:tblPr>
        <w:tblStyle w:val="7"/>
        <w:tblW w:w="15900" w:type="dxa"/>
        <w:tblInd w:w="93" w:type="dxa"/>
        <w:tblLayout w:type="fixed"/>
        <w:tblCellMar>
          <w:top w:w="0" w:type="dxa"/>
          <w:left w:w="108" w:type="dxa"/>
          <w:bottom w:w="0" w:type="dxa"/>
          <w:right w:w="108" w:type="dxa"/>
        </w:tblCellMar>
      </w:tblPr>
      <w:tblGrid>
        <w:gridCol w:w="1149"/>
        <w:gridCol w:w="3306"/>
        <w:gridCol w:w="856"/>
        <w:gridCol w:w="1110"/>
        <w:gridCol w:w="2297"/>
        <w:gridCol w:w="856"/>
        <w:gridCol w:w="1076"/>
        <w:gridCol w:w="4394"/>
        <w:gridCol w:w="856"/>
      </w:tblGrid>
      <w:tr>
        <w:trPr>
          <w:trHeight w:val="585" w:hRule="atLeast"/>
        </w:trPr>
        <w:tc>
          <w:tcPr>
            <w:tcW w:w="114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经济分类科目编码</w:t>
            </w:r>
          </w:p>
        </w:tc>
        <w:tc>
          <w:tcPr>
            <w:tcW w:w="330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科目名称</w:t>
            </w:r>
          </w:p>
        </w:tc>
        <w:tc>
          <w:tcPr>
            <w:tcW w:w="85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决算数</w:t>
            </w:r>
          </w:p>
        </w:tc>
        <w:tc>
          <w:tcPr>
            <w:tcW w:w="111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经济分类科目编码</w:t>
            </w:r>
          </w:p>
        </w:tc>
        <w:tc>
          <w:tcPr>
            <w:tcW w:w="2297"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科目名称</w:t>
            </w:r>
          </w:p>
        </w:tc>
        <w:tc>
          <w:tcPr>
            <w:tcW w:w="85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决算数</w:t>
            </w:r>
          </w:p>
        </w:tc>
        <w:tc>
          <w:tcPr>
            <w:tcW w:w="107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经济分类科目编码</w:t>
            </w:r>
          </w:p>
        </w:tc>
        <w:tc>
          <w:tcPr>
            <w:tcW w:w="4394"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科目名称</w:t>
            </w:r>
          </w:p>
        </w:tc>
        <w:tc>
          <w:tcPr>
            <w:tcW w:w="85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决算数</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w:t>
            </w:r>
          </w:p>
        </w:tc>
        <w:tc>
          <w:tcPr>
            <w:tcW w:w="330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工资福利支出</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highlight w:val="none"/>
                <w:lang w:val="en-US" w:eastAsia="zh-CN"/>
              </w:rPr>
              <w:t>105.72</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w:t>
            </w:r>
          </w:p>
        </w:tc>
        <w:tc>
          <w:tcPr>
            <w:tcW w:w="2297"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商品和服务支出</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34.73</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307</w:t>
            </w:r>
          </w:p>
        </w:tc>
        <w:tc>
          <w:tcPr>
            <w:tcW w:w="4394"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债务利息及费用支出</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30101</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基本工资</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49.72</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30201</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办公费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1.85</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30701</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国内债务付息</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30102</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津贴补贴</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30.03</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30202</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印刷费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30702</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国外债务付息</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30103</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奖金</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6.55</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30203</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咨询费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w:t>
            </w:r>
          </w:p>
        </w:tc>
        <w:tc>
          <w:tcPr>
            <w:tcW w:w="4394"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资本性支出</w:t>
            </w:r>
          </w:p>
        </w:tc>
        <w:tc>
          <w:tcPr>
            <w:tcW w:w="856" w:type="dxa"/>
            <w:tcBorders>
              <w:top w:val="nil"/>
              <w:left w:val="nil"/>
              <w:bottom w:val="single" w:color="auto" w:sz="8" w:space="0"/>
              <w:right w:val="single" w:color="auto" w:sz="8" w:space="0"/>
            </w:tcBorders>
            <w:shd w:val="clear" w:color="auto" w:fill="auto"/>
            <w:vAlign w:val="center"/>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highlight w:val="yellow"/>
              </w:rPr>
              <w:t>　</w:t>
            </w:r>
            <w:r>
              <w:rPr>
                <w:rFonts w:hint="eastAsia" w:ascii="仿宋_GB2312" w:hAnsi="宋体" w:eastAsia="仿宋_GB2312" w:cs="宋体"/>
                <w:color w:val="000000"/>
                <w:kern w:val="0"/>
                <w:sz w:val="18"/>
                <w:szCs w:val="18"/>
                <w:highlight w:val="yellow"/>
                <w:lang w:val="en-US" w:eastAsia="zh-CN"/>
              </w:rPr>
              <w:t>37.7</w:t>
            </w:r>
            <w:r>
              <w:rPr>
                <w:rFonts w:hint="eastAsia" w:ascii="仿宋_GB2312" w:hAnsi="宋体" w:eastAsia="仿宋_GB2312" w:cs="宋体"/>
                <w:color w:val="000000"/>
                <w:kern w:val="0"/>
                <w:sz w:val="18"/>
                <w:szCs w:val="18"/>
                <w:highlight w:val="yellow"/>
                <w:lang w:val="en-US" w:eastAsia="zh-CN"/>
              </w:rPr>
              <w:t>4</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30106</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伙食补助费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30204</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手续费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31001</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房屋建筑物购建</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30107</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绩效工资</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30205</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水费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0.22</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31002</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办公设备购置</w:t>
            </w:r>
          </w:p>
        </w:tc>
        <w:tc>
          <w:tcPr>
            <w:tcW w:w="856" w:type="dxa"/>
            <w:tcBorders>
              <w:top w:val="nil"/>
              <w:left w:val="nil"/>
              <w:bottom w:val="single" w:color="auto" w:sz="8" w:space="0"/>
              <w:right w:val="single" w:color="auto" w:sz="8" w:space="0"/>
            </w:tcBorders>
            <w:shd w:val="clear" w:color="auto" w:fill="auto"/>
            <w:vAlign w:val="center"/>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12.9</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30108</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机关事业单位基本养老保险费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13.6</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30206</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电费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0.65</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31003</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专用设备购置</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30109</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职业年金缴费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30207</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邮电费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0.06</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31005</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基础设施建设</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30110</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职工基本医疗保险缴费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5.42</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30208</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取暖费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31006</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大型修缮</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30111</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公务员医疗补助缴费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30209</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物业管理费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31007</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信息网络及软件购置更新</w:t>
            </w:r>
          </w:p>
        </w:tc>
        <w:tc>
          <w:tcPr>
            <w:tcW w:w="856" w:type="dxa"/>
            <w:tcBorders>
              <w:top w:val="nil"/>
              <w:left w:val="nil"/>
              <w:bottom w:val="single" w:color="auto" w:sz="8" w:space="0"/>
              <w:right w:val="single" w:color="auto" w:sz="8" w:space="0"/>
            </w:tcBorders>
            <w:shd w:val="clear" w:color="auto" w:fill="auto"/>
            <w:vAlign w:val="center"/>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24.84</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30112</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其他社会保障缴费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0.4</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30211</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差旅费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2.6</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31008</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物资储备</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30113</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住房公积金</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30212</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因公出国（境）费用</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31009</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土地补偿</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30114</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医疗费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30213</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维修（护）费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0.13</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31010</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安置补助</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30199</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其他工资福利支出</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30214</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租赁费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31011</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地上附着物和青苗补偿</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w:t>
            </w:r>
          </w:p>
        </w:tc>
        <w:tc>
          <w:tcPr>
            <w:tcW w:w="330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对个人和家庭的补助</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114.8</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30215</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会议费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1.24</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31012</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拆迁补偿</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30301</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离休费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31.73</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30216</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培训费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31013</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公务用车购置</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30302</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退休费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30217</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公务接待费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1.23</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31019</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其他交通工具购置</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30303</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退职（役）费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30218</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专用材料费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31021</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文物和陈列品购置</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30304</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抚恤金</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20.67</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30224</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被装购置费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31022</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无形资产购置</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30305</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生活补助</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42.75</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30225</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专用燃料费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31099</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其他资本性支出</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30306</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救济费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2.3</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30226</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劳务费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2.78</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399</w:t>
            </w:r>
          </w:p>
        </w:tc>
        <w:tc>
          <w:tcPr>
            <w:tcW w:w="4394"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其他支出</w:t>
            </w:r>
          </w:p>
        </w:tc>
        <w:tc>
          <w:tcPr>
            <w:tcW w:w="856" w:type="dxa"/>
            <w:tcBorders>
              <w:top w:val="nil"/>
              <w:left w:val="nil"/>
              <w:bottom w:val="single" w:color="auto" w:sz="8" w:space="0"/>
              <w:right w:val="single" w:color="auto" w:sz="8" w:space="0"/>
            </w:tcBorders>
            <w:shd w:val="clear" w:color="auto" w:fill="auto"/>
            <w:vAlign w:val="center"/>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30307</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医疗费补助</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30227</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委托业务费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39906</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赠与</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30308</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助学金</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30228</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工会经费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4.66</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39907</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国家赔偿费用支出</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30309</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奖励金</w:t>
            </w:r>
          </w:p>
        </w:tc>
        <w:tc>
          <w:tcPr>
            <w:tcW w:w="856" w:type="dxa"/>
            <w:tcBorders>
              <w:top w:val="nil"/>
              <w:left w:val="nil"/>
              <w:bottom w:val="single" w:color="auto" w:sz="8" w:space="0"/>
              <w:right w:val="single" w:color="auto" w:sz="8" w:space="0"/>
            </w:tcBorders>
            <w:shd w:val="clear" w:color="auto" w:fill="auto"/>
          </w:tcPr>
          <w:p>
            <w:pPr>
              <w:widowControl/>
              <w:rPr>
                <w:rFonts w:hint="eastAsia" w:ascii="Times New Roman" w:hAnsi="Times New Roman" w:eastAsia="宋体" w:cs="Times New Roman"/>
                <w:color w:val="000000"/>
                <w:kern w:val="0"/>
                <w:sz w:val="18"/>
                <w:szCs w:val="18"/>
                <w:lang w:val="en-US" w:eastAsia="zh-CN"/>
              </w:rPr>
            </w:pPr>
            <w:r>
              <w:rPr>
                <w:rFonts w:ascii="Times New Roman" w:hAnsi="Times New Roman" w:eastAsia="宋体" w:cs="Times New Roman"/>
                <w:color w:val="000000"/>
                <w:kern w:val="0"/>
                <w:sz w:val="18"/>
                <w:szCs w:val="18"/>
              </w:rPr>
              <w:t>　</w:t>
            </w:r>
            <w:r>
              <w:rPr>
                <w:rFonts w:hint="eastAsia" w:ascii="Times New Roman" w:hAnsi="Times New Roman" w:eastAsia="宋体" w:cs="Times New Roman"/>
                <w:color w:val="000000"/>
                <w:kern w:val="0"/>
                <w:sz w:val="18"/>
                <w:szCs w:val="18"/>
                <w:lang w:val="en-US" w:eastAsia="zh-CN"/>
              </w:rPr>
              <w:t>0</w:t>
            </w:r>
          </w:p>
        </w:tc>
        <w:tc>
          <w:tcPr>
            <w:tcW w:w="1110"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30229</w:t>
            </w:r>
          </w:p>
        </w:tc>
        <w:tc>
          <w:tcPr>
            <w:tcW w:w="2297"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福利费</w:t>
            </w:r>
          </w:p>
        </w:tc>
        <w:tc>
          <w:tcPr>
            <w:tcW w:w="856" w:type="dxa"/>
            <w:tcBorders>
              <w:top w:val="nil"/>
              <w:left w:val="nil"/>
              <w:bottom w:val="single" w:color="auto" w:sz="8" w:space="0"/>
              <w:right w:val="single" w:color="auto" w:sz="8" w:space="0"/>
            </w:tcBorders>
            <w:shd w:val="clear" w:color="auto" w:fill="auto"/>
          </w:tcPr>
          <w:p>
            <w:pPr>
              <w:widowControl/>
              <w:rPr>
                <w:rFonts w:hint="default" w:ascii="Times New Roman" w:hAnsi="Times New Roman" w:eastAsia="宋体" w:cs="Times New Roman"/>
                <w:color w:val="000000"/>
                <w:kern w:val="0"/>
                <w:sz w:val="18"/>
                <w:szCs w:val="18"/>
                <w:lang w:val="en-US" w:eastAsia="zh-CN"/>
              </w:rPr>
            </w:pPr>
            <w:r>
              <w:rPr>
                <w:rFonts w:ascii="Times New Roman" w:hAnsi="Times New Roman" w:eastAsia="宋体" w:cs="Times New Roman"/>
                <w:color w:val="000000"/>
                <w:kern w:val="0"/>
                <w:sz w:val="18"/>
                <w:szCs w:val="18"/>
              </w:rPr>
              <w:t>　</w:t>
            </w:r>
            <w:r>
              <w:rPr>
                <w:rFonts w:hint="eastAsia" w:ascii="Times New Roman" w:hAnsi="Times New Roman" w:eastAsia="宋体" w:cs="Times New Roman"/>
                <w:color w:val="000000"/>
                <w:kern w:val="0"/>
                <w:sz w:val="18"/>
                <w:szCs w:val="18"/>
                <w:lang w:val="en-US" w:eastAsia="zh-CN"/>
              </w:rPr>
              <w:t>2.5</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39908</w:t>
            </w:r>
          </w:p>
        </w:tc>
        <w:tc>
          <w:tcPr>
            <w:tcW w:w="4394"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对民间非营利组织和群众性自治组织补贴</w:t>
            </w:r>
          </w:p>
        </w:tc>
        <w:tc>
          <w:tcPr>
            <w:tcW w:w="856" w:type="dxa"/>
            <w:tcBorders>
              <w:top w:val="nil"/>
              <w:left w:val="nil"/>
              <w:bottom w:val="single" w:color="auto" w:sz="8" w:space="0"/>
              <w:right w:val="single" w:color="auto" w:sz="8" w:space="0"/>
            </w:tcBorders>
            <w:shd w:val="clear" w:color="auto" w:fill="auto"/>
            <w:vAlign w:val="center"/>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30310</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个人农业生产补贴</w:t>
            </w:r>
          </w:p>
        </w:tc>
        <w:tc>
          <w:tcPr>
            <w:tcW w:w="856" w:type="dxa"/>
            <w:tcBorders>
              <w:top w:val="nil"/>
              <w:left w:val="nil"/>
              <w:bottom w:val="single" w:color="auto" w:sz="8" w:space="0"/>
              <w:right w:val="single" w:color="auto" w:sz="8" w:space="0"/>
            </w:tcBorders>
            <w:shd w:val="clear" w:color="auto" w:fill="auto"/>
          </w:tcPr>
          <w:p>
            <w:pPr>
              <w:widowControl/>
              <w:rPr>
                <w:rFonts w:hint="eastAsia" w:ascii="Times New Roman" w:hAnsi="Times New Roman" w:eastAsia="宋体" w:cs="Times New Roman"/>
                <w:color w:val="000000"/>
                <w:kern w:val="0"/>
                <w:sz w:val="18"/>
                <w:szCs w:val="18"/>
                <w:lang w:val="en-US" w:eastAsia="zh-CN"/>
              </w:rPr>
            </w:pPr>
            <w:r>
              <w:rPr>
                <w:rFonts w:ascii="Times New Roman" w:hAnsi="Times New Roman" w:eastAsia="宋体" w:cs="Times New Roman"/>
                <w:color w:val="000000"/>
                <w:kern w:val="0"/>
                <w:sz w:val="18"/>
                <w:szCs w:val="18"/>
              </w:rPr>
              <w:t>　</w:t>
            </w:r>
            <w:r>
              <w:rPr>
                <w:rFonts w:hint="eastAsia" w:ascii="Times New Roman" w:hAnsi="Times New Roman" w:eastAsia="宋体" w:cs="Times New Roman"/>
                <w:color w:val="000000"/>
                <w:kern w:val="0"/>
                <w:sz w:val="18"/>
                <w:szCs w:val="18"/>
                <w:lang w:val="en-US" w:eastAsia="zh-CN"/>
              </w:rPr>
              <w:t>0</w:t>
            </w:r>
          </w:p>
        </w:tc>
        <w:tc>
          <w:tcPr>
            <w:tcW w:w="1110"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30231</w:t>
            </w:r>
          </w:p>
        </w:tc>
        <w:tc>
          <w:tcPr>
            <w:tcW w:w="2297"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公务用车运行维护费</w:t>
            </w:r>
          </w:p>
        </w:tc>
        <w:tc>
          <w:tcPr>
            <w:tcW w:w="856" w:type="dxa"/>
            <w:tcBorders>
              <w:top w:val="nil"/>
              <w:left w:val="nil"/>
              <w:bottom w:val="single" w:color="auto" w:sz="8" w:space="0"/>
              <w:right w:val="single" w:color="auto" w:sz="8" w:space="0"/>
            </w:tcBorders>
            <w:shd w:val="clear" w:color="auto" w:fill="auto"/>
          </w:tcPr>
          <w:p>
            <w:pPr>
              <w:widowControl/>
              <w:rPr>
                <w:rFonts w:hint="eastAsia" w:ascii="Times New Roman" w:hAnsi="Times New Roman" w:eastAsia="宋体" w:cs="Times New Roman"/>
                <w:color w:val="000000"/>
                <w:kern w:val="0"/>
                <w:sz w:val="18"/>
                <w:szCs w:val="18"/>
                <w:lang w:val="en-US" w:eastAsia="zh-CN"/>
              </w:rPr>
            </w:pPr>
            <w:r>
              <w:rPr>
                <w:rFonts w:ascii="Times New Roman" w:hAnsi="Times New Roman" w:eastAsia="宋体" w:cs="Times New Roman"/>
                <w:color w:val="000000"/>
                <w:kern w:val="0"/>
                <w:sz w:val="18"/>
                <w:szCs w:val="18"/>
              </w:rPr>
              <w:t>　</w:t>
            </w:r>
            <w:r>
              <w:rPr>
                <w:rFonts w:hint="eastAsia" w:ascii="Times New Roman" w:hAnsi="Times New Roman" w:eastAsia="宋体" w:cs="Times New Roman"/>
                <w:color w:val="000000"/>
                <w:kern w:val="0"/>
                <w:sz w:val="18"/>
                <w:szCs w:val="18"/>
                <w:lang w:val="en-US" w:eastAsia="zh-CN"/>
              </w:rPr>
              <w:t>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39999</w:t>
            </w:r>
          </w:p>
        </w:tc>
        <w:tc>
          <w:tcPr>
            <w:tcW w:w="4394"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其他支出</w:t>
            </w:r>
          </w:p>
        </w:tc>
        <w:tc>
          <w:tcPr>
            <w:tcW w:w="856" w:type="dxa"/>
            <w:tcBorders>
              <w:top w:val="nil"/>
              <w:left w:val="nil"/>
              <w:bottom w:val="single" w:color="auto" w:sz="8" w:space="0"/>
              <w:right w:val="single" w:color="auto" w:sz="8" w:space="0"/>
            </w:tcBorders>
            <w:shd w:val="clear" w:color="auto" w:fill="auto"/>
            <w:vAlign w:val="center"/>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w:t>
            </w:r>
          </w:p>
        </w:tc>
      </w:tr>
      <w:tr>
        <w:trPr>
          <w:trHeight w:val="255" w:hRule="exact"/>
        </w:trPr>
        <w:tc>
          <w:tcPr>
            <w:tcW w:w="114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30399</w:t>
            </w:r>
          </w:p>
        </w:tc>
        <w:tc>
          <w:tcPr>
            <w:tcW w:w="3306" w:type="dxa"/>
            <w:tcBorders>
              <w:top w:val="single" w:color="auto" w:sz="8" w:space="0"/>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对其他个人和家庭的补助支出</w:t>
            </w:r>
          </w:p>
        </w:tc>
        <w:tc>
          <w:tcPr>
            <w:tcW w:w="856" w:type="dxa"/>
            <w:tcBorders>
              <w:top w:val="single" w:color="auto" w:sz="8" w:space="0"/>
              <w:left w:val="nil"/>
              <w:bottom w:val="single" w:color="auto" w:sz="8" w:space="0"/>
              <w:right w:val="single" w:color="auto" w:sz="8" w:space="0"/>
            </w:tcBorders>
            <w:shd w:val="clear" w:color="auto" w:fill="auto"/>
          </w:tcPr>
          <w:p>
            <w:pPr>
              <w:widowControl/>
              <w:rPr>
                <w:rFonts w:hint="default" w:ascii="Times New Roman" w:hAnsi="Times New Roman" w:eastAsia="宋体" w:cs="Times New Roman"/>
                <w:color w:val="000000"/>
                <w:kern w:val="0"/>
                <w:sz w:val="18"/>
                <w:szCs w:val="18"/>
                <w:lang w:val="en-US" w:eastAsia="zh-CN"/>
              </w:rPr>
            </w:pPr>
            <w:r>
              <w:rPr>
                <w:rFonts w:ascii="Times New Roman" w:hAnsi="Times New Roman" w:eastAsia="宋体" w:cs="Times New Roman"/>
                <w:color w:val="000000"/>
                <w:kern w:val="0"/>
                <w:sz w:val="18"/>
                <w:szCs w:val="18"/>
              </w:rPr>
              <w:t>　</w:t>
            </w:r>
            <w:r>
              <w:rPr>
                <w:rFonts w:hint="eastAsia" w:ascii="Times New Roman" w:hAnsi="Times New Roman" w:eastAsia="宋体" w:cs="Times New Roman"/>
                <w:color w:val="000000"/>
                <w:kern w:val="0"/>
                <w:sz w:val="18"/>
                <w:szCs w:val="18"/>
                <w:lang w:val="en-US" w:eastAsia="zh-CN"/>
              </w:rPr>
              <w:t>17.35</w:t>
            </w:r>
          </w:p>
        </w:tc>
        <w:tc>
          <w:tcPr>
            <w:tcW w:w="1110" w:type="dxa"/>
            <w:tcBorders>
              <w:top w:val="single" w:color="auto" w:sz="8" w:space="0"/>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30239</w:t>
            </w:r>
          </w:p>
        </w:tc>
        <w:tc>
          <w:tcPr>
            <w:tcW w:w="2297" w:type="dxa"/>
            <w:tcBorders>
              <w:top w:val="single" w:color="auto" w:sz="8" w:space="0"/>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其他交通费用</w:t>
            </w:r>
          </w:p>
        </w:tc>
        <w:tc>
          <w:tcPr>
            <w:tcW w:w="856" w:type="dxa"/>
            <w:tcBorders>
              <w:top w:val="single" w:color="auto" w:sz="8" w:space="0"/>
              <w:left w:val="nil"/>
              <w:bottom w:val="single" w:color="auto" w:sz="8" w:space="0"/>
              <w:right w:val="single" w:color="auto" w:sz="8" w:space="0"/>
            </w:tcBorders>
            <w:shd w:val="clear" w:color="auto" w:fill="auto"/>
          </w:tcPr>
          <w:p>
            <w:pPr>
              <w:widowControl/>
              <w:rPr>
                <w:rFonts w:hint="default" w:ascii="Times New Roman" w:hAnsi="Times New Roman" w:eastAsia="宋体" w:cs="Times New Roman"/>
                <w:color w:val="000000"/>
                <w:kern w:val="0"/>
                <w:sz w:val="18"/>
                <w:szCs w:val="18"/>
                <w:lang w:val="en-US" w:eastAsia="zh-CN"/>
              </w:rPr>
            </w:pPr>
            <w:r>
              <w:rPr>
                <w:rFonts w:ascii="Times New Roman" w:hAnsi="Times New Roman" w:eastAsia="宋体" w:cs="Times New Roman"/>
                <w:color w:val="000000"/>
                <w:kern w:val="0"/>
                <w:sz w:val="18"/>
                <w:szCs w:val="18"/>
              </w:rPr>
              <w:t>　</w:t>
            </w:r>
            <w:r>
              <w:rPr>
                <w:rFonts w:hint="eastAsia" w:ascii="Times New Roman" w:hAnsi="Times New Roman" w:eastAsia="宋体" w:cs="Times New Roman"/>
                <w:color w:val="000000"/>
                <w:kern w:val="0"/>
                <w:sz w:val="18"/>
                <w:szCs w:val="18"/>
                <w:lang w:val="en-US" w:eastAsia="zh-CN"/>
              </w:rPr>
              <w:t>10.25</w:t>
            </w:r>
          </w:p>
        </w:tc>
        <w:tc>
          <w:tcPr>
            <w:tcW w:w="1076" w:type="dxa"/>
            <w:tcBorders>
              <w:top w:val="single" w:color="auto" w:sz="8" w:space="0"/>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4394" w:type="dxa"/>
            <w:tcBorders>
              <w:top w:val="single" w:color="auto" w:sz="8" w:space="0"/>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856" w:type="dxa"/>
            <w:tcBorders>
              <w:top w:val="single" w:color="auto" w:sz="8" w:space="0"/>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85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30240</w:t>
            </w:r>
          </w:p>
        </w:tc>
        <w:tc>
          <w:tcPr>
            <w:tcW w:w="2297"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税金及附加费用</w:t>
            </w:r>
          </w:p>
        </w:tc>
        <w:tc>
          <w:tcPr>
            <w:tcW w:w="856" w:type="dxa"/>
            <w:tcBorders>
              <w:top w:val="nil"/>
              <w:left w:val="nil"/>
              <w:bottom w:val="single" w:color="auto" w:sz="8" w:space="0"/>
              <w:right w:val="single" w:color="auto" w:sz="8" w:space="0"/>
            </w:tcBorders>
            <w:shd w:val="clear" w:color="auto" w:fill="auto"/>
          </w:tcPr>
          <w:p>
            <w:pPr>
              <w:widowControl/>
              <w:rPr>
                <w:rFonts w:hint="eastAsia" w:ascii="Times New Roman" w:hAnsi="Times New Roman" w:eastAsia="宋体" w:cs="Times New Roman"/>
                <w:color w:val="000000"/>
                <w:kern w:val="0"/>
                <w:sz w:val="18"/>
                <w:szCs w:val="18"/>
                <w:lang w:val="en-US" w:eastAsia="zh-CN"/>
              </w:rPr>
            </w:pPr>
            <w:r>
              <w:rPr>
                <w:rFonts w:ascii="Times New Roman" w:hAnsi="Times New Roman" w:eastAsia="宋体" w:cs="Times New Roman"/>
                <w:color w:val="000000"/>
                <w:kern w:val="0"/>
                <w:sz w:val="18"/>
                <w:szCs w:val="18"/>
              </w:rPr>
              <w:t>　</w:t>
            </w:r>
            <w:r>
              <w:rPr>
                <w:rFonts w:hint="eastAsia" w:ascii="Times New Roman" w:hAnsi="Times New Roman" w:eastAsia="宋体" w:cs="Times New Roman"/>
                <w:color w:val="000000"/>
                <w:kern w:val="0"/>
                <w:sz w:val="18"/>
                <w:szCs w:val="18"/>
                <w:lang w:val="en-US" w:eastAsia="zh-CN"/>
              </w:rPr>
              <w:t>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4394"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85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30299</w:t>
            </w:r>
          </w:p>
        </w:tc>
        <w:tc>
          <w:tcPr>
            <w:tcW w:w="2297"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其他商品和服务支出</w:t>
            </w:r>
          </w:p>
        </w:tc>
        <w:tc>
          <w:tcPr>
            <w:tcW w:w="85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6.56</w:t>
            </w:r>
            <w:r>
              <w:rPr>
                <w:rFonts w:ascii="Times New Roman" w:hAnsi="Times New Roman" w:eastAsia="宋体" w:cs="Times New Roman"/>
                <w:color w:val="000000"/>
                <w:kern w:val="0"/>
                <w:sz w:val="18"/>
                <w:szCs w:val="18"/>
              </w:rPr>
              <w:t>　</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4394"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4455" w:type="dxa"/>
            <w:gridSpan w:val="2"/>
            <w:tcBorders>
              <w:top w:val="nil"/>
              <w:left w:val="single" w:color="auto" w:sz="8" w:space="0"/>
              <w:bottom w:val="single" w:color="auto" w:sz="8" w:space="0"/>
              <w:right w:val="single" w:color="auto" w:sz="8" w:space="0"/>
            </w:tcBorders>
            <w:shd w:val="clear" w:color="auto" w:fill="auto"/>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人员经费合计</w:t>
            </w:r>
          </w:p>
        </w:tc>
        <w:tc>
          <w:tcPr>
            <w:tcW w:w="856" w:type="dxa"/>
            <w:tcBorders>
              <w:top w:val="nil"/>
              <w:left w:val="nil"/>
              <w:bottom w:val="single" w:color="auto" w:sz="8" w:space="0"/>
              <w:right w:val="single" w:color="auto" w:sz="8" w:space="0"/>
            </w:tcBorders>
            <w:shd w:val="clear" w:color="auto" w:fill="auto"/>
            <w:vAlign w:val="center"/>
          </w:tcPr>
          <w:p>
            <w:pPr>
              <w:widowControl/>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220.53</w:t>
            </w:r>
          </w:p>
        </w:tc>
        <w:tc>
          <w:tcPr>
            <w:tcW w:w="9733" w:type="dxa"/>
            <w:gridSpan w:val="5"/>
            <w:tcBorders>
              <w:top w:val="nil"/>
              <w:left w:val="nil"/>
              <w:bottom w:val="single" w:color="auto" w:sz="8" w:space="0"/>
              <w:right w:val="single" w:color="auto" w:sz="8" w:space="0"/>
            </w:tcBorders>
            <w:shd w:val="clear" w:color="auto" w:fill="auto"/>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公用经费合计</w:t>
            </w:r>
          </w:p>
        </w:tc>
        <w:tc>
          <w:tcPr>
            <w:tcW w:w="856" w:type="dxa"/>
            <w:tcBorders>
              <w:top w:val="nil"/>
              <w:left w:val="nil"/>
              <w:bottom w:val="single" w:color="auto" w:sz="8" w:space="0"/>
              <w:right w:val="single" w:color="auto" w:sz="8" w:space="0"/>
            </w:tcBorders>
            <w:shd w:val="clear" w:color="auto" w:fill="auto"/>
            <w:vAlign w:val="center"/>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72.47</w:t>
            </w:r>
          </w:p>
        </w:tc>
      </w:tr>
    </w:tbl>
    <w:p>
      <w:pPr>
        <w:widowControl/>
        <w:jc w:val="left"/>
        <w:rPr>
          <w:rFonts w:ascii="黑体" w:hAnsi="黑体" w:eastAsia="黑体"/>
          <w:szCs w:val="21"/>
        </w:rPr>
      </w:pPr>
      <w:r>
        <w:rPr>
          <w:rFonts w:hint="eastAsia" w:ascii="黑体" w:hAnsi="黑体" w:eastAsia="黑体"/>
          <w:szCs w:val="21"/>
        </w:rPr>
        <w:t>注：本表反映部门年度一般公共预算财政拨款基本支出明细情况。</w:t>
      </w:r>
      <w:r>
        <w:rPr>
          <w:rFonts w:ascii="黑体" w:hAnsi="黑体" w:eastAsia="黑体"/>
          <w:szCs w:val="21"/>
        </w:rPr>
        <w:br w:type="page"/>
      </w:r>
    </w:p>
    <w:p>
      <w:pPr>
        <w:widowControl/>
        <w:jc w:val="center"/>
        <w:rPr>
          <w:rFonts w:ascii="Times New Roman" w:hAnsi="Times New Roman" w:eastAsia="方正小标宋_GBK" w:cs="Times New Roman"/>
          <w:color w:val="000000"/>
          <w:kern w:val="0"/>
          <w:sz w:val="36"/>
          <w:szCs w:val="36"/>
        </w:rPr>
      </w:pPr>
      <w:r>
        <w:rPr>
          <w:rFonts w:hint="eastAsia" w:ascii="Times New Roman" w:hAnsi="Times New Roman" w:eastAsia="方正小标宋_GBK" w:cs="Times New Roman"/>
          <w:color w:val="000000"/>
          <w:kern w:val="0"/>
          <w:sz w:val="36"/>
          <w:szCs w:val="36"/>
        </w:rPr>
        <w:t>一般公共预算财政拨款“三公”经费支出决算表</w:t>
      </w:r>
    </w:p>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部门： </w:t>
      </w:r>
      <w:r>
        <w:rPr>
          <w:rFonts w:hint="eastAsia" w:ascii="Times New Roman" w:hAnsi="Times New Roman" w:eastAsia="仿宋_GB2312" w:cs="Times New Roman"/>
          <w:color w:val="000000"/>
          <w:kern w:val="0"/>
          <w:szCs w:val="21"/>
          <w:lang w:val="en-US" w:eastAsia="zh-CN"/>
        </w:rPr>
        <w:t>老干部服务中心</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 xml:space="preserve">       公开0</w:t>
      </w:r>
      <w:r>
        <w:rPr>
          <w:rFonts w:hint="eastAsia" w:ascii="Times New Roman" w:hAnsi="Times New Roman" w:eastAsia="仿宋_GB2312" w:cs="Times New Roman"/>
          <w:color w:val="000000"/>
          <w:kern w:val="0"/>
          <w:szCs w:val="21"/>
        </w:rPr>
        <w:t>7</w:t>
      </w:r>
      <w:r>
        <w:rPr>
          <w:rFonts w:ascii="Times New Roman" w:hAnsi="Times New Roman" w:eastAsia="仿宋_GB2312" w:cs="Times New Roman"/>
          <w:color w:val="000000"/>
          <w:kern w:val="0"/>
          <w:szCs w:val="21"/>
        </w:rPr>
        <w:t>表</w:t>
      </w:r>
    </w:p>
    <w:p>
      <w:pPr>
        <w:widowControl/>
        <w:ind w:right="420"/>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单位：万元</w:t>
      </w:r>
    </w:p>
    <w:tbl>
      <w:tblPr>
        <w:tblStyle w:val="7"/>
        <w:tblW w:w="14640" w:type="dxa"/>
        <w:jc w:val="center"/>
        <w:tblLayout w:type="fixed"/>
        <w:tblCellMar>
          <w:top w:w="0" w:type="dxa"/>
          <w:left w:w="108" w:type="dxa"/>
          <w:bottom w:w="0" w:type="dxa"/>
          <w:right w:w="108" w:type="dxa"/>
        </w:tblCellMar>
      </w:tblPr>
      <w:tblGrid>
        <w:gridCol w:w="1220"/>
        <w:gridCol w:w="1220"/>
        <w:gridCol w:w="1220"/>
        <w:gridCol w:w="1220"/>
        <w:gridCol w:w="1220"/>
        <w:gridCol w:w="1220"/>
        <w:gridCol w:w="1220"/>
        <w:gridCol w:w="1220"/>
        <w:gridCol w:w="1220"/>
        <w:gridCol w:w="1220"/>
        <w:gridCol w:w="1220"/>
        <w:gridCol w:w="1220"/>
      </w:tblGrid>
      <w:tr>
        <w:trPr>
          <w:trHeight w:val="397" w:hRule="atLeast"/>
          <w:jc w:val="center"/>
        </w:trPr>
        <w:tc>
          <w:tcPr>
            <w:tcW w:w="7320" w:type="dxa"/>
            <w:gridSpan w:val="6"/>
            <w:tcBorders>
              <w:top w:val="single" w:color="auto" w:sz="8" w:space="0"/>
              <w:left w:val="single" w:color="auto" w:sz="8" w:space="0"/>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预算数</w:t>
            </w:r>
          </w:p>
        </w:tc>
        <w:tc>
          <w:tcPr>
            <w:tcW w:w="7320" w:type="dxa"/>
            <w:gridSpan w:val="6"/>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决算数</w:t>
            </w:r>
          </w:p>
        </w:tc>
      </w:tr>
      <w:tr>
        <w:trPr>
          <w:trHeight w:val="397" w:hRule="atLeast"/>
          <w:jc w:val="center"/>
        </w:trPr>
        <w:tc>
          <w:tcPr>
            <w:tcW w:w="1220" w:type="dxa"/>
            <w:vMerge w:val="restart"/>
            <w:tcBorders>
              <w:top w:val="nil"/>
              <w:left w:val="single" w:color="auto" w:sz="8"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合计</w:t>
            </w:r>
          </w:p>
        </w:tc>
        <w:tc>
          <w:tcPr>
            <w:tcW w:w="12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因公出国（境）费</w:t>
            </w:r>
          </w:p>
        </w:tc>
        <w:tc>
          <w:tcPr>
            <w:tcW w:w="366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公务用车购置及运行费</w:t>
            </w:r>
          </w:p>
        </w:tc>
        <w:tc>
          <w:tcPr>
            <w:tcW w:w="12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w:t>
            </w:r>
          </w:p>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接待费</w:t>
            </w:r>
          </w:p>
        </w:tc>
        <w:tc>
          <w:tcPr>
            <w:tcW w:w="1220"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合计</w:t>
            </w:r>
          </w:p>
        </w:tc>
        <w:tc>
          <w:tcPr>
            <w:tcW w:w="12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因公出国（境）费</w:t>
            </w:r>
          </w:p>
        </w:tc>
        <w:tc>
          <w:tcPr>
            <w:tcW w:w="366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公务用车购置及运行费</w:t>
            </w:r>
          </w:p>
        </w:tc>
        <w:tc>
          <w:tcPr>
            <w:tcW w:w="1220" w:type="dxa"/>
            <w:vMerge w:val="restart"/>
            <w:tcBorders>
              <w:top w:val="nil"/>
              <w:left w:val="single" w:color="auto" w:sz="4" w:space="0"/>
              <w:bottom w:val="single" w:color="000000" w:sz="4" w:space="0"/>
              <w:right w:val="single" w:color="auto"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w:t>
            </w:r>
          </w:p>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接待费</w:t>
            </w:r>
          </w:p>
        </w:tc>
      </w:tr>
      <w:tr>
        <w:trPr>
          <w:trHeight w:val="397" w:hRule="atLeast"/>
          <w:jc w:val="center"/>
        </w:trPr>
        <w:tc>
          <w:tcPr>
            <w:tcW w:w="12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22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小计</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公务用车</w:t>
            </w:r>
            <w:r>
              <w:rPr>
                <w:rFonts w:ascii="Times New Roman" w:hAnsi="Times New Roman" w:eastAsia="仿宋_GB2312" w:cs="Times New Roman"/>
                <w:kern w:val="0"/>
                <w:szCs w:val="21"/>
              </w:rPr>
              <w:br w:type="textWrapping"/>
            </w:r>
            <w:r>
              <w:rPr>
                <w:rFonts w:ascii="Times New Roman" w:hAnsi="Times New Roman" w:eastAsia="仿宋_GB2312" w:cs="Times New Roman"/>
                <w:kern w:val="0"/>
                <w:szCs w:val="21"/>
              </w:rPr>
              <w:t>购置费</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公务用车</w:t>
            </w:r>
            <w:r>
              <w:rPr>
                <w:rFonts w:ascii="Times New Roman" w:hAnsi="Times New Roman" w:eastAsia="仿宋_GB2312" w:cs="Times New Roman"/>
                <w:kern w:val="0"/>
                <w:szCs w:val="21"/>
              </w:rPr>
              <w:br w:type="textWrapping"/>
            </w:r>
            <w:r>
              <w:rPr>
                <w:rFonts w:ascii="Times New Roman" w:hAnsi="Times New Roman" w:eastAsia="仿宋_GB2312" w:cs="Times New Roman"/>
                <w:kern w:val="0"/>
                <w:szCs w:val="21"/>
              </w:rPr>
              <w:t>运行费</w:t>
            </w:r>
          </w:p>
        </w:tc>
        <w:tc>
          <w:tcPr>
            <w:tcW w:w="122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220" w:type="dxa"/>
            <w:vMerge w:val="continue"/>
            <w:tcBorders>
              <w:top w:val="nil"/>
              <w:left w:val="nil"/>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22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小计</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公务用车</w:t>
            </w:r>
            <w:r>
              <w:rPr>
                <w:rFonts w:ascii="Times New Roman" w:hAnsi="Times New Roman" w:eastAsia="仿宋_GB2312" w:cs="Times New Roman"/>
                <w:kern w:val="0"/>
                <w:szCs w:val="21"/>
              </w:rPr>
              <w:br w:type="textWrapping"/>
            </w:r>
            <w:r>
              <w:rPr>
                <w:rFonts w:ascii="Times New Roman" w:hAnsi="Times New Roman" w:eastAsia="仿宋_GB2312" w:cs="Times New Roman"/>
                <w:kern w:val="0"/>
                <w:szCs w:val="21"/>
              </w:rPr>
              <w:t>购置费</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公务用车</w:t>
            </w:r>
            <w:r>
              <w:rPr>
                <w:rFonts w:ascii="Times New Roman" w:hAnsi="Times New Roman" w:eastAsia="仿宋_GB2312" w:cs="Times New Roman"/>
                <w:kern w:val="0"/>
                <w:szCs w:val="21"/>
              </w:rPr>
              <w:br w:type="textWrapping"/>
            </w:r>
            <w:r>
              <w:rPr>
                <w:rFonts w:ascii="Times New Roman" w:hAnsi="Times New Roman" w:eastAsia="仿宋_GB2312" w:cs="Times New Roman"/>
                <w:kern w:val="0"/>
                <w:szCs w:val="21"/>
              </w:rPr>
              <w:t>运行费</w:t>
            </w:r>
          </w:p>
        </w:tc>
        <w:tc>
          <w:tcPr>
            <w:tcW w:w="1220" w:type="dxa"/>
            <w:vMerge w:val="continue"/>
            <w:tcBorders>
              <w:top w:val="nil"/>
              <w:left w:val="single" w:color="auto" w:sz="4" w:space="0"/>
              <w:bottom w:val="single" w:color="000000" w:sz="4" w:space="0"/>
              <w:right w:val="single" w:color="auto" w:sz="8" w:space="0"/>
            </w:tcBorders>
            <w:vAlign w:val="center"/>
          </w:tcPr>
          <w:p>
            <w:pPr>
              <w:widowControl/>
              <w:jc w:val="left"/>
              <w:rPr>
                <w:rFonts w:ascii="Times New Roman" w:hAnsi="Times New Roman" w:eastAsia="仿宋_GB2312" w:cs="Times New Roman"/>
                <w:kern w:val="0"/>
                <w:szCs w:val="21"/>
              </w:rPr>
            </w:pPr>
          </w:p>
        </w:tc>
      </w:tr>
      <w:tr>
        <w:trPr>
          <w:trHeight w:val="397" w:hRule="atLeast"/>
          <w:jc w:val="center"/>
        </w:trPr>
        <w:tc>
          <w:tcPr>
            <w:tcW w:w="122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5</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6</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7</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8</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9</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10</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11</w:t>
            </w:r>
          </w:p>
        </w:tc>
        <w:tc>
          <w:tcPr>
            <w:tcW w:w="1220"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12</w:t>
            </w:r>
          </w:p>
        </w:tc>
      </w:tr>
      <w:tr>
        <w:trPr>
          <w:trHeight w:val="397" w:hRule="atLeast"/>
          <w:jc w:val="center"/>
        </w:trPr>
        <w:tc>
          <w:tcPr>
            <w:tcW w:w="1220" w:type="dxa"/>
            <w:tcBorders>
              <w:top w:val="nil"/>
              <w:left w:val="single" w:color="auto" w:sz="8" w:space="0"/>
              <w:bottom w:val="single" w:color="auto" w:sz="8" w:space="0"/>
              <w:right w:val="single" w:color="auto" w:sz="4" w:space="0"/>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1.23</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0</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0</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0</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0</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1.23</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1.23</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0</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0</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0</w:t>
            </w:r>
          </w:p>
        </w:tc>
        <w:tc>
          <w:tcPr>
            <w:tcW w:w="1220" w:type="dxa"/>
            <w:tcBorders>
              <w:top w:val="nil"/>
              <w:left w:val="nil"/>
              <w:bottom w:val="single" w:color="auto" w:sz="8" w:space="0"/>
              <w:right w:val="nil"/>
            </w:tcBorders>
            <w:shd w:val="clear" w:color="auto" w:fill="auto"/>
            <w:vAlign w:val="center"/>
          </w:tcPr>
          <w:p>
            <w:pPr>
              <w:widowControl/>
              <w:jc w:val="left"/>
              <w:rPr>
                <w:rFonts w:hint="eastAsia"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0</w:t>
            </w:r>
          </w:p>
        </w:tc>
        <w:tc>
          <w:tcPr>
            <w:tcW w:w="1220" w:type="dxa"/>
            <w:tcBorders>
              <w:top w:val="nil"/>
              <w:left w:val="single" w:color="auto" w:sz="4" w:space="0"/>
              <w:bottom w:val="single" w:color="auto" w:sz="8" w:space="0"/>
              <w:right w:val="single" w:color="auto" w:sz="8" w:space="0"/>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1.23</w:t>
            </w:r>
          </w:p>
        </w:tc>
      </w:tr>
    </w:tbl>
    <w:p>
      <w:pPr>
        <w:autoSpaceDE w:val="0"/>
        <w:autoSpaceDN w:val="0"/>
        <w:adjustRightInd w:val="0"/>
        <w:ind w:left="315" w:leftChars="150"/>
        <w:jc w:val="left"/>
        <w:rPr>
          <w:rFonts w:ascii="宋体" w:eastAsia="宋体" w:cs="宋体"/>
          <w:kern w:val="0"/>
          <w:sz w:val="24"/>
          <w:szCs w:val="24"/>
        </w:rPr>
      </w:pPr>
      <w:r>
        <w:rPr>
          <w:rFonts w:hint="eastAsia" w:ascii="宋体" w:eastAsia="宋体" w:cs="宋体"/>
          <w:kern w:val="0"/>
          <w:sz w:val="24"/>
          <w:szCs w:val="24"/>
        </w:rPr>
        <w:t>注：本表反映部门本年度“三公”经费支出预决算情况。其中，预算数为“三公”经费全年预算数，反映按规定程序调整后的预算数；决算数是包括当年一般公共预算财政拨款和以前年度结转资金安排的实际支出。</w:t>
      </w:r>
    </w:p>
    <w:p>
      <w:pPr>
        <w:widowControl/>
        <w:jc w:val="left"/>
        <w:rPr>
          <w:rFonts w:ascii="宋体" w:eastAsia="宋体" w:cs="宋体"/>
          <w:kern w:val="0"/>
          <w:sz w:val="24"/>
          <w:szCs w:val="24"/>
        </w:rPr>
      </w:pPr>
      <w:r>
        <w:rPr>
          <w:rFonts w:ascii="宋体" w:eastAsia="宋体" w:cs="宋体"/>
          <w:kern w:val="0"/>
          <w:sz w:val="24"/>
          <w:szCs w:val="24"/>
        </w:rPr>
        <w:br w:type="page"/>
      </w:r>
    </w:p>
    <w:p>
      <w:pPr>
        <w:autoSpaceDE w:val="0"/>
        <w:autoSpaceDN w:val="0"/>
        <w:adjustRightInd w:val="0"/>
        <w:ind w:left="315" w:leftChars="150"/>
        <w:jc w:val="left"/>
        <w:rPr>
          <w:rFonts w:ascii="宋体" w:eastAsia="宋体" w:cs="宋体"/>
          <w:kern w:val="0"/>
          <w:sz w:val="24"/>
          <w:szCs w:val="24"/>
        </w:rPr>
      </w:pPr>
    </w:p>
    <w:p>
      <w:pPr>
        <w:widowControl/>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政府性基金预算财政拨款收入支出决算表</w:t>
      </w:r>
    </w:p>
    <w:p>
      <w:pPr>
        <w:widowControl/>
        <w:wordWrap w:val="0"/>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部门：</w:t>
      </w:r>
      <w:r>
        <w:rPr>
          <w:rFonts w:hint="eastAsia" w:ascii="Times New Roman" w:hAnsi="Times New Roman" w:eastAsia="仿宋_GB2312" w:cs="Times New Roman"/>
          <w:color w:val="000000"/>
          <w:kern w:val="0"/>
          <w:szCs w:val="21"/>
          <w:lang w:val="en-US" w:eastAsia="zh-CN"/>
        </w:rPr>
        <w:t>老干部服务中心</w:t>
      </w:r>
      <w:r>
        <w:rPr>
          <w:rFonts w:ascii="Times New Roman" w:hAnsi="Times New Roman" w:eastAsia="仿宋_GB2312" w:cs="Times New Roman"/>
          <w:color w:val="000000"/>
          <w:kern w:val="0"/>
          <w:szCs w:val="21"/>
        </w:rPr>
        <w:t xml:space="preserve">                                                                                                                       公开08表</w:t>
      </w:r>
    </w:p>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单位：万元</w:t>
      </w:r>
    </w:p>
    <w:tbl>
      <w:tblPr>
        <w:tblStyle w:val="7"/>
        <w:tblW w:w="1444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20"/>
        <w:gridCol w:w="1320"/>
        <w:gridCol w:w="2000"/>
        <w:gridCol w:w="2000"/>
        <w:gridCol w:w="2000"/>
        <w:gridCol w:w="2000"/>
        <w:gridCol w:w="2000"/>
        <w:gridCol w:w="2000"/>
      </w:tblGrid>
      <w:tr>
        <w:trPr>
          <w:trHeight w:val="454" w:hRule="atLeast"/>
          <w:jc w:val="center"/>
        </w:trPr>
        <w:tc>
          <w:tcPr>
            <w:tcW w:w="2440" w:type="dxa"/>
            <w:gridSpan w:val="2"/>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 xml:space="preserve">项 </w:t>
            </w:r>
            <w:r>
              <w:rPr>
                <w:rFonts w:ascii="Times New Roman" w:hAnsi="Times New Roman" w:eastAsia="仿宋_GB2312" w:cs="Times New Roman"/>
                <w:b/>
                <w:color w:val="000000"/>
                <w:kern w:val="0"/>
                <w:szCs w:val="21"/>
              </w:rPr>
              <w:t xml:space="preserve">   </w:t>
            </w:r>
            <w:r>
              <w:rPr>
                <w:rFonts w:ascii="Times New Roman" w:hAnsi="Times New Roman" w:eastAsia="仿宋_GB2312" w:cs="Times New Roman"/>
                <w:b/>
                <w:kern w:val="0"/>
                <w:szCs w:val="21"/>
              </w:rPr>
              <w:t>目</w:t>
            </w:r>
          </w:p>
        </w:tc>
        <w:tc>
          <w:tcPr>
            <w:tcW w:w="200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年初结转和结余</w:t>
            </w:r>
          </w:p>
        </w:tc>
        <w:tc>
          <w:tcPr>
            <w:tcW w:w="200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本年收入</w:t>
            </w:r>
          </w:p>
        </w:tc>
        <w:tc>
          <w:tcPr>
            <w:tcW w:w="6000" w:type="dxa"/>
            <w:gridSpan w:val="3"/>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本年支出</w:t>
            </w:r>
          </w:p>
        </w:tc>
        <w:tc>
          <w:tcPr>
            <w:tcW w:w="200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年末结转和结余</w:t>
            </w:r>
          </w:p>
        </w:tc>
      </w:tr>
      <w:tr>
        <w:trPr>
          <w:trHeight w:val="454" w:hRule="atLeast"/>
          <w:jc w:val="center"/>
        </w:trPr>
        <w:tc>
          <w:tcPr>
            <w:tcW w:w="112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功能分类科目编码</w:t>
            </w:r>
          </w:p>
        </w:tc>
        <w:tc>
          <w:tcPr>
            <w:tcW w:w="132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科目名称</w:t>
            </w:r>
          </w:p>
        </w:tc>
        <w:tc>
          <w:tcPr>
            <w:tcW w:w="2000" w:type="dxa"/>
            <w:vMerge w:val="continue"/>
            <w:vAlign w:val="center"/>
          </w:tcPr>
          <w:p>
            <w:pPr>
              <w:widowControl/>
              <w:jc w:val="left"/>
              <w:rPr>
                <w:rFonts w:ascii="Times New Roman" w:hAnsi="Times New Roman" w:eastAsia="仿宋_GB2312" w:cs="Times New Roman"/>
                <w:b/>
                <w:kern w:val="0"/>
                <w:szCs w:val="21"/>
              </w:rPr>
            </w:pPr>
          </w:p>
        </w:tc>
        <w:tc>
          <w:tcPr>
            <w:tcW w:w="2000" w:type="dxa"/>
            <w:vMerge w:val="continue"/>
            <w:vAlign w:val="center"/>
          </w:tcPr>
          <w:p>
            <w:pPr>
              <w:widowControl/>
              <w:jc w:val="left"/>
              <w:rPr>
                <w:rFonts w:ascii="Times New Roman" w:hAnsi="Times New Roman" w:eastAsia="仿宋_GB2312" w:cs="Times New Roman"/>
                <w:b/>
                <w:kern w:val="0"/>
                <w:szCs w:val="21"/>
              </w:rPr>
            </w:pPr>
          </w:p>
        </w:tc>
        <w:tc>
          <w:tcPr>
            <w:tcW w:w="200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小计</w:t>
            </w:r>
          </w:p>
        </w:tc>
        <w:tc>
          <w:tcPr>
            <w:tcW w:w="200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 xml:space="preserve">基本支出  </w:t>
            </w:r>
          </w:p>
        </w:tc>
        <w:tc>
          <w:tcPr>
            <w:tcW w:w="200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项目支出</w:t>
            </w:r>
          </w:p>
        </w:tc>
        <w:tc>
          <w:tcPr>
            <w:tcW w:w="2000" w:type="dxa"/>
            <w:vMerge w:val="continue"/>
            <w:vAlign w:val="center"/>
          </w:tcPr>
          <w:p>
            <w:pPr>
              <w:widowControl/>
              <w:jc w:val="left"/>
              <w:rPr>
                <w:rFonts w:ascii="Times New Roman" w:hAnsi="Times New Roman" w:eastAsia="仿宋_GB2312" w:cs="Times New Roman"/>
                <w:b/>
                <w:kern w:val="0"/>
                <w:szCs w:val="21"/>
              </w:rPr>
            </w:pPr>
          </w:p>
        </w:tc>
      </w:tr>
      <w:tr>
        <w:trPr>
          <w:trHeight w:val="454" w:hRule="atLeast"/>
          <w:jc w:val="center"/>
        </w:trPr>
        <w:tc>
          <w:tcPr>
            <w:tcW w:w="1120" w:type="dxa"/>
            <w:vMerge w:val="continue"/>
            <w:vAlign w:val="center"/>
          </w:tcPr>
          <w:p>
            <w:pPr>
              <w:widowControl/>
              <w:jc w:val="left"/>
              <w:rPr>
                <w:rFonts w:ascii="Times New Roman" w:hAnsi="Times New Roman" w:eastAsia="仿宋_GB2312" w:cs="Times New Roman"/>
                <w:kern w:val="0"/>
                <w:szCs w:val="21"/>
              </w:rPr>
            </w:pPr>
          </w:p>
        </w:tc>
        <w:tc>
          <w:tcPr>
            <w:tcW w:w="132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r>
      <w:tr>
        <w:trPr>
          <w:trHeight w:val="454" w:hRule="atLeast"/>
          <w:jc w:val="center"/>
        </w:trPr>
        <w:tc>
          <w:tcPr>
            <w:tcW w:w="1120" w:type="dxa"/>
            <w:vMerge w:val="continue"/>
            <w:vAlign w:val="center"/>
          </w:tcPr>
          <w:p>
            <w:pPr>
              <w:widowControl/>
              <w:jc w:val="left"/>
              <w:rPr>
                <w:rFonts w:ascii="Times New Roman" w:hAnsi="Times New Roman" w:eastAsia="仿宋_GB2312" w:cs="Times New Roman"/>
                <w:kern w:val="0"/>
                <w:szCs w:val="21"/>
              </w:rPr>
            </w:pPr>
          </w:p>
        </w:tc>
        <w:tc>
          <w:tcPr>
            <w:tcW w:w="132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r>
      <w:tr>
        <w:trPr>
          <w:trHeight w:val="454" w:hRule="atLeast"/>
          <w:jc w:val="center"/>
        </w:trPr>
        <w:tc>
          <w:tcPr>
            <w:tcW w:w="2440" w:type="dxa"/>
            <w:gridSpan w:val="2"/>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栏次</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5</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6</w:t>
            </w:r>
          </w:p>
        </w:tc>
      </w:tr>
      <w:tr>
        <w:trPr>
          <w:trHeight w:val="454" w:hRule="atLeast"/>
          <w:jc w:val="center"/>
        </w:trPr>
        <w:tc>
          <w:tcPr>
            <w:tcW w:w="2440" w:type="dxa"/>
            <w:gridSpan w:val="2"/>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合计</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4" w:hRule="atLeast"/>
          <w:jc w:val="center"/>
        </w:trPr>
        <w:tc>
          <w:tcPr>
            <w:tcW w:w="112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2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4" w:hRule="atLeast"/>
          <w:jc w:val="center"/>
        </w:trPr>
        <w:tc>
          <w:tcPr>
            <w:tcW w:w="112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2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4" w:hRule="atLeast"/>
          <w:jc w:val="center"/>
        </w:trPr>
        <w:tc>
          <w:tcPr>
            <w:tcW w:w="112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2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4" w:hRule="atLeast"/>
          <w:jc w:val="center"/>
        </w:trPr>
        <w:tc>
          <w:tcPr>
            <w:tcW w:w="112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2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4" w:hRule="atLeast"/>
          <w:jc w:val="center"/>
        </w:trPr>
        <w:tc>
          <w:tcPr>
            <w:tcW w:w="112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2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4" w:hRule="atLeast"/>
          <w:jc w:val="center"/>
        </w:trPr>
        <w:tc>
          <w:tcPr>
            <w:tcW w:w="112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2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bl>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注：本表反映部门本年度政府性基金预算财政拨款收入、支出及结转和结余情况</w:t>
      </w:r>
    </w:p>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(若本单位无政府性基金收支</w:t>
      </w:r>
      <w:r>
        <w:rPr>
          <w:rFonts w:hint="eastAsia" w:ascii="Times New Roman" w:hAnsi="Times New Roman" w:eastAsia="仿宋_GB2312" w:cs="Times New Roman"/>
          <w:kern w:val="0"/>
          <w:szCs w:val="21"/>
        </w:rPr>
        <w:t>,请说明：XX单位没有政府性基金收入，也没有使用政府性基金安排的支出，故本表无数据</w:t>
      </w:r>
      <w:r>
        <w:rPr>
          <w:rFonts w:ascii="Times New Roman" w:hAnsi="Times New Roman" w:eastAsia="仿宋_GB2312" w:cs="Times New Roman"/>
          <w:kern w:val="0"/>
          <w:szCs w:val="21"/>
        </w:rPr>
        <w:t>)。</w:t>
      </w:r>
    </w:p>
    <w:p>
      <w:pPr>
        <w:widowControl/>
        <w:jc w:val="left"/>
        <w:rPr>
          <w:sz w:val="72"/>
          <w:szCs w:val="72"/>
        </w:rPr>
        <w:sectPr>
          <w:pgSz w:w="16838" w:h="11906" w:orient="landscape"/>
          <w:pgMar w:top="720" w:right="720" w:bottom="720" w:left="720" w:header="851" w:footer="992" w:gutter="0"/>
          <w:cols w:space="425" w:num="1"/>
          <w:docGrid w:type="lines" w:linePitch="312" w:charSpace="0"/>
        </w:sectPr>
      </w:pPr>
      <w:r>
        <w:rPr>
          <w:rFonts w:ascii="黑体" w:hAnsi="黑体" w:eastAsia="黑体"/>
          <w:szCs w:val="21"/>
        </w:rPr>
        <w:br w:type="page"/>
      </w:r>
    </w:p>
    <w:p>
      <w:pPr>
        <w:pStyle w:val="10"/>
        <w:keepNext w:val="0"/>
        <w:keepLines w:val="0"/>
        <w:pageBreakBefore w:val="0"/>
        <w:kinsoku/>
        <w:wordWrap/>
        <w:overflowPunct/>
        <w:topLinePunct w:val="0"/>
        <w:bidi w:val="0"/>
        <w:snapToGrid/>
        <w:spacing w:beforeAutospacing="0" w:afterAutospacing="0" w:line="560" w:lineRule="atLeas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第三部分2019年度部门决算情况说明</w:t>
      </w:r>
    </w:p>
    <w:p>
      <w:pPr>
        <w:keepNext w:val="0"/>
        <w:keepLines w:val="0"/>
        <w:pageBreakBefore w:val="0"/>
        <w:widowControl/>
        <w:numPr>
          <w:ilvl w:val="0"/>
          <w:numId w:val="3"/>
        </w:numPr>
        <w:kinsoku/>
        <w:wordWrap/>
        <w:overflowPunct/>
        <w:topLinePunct w:val="0"/>
        <w:bidi w:val="0"/>
        <w:snapToGrid/>
        <w:spacing w:beforeAutospacing="0" w:afterAutospacing="0" w:line="560" w:lineRule="atLeast"/>
        <w:jc w:val="lef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收入支出决算总体情况说明</w:t>
      </w:r>
    </w:p>
    <w:p>
      <w:pPr>
        <w:pStyle w:val="10"/>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2019年度</w:t>
      </w:r>
      <w:r>
        <w:rPr>
          <w:rFonts w:hint="eastAsia" w:ascii="仿宋_GB2312" w:hAnsi="仿宋_GB2312" w:eastAsia="仿宋_GB2312" w:cs="仿宋_GB2312"/>
          <w:sz w:val="32"/>
          <w:szCs w:val="32"/>
          <w:lang w:val="en-US" w:eastAsia="zh-CN"/>
        </w:rPr>
        <w:t>收、支</w:t>
      </w:r>
      <w:r>
        <w:rPr>
          <w:rFonts w:hint="eastAsia" w:ascii="仿宋_GB2312" w:hAnsi="仿宋_GB2312" w:eastAsia="仿宋_GB2312" w:cs="仿宋_GB2312"/>
          <w:sz w:val="32"/>
          <w:szCs w:val="32"/>
        </w:rPr>
        <w:t>总计</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rPr>
        <w:t>万元。与2018年相比，增加</w:t>
      </w:r>
      <w:r>
        <w:rPr>
          <w:rFonts w:hint="eastAsia" w:ascii="仿宋_GB2312" w:hAnsi="仿宋_GB2312" w:eastAsia="仿宋_GB2312" w:cs="仿宋_GB2312"/>
          <w:sz w:val="32"/>
          <w:szCs w:val="32"/>
          <w:lang w:val="en-US" w:eastAsia="zh-CN"/>
        </w:rPr>
        <w:t>0.9</w:t>
      </w:r>
      <w:r>
        <w:rPr>
          <w:rFonts w:hint="eastAsia" w:ascii="仿宋_GB2312" w:hAnsi="仿宋_GB2312" w:eastAsia="仿宋_GB2312" w:cs="仿宋_GB2312"/>
          <w:sz w:val="32"/>
          <w:szCs w:val="32"/>
        </w:rPr>
        <w:t>万元，主要是因为</w:t>
      </w:r>
      <w:r>
        <w:rPr>
          <w:rFonts w:hint="eastAsia" w:ascii="仿宋_GB2312" w:hAnsi="仿宋_GB2312" w:eastAsia="仿宋_GB2312" w:cs="仿宋_GB2312"/>
          <w:sz w:val="32"/>
          <w:szCs w:val="32"/>
          <w:lang w:val="en-US" w:eastAsia="zh-CN"/>
        </w:rPr>
        <w:t>老干部经费增加</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二、收入决算情况说明</w:t>
      </w:r>
    </w:p>
    <w:p>
      <w:pPr>
        <w:pStyle w:val="10"/>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本年收入合计</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rPr>
        <w:t>万元，其中：财政拨款收入</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%；上级补助收入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%；事业收入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%；经营收入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%；附属单位上缴收入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%；其他收入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三、支出决算情况说明</w:t>
      </w:r>
    </w:p>
    <w:p>
      <w:pPr>
        <w:pStyle w:val="10"/>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本年支出合计</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rPr>
        <w:t>万元，其中：基本支出</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%；上缴上级支出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%；经营支出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%；对附属单位补助支出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四、财政拨款收入支出决算总体情况说明</w:t>
      </w:r>
    </w:p>
    <w:p>
      <w:pPr>
        <w:pStyle w:val="10"/>
        <w:keepNext w:val="0"/>
        <w:keepLines w:val="0"/>
        <w:pageBreakBefore w:val="0"/>
        <w:kinsoku/>
        <w:wordWrap/>
        <w:overflowPunct/>
        <w:topLinePunct w:val="0"/>
        <w:bidi w:val="0"/>
        <w:snapToGrid/>
        <w:spacing w:beforeAutospacing="0" w:afterAutospacing="0" w:line="560" w:lineRule="atLeast"/>
        <w:ind w:firstLine="64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2019年度财政拨款</w:t>
      </w:r>
      <w:r>
        <w:rPr>
          <w:rFonts w:hint="eastAsia" w:ascii="仿宋_GB2312" w:hAnsi="仿宋_GB2312" w:eastAsia="仿宋_GB2312" w:cs="仿宋_GB2312"/>
          <w:sz w:val="32"/>
          <w:szCs w:val="32"/>
          <w:lang w:val="en-US" w:eastAsia="zh-CN"/>
        </w:rPr>
        <w:t>收、支</w:t>
      </w:r>
      <w:r>
        <w:rPr>
          <w:rFonts w:hint="eastAsia" w:ascii="仿宋_GB2312" w:hAnsi="仿宋_GB2312" w:eastAsia="仿宋_GB2312" w:cs="仿宋_GB2312"/>
          <w:sz w:val="32"/>
          <w:szCs w:val="32"/>
        </w:rPr>
        <w:t>总计</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rPr>
        <w:t>万元，与2018年相比，增加</w:t>
      </w:r>
      <w:r>
        <w:rPr>
          <w:rFonts w:hint="eastAsia" w:ascii="仿宋_GB2312" w:hAnsi="仿宋_GB2312" w:eastAsia="仿宋_GB2312" w:cs="仿宋_GB2312"/>
          <w:sz w:val="32"/>
          <w:szCs w:val="32"/>
          <w:lang w:val="en-US" w:eastAsia="zh-CN"/>
        </w:rPr>
        <w:t>0.9</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0.3</w:t>
      </w:r>
      <w:r>
        <w:rPr>
          <w:rFonts w:hint="eastAsia" w:ascii="仿宋_GB2312" w:hAnsi="仿宋_GB2312" w:eastAsia="仿宋_GB2312" w:cs="仿宋_GB2312"/>
          <w:sz w:val="32"/>
          <w:szCs w:val="32"/>
        </w:rPr>
        <w:t>%，主要是因为</w:t>
      </w:r>
      <w:r>
        <w:rPr>
          <w:rFonts w:hint="eastAsia" w:ascii="仿宋_GB2312" w:hAnsi="仿宋_GB2312" w:eastAsia="仿宋_GB2312" w:cs="仿宋_GB2312"/>
          <w:sz w:val="32"/>
          <w:szCs w:val="32"/>
          <w:lang w:val="en-US" w:eastAsia="zh-CN"/>
        </w:rPr>
        <w:t>老干部经费增加。</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五、一般公共预算财政拨款支出决算情况说明</w:t>
      </w:r>
    </w:p>
    <w:p>
      <w:pPr>
        <w:pStyle w:val="10"/>
        <w:keepNext w:val="0"/>
        <w:keepLines w:val="0"/>
        <w:pageBreakBefore w:val="0"/>
        <w:widowControl w:val="0"/>
        <w:kinsoku/>
        <w:wordWrap/>
        <w:overflowPunct/>
        <w:topLinePunct w:val="0"/>
        <w:autoSpaceDE w:val="0"/>
        <w:autoSpaceDN w:val="0"/>
        <w:bidi w:val="0"/>
        <w:adjustRightInd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（一）财政拨款支出决算总体情况</w:t>
      </w:r>
    </w:p>
    <w:p>
      <w:pPr>
        <w:pStyle w:val="10"/>
        <w:keepNext w:val="0"/>
        <w:keepLines w:val="0"/>
        <w:pageBreakBefore w:val="0"/>
        <w:widowControl w:val="0"/>
        <w:kinsoku/>
        <w:wordWrap/>
        <w:overflowPunct/>
        <w:topLinePunct w:val="0"/>
        <w:autoSpaceDE w:val="0"/>
        <w:autoSpaceDN w:val="0"/>
        <w:bidi w:val="0"/>
        <w:adjustRightInd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2019年度财政拨款支出</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rPr>
        <w:t>万元，占本年支出合计</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%，与2018年相比，财政拨款支出增加</w:t>
      </w:r>
      <w:r>
        <w:rPr>
          <w:rFonts w:hint="eastAsia" w:ascii="仿宋_GB2312" w:hAnsi="仿宋_GB2312" w:eastAsia="仿宋_GB2312" w:cs="仿宋_GB2312"/>
          <w:sz w:val="32"/>
          <w:szCs w:val="32"/>
          <w:lang w:val="en-US" w:eastAsia="zh-CN"/>
        </w:rPr>
        <w:t>0.9</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0.3</w:t>
      </w:r>
      <w:r>
        <w:rPr>
          <w:rFonts w:hint="eastAsia" w:ascii="仿宋_GB2312" w:hAnsi="仿宋_GB2312" w:eastAsia="仿宋_GB2312" w:cs="仿宋_GB2312"/>
          <w:sz w:val="32"/>
          <w:szCs w:val="32"/>
        </w:rPr>
        <w:t>%，主要是因为</w:t>
      </w:r>
      <w:r>
        <w:rPr>
          <w:rFonts w:hint="eastAsia" w:ascii="仿宋_GB2312" w:hAnsi="仿宋_GB2312" w:eastAsia="仿宋_GB2312" w:cs="仿宋_GB2312"/>
          <w:sz w:val="32"/>
          <w:szCs w:val="32"/>
          <w:lang w:val="en-US" w:eastAsia="zh-CN"/>
        </w:rPr>
        <w:t>老干部经费增加。</w:t>
      </w:r>
    </w:p>
    <w:p>
      <w:pPr>
        <w:pStyle w:val="10"/>
        <w:keepNext w:val="0"/>
        <w:keepLines w:val="0"/>
        <w:pageBreakBefore w:val="0"/>
        <w:widowControl w:val="0"/>
        <w:kinsoku/>
        <w:wordWrap/>
        <w:overflowPunct/>
        <w:topLinePunct w:val="0"/>
        <w:autoSpaceDE w:val="0"/>
        <w:autoSpaceDN w:val="0"/>
        <w:bidi w:val="0"/>
        <w:adjustRightInd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（二）财政拨款支出决算结构情况</w:t>
      </w:r>
    </w:p>
    <w:p>
      <w:pPr>
        <w:pStyle w:val="10"/>
        <w:keepNext w:val="0"/>
        <w:keepLines w:val="0"/>
        <w:pageBreakBefore w:val="0"/>
        <w:widowControl w:val="0"/>
        <w:kinsoku/>
        <w:wordWrap/>
        <w:overflowPunct/>
        <w:topLinePunct w:val="0"/>
        <w:autoSpaceDE w:val="0"/>
        <w:autoSpaceDN w:val="0"/>
        <w:bidi w:val="0"/>
        <w:adjustRightInd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2019年度财政拨款支出</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rPr>
        <w:t>万元，主要用于以下方面：一般公共服务支出</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 w:hAnsi="仿宋" w:eastAsia="仿宋" w:cs="仿宋"/>
          <w:sz w:val="32"/>
          <w:szCs w:val="32"/>
        </w:rPr>
        <w:t>社会保障和就业支出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教育支出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r>
        <w:rPr>
          <w:rFonts w:hint="eastAsia" w:ascii="仿宋" w:hAnsi="仿宋" w:eastAsia="仿宋" w:cs="仿宋"/>
          <w:sz w:val="32"/>
          <w:szCs w:val="32"/>
        </w:rPr>
        <w:t>卫生健康支出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p>
    <w:p>
      <w:pPr>
        <w:pStyle w:val="10"/>
        <w:keepNext w:val="0"/>
        <w:keepLines w:val="0"/>
        <w:pageBreakBefore w:val="0"/>
        <w:kinsoku/>
        <w:wordWrap/>
        <w:overflowPunct/>
        <w:topLinePunct w:val="0"/>
        <w:bidi w:val="0"/>
        <w:snapToGrid/>
        <w:spacing w:beforeAutospacing="0" w:afterAutospacing="0" w:line="560" w:lineRule="atLeast"/>
        <w:ind w:firstLine="800" w:firstLineChars="25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（三）财政拨款支出决算具体情况</w:t>
      </w:r>
    </w:p>
    <w:p>
      <w:pPr>
        <w:pStyle w:val="10"/>
        <w:keepNext w:val="0"/>
        <w:keepLines w:val="0"/>
        <w:pageBreakBefore w:val="0"/>
        <w:kinsoku/>
        <w:wordWrap/>
        <w:overflowPunct/>
        <w:topLinePunct w:val="0"/>
        <w:bidi w:val="0"/>
        <w:snapToGrid/>
        <w:spacing w:beforeAutospacing="0" w:afterAutospacing="0" w:line="560" w:lineRule="atLeast"/>
        <w:ind w:firstLine="800" w:firstLineChars="2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2019年度财政拨款支出年初预算数为</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rPr>
        <w:t>万元，支出决算数为</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rPr>
        <w:t>万元，完成年初预算的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，其中：</w:t>
      </w:r>
    </w:p>
    <w:p>
      <w:pPr>
        <w:pStyle w:val="10"/>
        <w:keepNext w:val="0"/>
        <w:keepLines w:val="0"/>
        <w:pageBreakBefore w:val="0"/>
        <w:kinsoku/>
        <w:wordWrap/>
        <w:overflowPunct/>
        <w:topLinePunct w:val="0"/>
        <w:bidi w:val="0"/>
        <w:snapToGrid/>
        <w:spacing w:beforeAutospacing="0" w:afterAutospacing="0" w:line="560" w:lineRule="atLeast"/>
        <w:ind w:firstLine="800" w:firstLineChars="25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1、一般公共服务（类）</w:t>
      </w:r>
      <w:r>
        <w:rPr>
          <w:rFonts w:hint="eastAsia" w:ascii="仿宋_GB2312" w:hAnsi="仿宋_GB2312" w:eastAsia="仿宋_GB2312" w:cs="仿宋_GB2312"/>
          <w:sz w:val="32"/>
          <w:szCs w:val="32"/>
          <w:lang w:val="en-US" w:eastAsia="zh-CN"/>
        </w:rPr>
        <w:t>其他共产党事务的行政运行</w:t>
      </w:r>
    </w:p>
    <w:p>
      <w:pPr>
        <w:pStyle w:val="10"/>
        <w:keepNext w:val="0"/>
        <w:keepLines w:val="0"/>
        <w:pageBreakBefore w:val="0"/>
        <w:kinsoku/>
        <w:wordWrap/>
        <w:overflowPunct/>
        <w:topLinePunct w:val="0"/>
        <w:bidi w:val="0"/>
        <w:snapToGrid/>
        <w:spacing w:beforeAutospacing="0" w:afterAutospacing="0" w:line="560" w:lineRule="atLeast"/>
        <w:ind w:firstLine="800" w:firstLineChars="25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年初预算为</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rPr>
        <w:t>万元，完成年初预算的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六、一般公共预算财政拨款基本支出决算情况说明</w:t>
      </w:r>
    </w:p>
    <w:p>
      <w:pPr>
        <w:pStyle w:val="10"/>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2019年度财政拨款基本支出</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rPr>
        <w:t>万元，其中：人员经费</w:t>
      </w:r>
      <w:r>
        <w:rPr>
          <w:rFonts w:hint="eastAsia" w:ascii="仿宋_GB2312" w:hAnsi="仿宋_GB2312" w:eastAsia="仿宋_GB2312" w:cs="仿宋_GB2312"/>
          <w:sz w:val="32"/>
          <w:szCs w:val="32"/>
          <w:lang w:val="en-US" w:eastAsia="zh-CN"/>
        </w:rPr>
        <w:t>220.53</w:t>
      </w:r>
      <w:r>
        <w:rPr>
          <w:rFonts w:hint="eastAsia" w:ascii="仿宋_GB2312" w:hAnsi="仿宋_GB2312" w:eastAsia="仿宋_GB2312" w:cs="仿宋_GB2312"/>
          <w:sz w:val="32"/>
          <w:szCs w:val="32"/>
        </w:rPr>
        <w:t>万元，占基本支出的</w:t>
      </w:r>
      <w:r>
        <w:rPr>
          <w:rFonts w:hint="eastAsia" w:ascii="仿宋_GB2312" w:hAnsi="仿宋_GB2312" w:eastAsia="仿宋_GB2312" w:cs="仿宋_GB2312"/>
          <w:sz w:val="32"/>
          <w:szCs w:val="32"/>
          <w:lang w:val="en-US" w:eastAsia="zh-CN"/>
        </w:rPr>
        <w:t>76.27</w:t>
      </w:r>
      <w:r>
        <w:rPr>
          <w:rFonts w:hint="eastAsia" w:ascii="仿宋_GB2312" w:hAnsi="仿宋_GB2312" w:eastAsia="仿宋_GB2312" w:cs="仿宋_GB2312"/>
          <w:sz w:val="32"/>
          <w:szCs w:val="32"/>
        </w:rPr>
        <w:t>%,主要包括基本工资、津贴补贴、奖金、伙食补助费</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；公用经费</w:t>
      </w:r>
      <w:r>
        <w:rPr>
          <w:rFonts w:hint="eastAsia" w:ascii="仿宋_GB2312" w:hAnsi="仿宋_GB2312" w:eastAsia="仿宋_GB2312" w:cs="仿宋_GB2312"/>
          <w:sz w:val="32"/>
          <w:szCs w:val="32"/>
          <w:lang w:val="en-US" w:eastAsia="zh-CN"/>
        </w:rPr>
        <w:t>72.47</w:t>
      </w:r>
      <w:r>
        <w:rPr>
          <w:rFonts w:hint="eastAsia" w:ascii="仿宋_GB2312" w:hAnsi="仿宋_GB2312" w:eastAsia="仿宋_GB2312" w:cs="仿宋_GB2312"/>
          <w:sz w:val="32"/>
          <w:szCs w:val="32"/>
        </w:rPr>
        <w:t>万元，占基本支出的</w:t>
      </w:r>
      <w:r>
        <w:rPr>
          <w:rFonts w:hint="eastAsia" w:ascii="仿宋_GB2312" w:hAnsi="仿宋_GB2312" w:eastAsia="仿宋_GB2312" w:cs="仿宋_GB2312"/>
          <w:sz w:val="32"/>
          <w:szCs w:val="32"/>
          <w:lang w:val="en-US" w:eastAsia="zh-CN"/>
        </w:rPr>
        <w:t>23.73</w:t>
      </w:r>
      <w:r>
        <w:rPr>
          <w:rFonts w:hint="eastAsia" w:ascii="仿宋_GB2312" w:hAnsi="仿宋_GB2312" w:eastAsia="仿宋_GB2312" w:cs="仿宋_GB2312"/>
          <w:sz w:val="32"/>
          <w:szCs w:val="32"/>
        </w:rPr>
        <w:t>%，包括单位办公费、印刷费、水电费、邮电费、取暖费、交通费、差旅费、会议费、物业管理费、维修费、专用材料费、一般购置费、专项维护费等开支。</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七、一般公共预算财政拨款三公经费支出决算情况说明</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（一）“三公”经费财政拨款支出决算总体情况说明</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“三公”经费财政拨款支出预算为</w:t>
      </w:r>
      <w:r>
        <w:rPr>
          <w:rFonts w:hint="eastAsia" w:ascii="仿宋_GB2312" w:hAnsi="仿宋_GB2312" w:eastAsia="仿宋_GB2312" w:cs="仿宋_GB2312"/>
          <w:sz w:val="32"/>
          <w:szCs w:val="32"/>
          <w:lang w:val="en-US" w:eastAsia="zh-CN"/>
        </w:rPr>
        <w:t>1.23</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1.23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%，其中：</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因公出国（境）费支出预算为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%，公务接待费支出预算为</w:t>
      </w:r>
      <w:r>
        <w:rPr>
          <w:rFonts w:hint="eastAsia" w:ascii="仿宋_GB2312" w:hAnsi="仿宋_GB2312" w:eastAsia="仿宋_GB2312" w:cs="仿宋_GB2312"/>
          <w:sz w:val="32"/>
          <w:szCs w:val="32"/>
          <w:lang w:val="en-US" w:eastAsia="zh-CN"/>
        </w:rPr>
        <w:t>1.23</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1.23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公务用车购置费及运行维护费支出预算为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（二）“三公”经费财政拨款支出决算具体情况说明</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2019年度“三公”经费财政拨款支出决算中，公务接待费支出决算</w:t>
      </w:r>
      <w:r>
        <w:rPr>
          <w:rFonts w:hint="eastAsia" w:ascii="仿宋_GB2312" w:hAnsi="仿宋_GB2312" w:eastAsia="仿宋_GB2312" w:cs="仿宋_GB2312"/>
          <w:sz w:val="32"/>
          <w:szCs w:val="32"/>
          <w:lang w:val="en-US" w:eastAsia="zh-CN"/>
        </w:rPr>
        <w:t>1.23</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%,因公出国（境）费支出决算</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%,公务用车购置费及运行维护费支出决算</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%。其中：</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1、因公出国（境）费支出决算为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万元，全年安排因公出国（境）团组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个，累计</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人次</w:t>
      </w:r>
      <w:r>
        <w:rPr>
          <w:rFonts w:hint="eastAsia" w:ascii="仿宋_GB2312" w:hAnsi="仿宋_GB2312" w:eastAsia="仿宋_GB2312" w:cs="仿宋_GB2312"/>
          <w:sz w:val="32"/>
          <w:szCs w:val="32"/>
          <w:lang w:eastAsia="zh-CN"/>
        </w:rPr>
        <w:t>。</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2、公务接待费支出决算为</w:t>
      </w:r>
      <w:r>
        <w:rPr>
          <w:rFonts w:hint="eastAsia" w:ascii="仿宋_GB2312" w:hAnsi="仿宋_GB2312" w:eastAsia="仿宋_GB2312" w:cs="仿宋_GB2312"/>
          <w:sz w:val="32"/>
          <w:szCs w:val="32"/>
          <w:lang w:val="en-US" w:eastAsia="zh-CN"/>
        </w:rPr>
        <w:t>1.23</w:t>
      </w:r>
      <w:r>
        <w:rPr>
          <w:rFonts w:hint="eastAsia" w:ascii="仿宋_GB2312" w:hAnsi="仿宋_GB2312" w:eastAsia="仿宋_GB2312" w:cs="仿宋_GB2312"/>
          <w:sz w:val="32"/>
          <w:szCs w:val="32"/>
        </w:rPr>
        <w:t>万元，全年共接待来访团组</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个、来宾</w:t>
      </w:r>
      <w:r>
        <w:rPr>
          <w:rFonts w:hint="eastAsia" w:ascii="仿宋_GB2312" w:hAnsi="仿宋_GB2312" w:eastAsia="仿宋_GB2312" w:cs="仿宋_GB2312"/>
          <w:sz w:val="32"/>
          <w:szCs w:val="32"/>
          <w:lang w:val="en-US" w:eastAsia="zh-CN"/>
        </w:rPr>
        <w:t>310</w:t>
      </w:r>
      <w:r>
        <w:rPr>
          <w:rFonts w:hint="eastAsia" w:ascii="仿宋_GB2312" w:hAnsi="仿宋_GB2312" w:eastAsia="仿宋_GB2312" w:cs="仿宋_GB2312"/>
          <w:sz w:val="32"/>
          <w:szCs w:val="32"/>
        </w:rPr>
        <w:t>人次，主要是</w:t>
      </w:r>
      <w:r>
        <w:rPr>
          <w:rFonts w:hint="eastAsia" w:ascii="仿宋_GB2312" w:hAnsi="仿宋_GB2312" w:eastAsia="仿宋_GB2312" w:cs="仿宋_GB2312"/>
          <w:sz w:val="32"/>
          <w:szCs w:val="32"/>
          <w:lang w:val="en-US" w:eastAsia="zh-CN"/>
        </w:rPr>
        <w:t>老干部交流、离退休工委及与各县区老干部局</w:t>
      </w:r>
      <w:r>
        <w:rPr>
          <w:rFonts w:hint="eastAsia" w:ascii="仿宋_GB2312" w:hAnsi="仿宋_GB2312" w:eastAsia="仿宋_GB2312" w:cs="仿宋_GB2312"/>
          <w:sz w:val="32"/>
          <w:szCs w:val="32"/>
        </w:rPr>
        <w:t>发生的接待支出。</w:t>
      </w:r>
    </w:p>
    <w:p>
      <w:pPr>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z w:val="32"/>
          <w:szCs w:val="32"/>
        </w:rPr>
        <w:t>3、公务用车购置费及运行维护费支出决算为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万元，其中：公务用车购置费</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sz w:val="32"/>
          <w:szCs w:val="32"/>
        </w:rPr>
        <w:t>公务用车运行维护费</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万元，截止2019年12月31日，我单位开支财政拨款的公务用车保有量为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八、政府性基金预算收入支出决算情况</w:t>
      </w:r>
    </w:p>
    <w:p>
      <w:pPr>
        <w:pStyle w:val="10"/>
        <w:keepNext w:val="0"/>
        <w:keepLines w:val="0"/>
        <w:pageBreakBefore w:val="0"/>
        <w:numPr>
          <w:ilvl w:val="0"/>
          <w:numId w:val="0"/>
        </w:numPr>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lang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sz w:val="32"/>
          <w:szCs w:val="32"/>
          <w:lang w:eastAsia="zh-CN"/>
        </w:rPr>
        <w:t>本单位无</w:t>
      </w:r>
      <w:r>
        <w:rPr>
          <w:rFonts w:hint="eastAsia" w:ascii="仿宋_GB2312" w:hAnsi="仿宋_GB2312" w:eastAsia="仿宋_GB2312" w:cs="仿宋_GB2312"/>
          <w:b/>
          <w:sz w:val="32"/>
          <w:szCs w:val="32"/>
        </w:rPr>
        <w:t>政府性基金预算收入</w:t>
      </w:r>
    </w:p>
    <w:p>
      <w:pPr>
        <w:pStyle w:val="10"/>
        <w:keepNext w:val="0"/>
        <w:keepLines w:val="0"/>
        <w:pageBreakBefore w:val="0"/>
        <w:numPr>
          <w:ilvl w:val="0"/>
          <w:numId w:val="0"/>
        </w:numPr>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九、</w:t>
      </w:r>
      <w:r>
        <w:rPr>
          <w:rFonts w:hint="eastAsia" w:ascii="仿宋_GB2312" w:hAnsi="仿宋_GB2312" w:eastAsia="仿宋_GB2312" w:cs="仿宋_GB2312"/>
          <w:b/>
          <w:sz w:val="32"/>
          <w:szCs w:val="32"/>
        </w:rPr>
        <w:t>关于2019年度预算绩效情况说明</w:t>
      </w:r>
    </w:p>
    <w:p>
      <w:pPr>
        <w:keepNext w:val="0"/>
        <w:keepLines w:val="0"/>
        <w:pageBreakBefore w:val="0"/>
        <w:widowControl/>
        <w:kinsoku/>
        <w:wordWrap/>
        <w:overflowPunct/>
        <w:topLinePunct w:val="0"/>
        <w:bidi w:val="0"/>
        <w:snapToGrid/>
        <w:spacing w:beforeAutospacing="0" w:afterAutospacing="0" w:line="560" w:lineRule="atLeast"/>
        <w:ind w:firstLine="645"/>
        <w:textAlignment w:val="auto"/>
        <w:rPr>
          <w:rFonts w:hint="eastAsia" w:ascii="仿宋_GB2312" w:eastAsia="仿宋_GB2312"/>
          <w:b/>
          <w:bCs/>
          <w:sz w:val="32"/>
          <w:szCs w:val="32"/>
        </w:rPr>
      </w:pPr>
      <w:r>
        <w:rPr>
          <w:rFonts w:hint="eastAsia" w:ascii="仿宋_GB2312" w:eastAsia="仿宋_GB2312"/>
          <w:b/>
          <w:bCs/>
          <w:sz w:val="32"/>
          <w:szCs w:val="32"/>
        </w:rPr>
        <w:t>（一）绩效管理工作开展情况。</w:t>
      </w:r>
    </w:p>
    <w:p>
      <w:pPr>
        <w:pStyle w:val="5"/>
        <w:keepNext w:val="0"/>
        <w:keepLines w:val="0"/>
        <w:pageBreakBefore w:val="0"/>
        <w:widowControl/>
        <w:suppressLineNumbers w:val="0"/>
        <w:kinsoku/>
        <w:wordWrap/>
        <w:overflowPunct/>
        <w:topLinePunct w:val="0"/>
        <w:bidi w:val="0"/>
        <w:snapToGrid/>
        <w:spacing w:before="0" w:beforeAutospacing="0" w:after="0" w:afterAutospacing="0" w:line="560" w:lineRule="atLeast"/>
        <w:ind w:left="0" w:right="0" w:firstLine="640" w:firstLineChars="200"/>
        <w:jc w:val="both"/>
        <w:textAlignment w:val="auto"/>
        <w:rPr>
          <w:b w:val="0"/>
          <w:bCs w:val="0"/>
          <w:color w:val="auto"/>
        </w:rPr>
      </w:pPr>
      <w:r>
        <w:rPr>
          <w:rFonts w:ascii="仿宋_GB2312" w:hAnsi="宋体" w:eastAsia="仿宋_GB2312" w:cs="仿宋_GB2312"/>
          <w:b w:val="0"/>
          <w:bCs w:val="0"/>
          <w:color w:val="auto"/>
          <w:kern w:val="0"/>
          <w:sz w:val="32"/>
          <w:szCs w:val="32"/>
          <w:lang w:bidi="ar"/>
        </w:rPr>
        <w:t>按照</w:t>
      </w:r>
      <w:r>
        <w:rPr>
          <w:rFonts w:hint="eastAsia" w:ascii="仿宋" w:hAnsi="仿宋" w:eastAsia="仿宋" w:cs="仿宋"/>
          <w:b w:val="0"/>
          <w:bCs w:val="0"/>
          <w:color w:val="auto"/>
          <w:kern w:val="0"/>
          <w:sz w:val="32"/>
          <w:szCs w:val="32"/>
        </w:rPr>
        <w:t>《湖南省委办公厅湖南省人民政府办公厅关于全面实施预算绩效管理的实施意见》(湘办发〔201</w:t>
      </w:r>
      <w:r>
        <w:rPr>
          <w:rFonts w:ascii="仿宋" w:hAnsi="仿宋" w:eastAsia="仿宋" w:cs="仿宋"/>
          <w:b w:val="0"/>
          <w:bCs w:val="0"/>
          <w:color w:val="auto"/>
          <w:kern w:val="0"/>
          <w:sz w:val="32"/>
          <w:szCs w:val="32"/>
        </w:rPr>
        <w:t>9</w:t>
      </w:r>
      <w:r>
        <w:rPr>
          <w:rFonts w:hint="eastAsia" w:ascii="仿宋" w:hAnsi="仿宋" w:eastAsia="仿宋" w:cs="仿宋"/>
          <w:b w:val="0"/>
          <w:bCs w:val="0"/>
          <w:color w:val="auto"/>
          <w:kern w:val="0"/>
          <w:sz w:val="32"/>
          <w:szCs w:val="32"/>
        </w:rPr>
        <w:t>〕1</w:t>
      </w:r>
      <w:r>
        <w:rPr>
          <w:rFonts w:ascii="仿宋" w:hAnsi="仿宋" w:eastAsia="仿宋" w:cs="仿宋"/>
          <w:b w:val="0"/>
          <w:bCs w:val="0"/>
          <w:color w:val="auto"/>
          <w:kern w:val="0"/>
          <w:sz w:val="32"/>
          <w:szCs w:val="32"/>
        </w:rPr>
        <w:t>0</w:t>
      </w:r>
      <w:r>
        <w:rPr>
          <w:rFonts w:hint="eastAsia" w:ascii="仿宋" w:hAnsi="仿宋" w:eastAsia="仿宋" w:cs="仿宋"/>
          <w:b w:val="0"/>
          <w:bCs w:val="0"/>
          <w:color w:val="auto"/>
          <w:kern w:val="0"/>
          <w:sz w:val="32"/>
          <w:szCs w:val="32"/>
        </w:rPr>
        <w:t>号)</w:t>
      </w:r>
      <w:r>
        <w:rPr>
          <w:rFonts w:hint="eastAsia" w:ascii="仿宋_GB2312" w:hAnsi="宋体" w:eastAsia="仿宋_GB2312" w:cs="仿宋_GB2312"/>
          <w:b w:val="0"/>
          <w:bCs w:val="0"/>
          <w:color w:val="auto"/>
          <w:kern w:val="0"/>
          <w:sz w:val="32"/>
          <w:szCs w:val="32"/>
          <w:lang w:eastAsia="zh-CN" w:bidi="ar"/>
        </w:rPr>
        <w:t>、</w:t>
      </w:r>
      <w:r>
        <w:rPr>
          <w:rFonts w:hint="eastAsia" w:ascii="仿宋" w:hAnsi="仿宋" w:eastAsia="仿宋" w:cs="仿宋"/>
          <w:b w:val="0"/>
          <w:bCs w:val="0"/>
          <w:color w:val="auto"/>
          <w:sz w:val="32"/>
          <w:szCs w:val="32"/>
        </w:rPr>
        <w:t>永州市财政局《关于报送2020年预算绩效目标和2019年度部门预算绩效自评报告的通知》（永财绩[2020]1号）文件</w:t>
      </w:r>
      <w:r>
        <w:rPr>
          <w:rFonts w:ascii="仿宋_GB2312" w:hAnsi="宋体" w:eastAsia="仿宋_GB2312" w:cs="仿宋_GB2312"/>
          <w:b w:val="0"/>
          <w:bCs w:val="0"/>
          <w:color w:val="auto"/>
          <w:kern w:val="0"/>
          <w:sz w:val="32"/>
          <w:szCs w:val="32"/>
          <w:lang w:bidi="ar"/>
        </w:rPr>
        <w:t>要求，</w:t>
      </w:r>
      <w:r>
        <w:rPr>
          <w:rFonts w:ascii="仿宋_GB2312" w:hAnsi="宋体" w:eastAsia="仿宋_GB2312" w:cs="黑体"/>
          <w:color w:val="auto"/>
          <w:kern w:val="2"/>
          <w:sz w:val="32"/>
          <w:szCs w:val="32"/>
        </w:rPr>
        <w:t>本着独立、客观、公正、科学的原则</w:t>
      </w:r>
      <w:r>
        <w:rPr>
          <w:rFonts w:hint="eastAsia" w:ascii="仿宋_GB2312" w:hAnsi="宋体" w:eastAsia="仿宋_GB2312" w:cs="黑体"/>
          <w:color w:val="auto"/>
          <w:kern w:val="2"/>
          <w:sz w:val="32"/>
          <w:szCs w:val="32"/>
          <w:lang w:eastAsia="zh-CN"/>
        </w:rPr>
        <w:t>，</w:t>
      </w:r>
      <w:r>
        <w:rPr>
          <w:rFonts w:hint="eastAsia" w:ascii="仿宋_GB2312" w:hAnsi="宋体" w:eastAsia="仿宋_GB2312" w:cs="仿宋_GB2312"/>
          <w:b w:val="0"/>
          <w:bCs w:val="0"/>
          <w:color w:val="auto"/>
          <w:kern w:val="0"/>
          <w:sz w:val="32"/>
          <w:szCs w:val="32"/>
          <w:lang w:val="en-US" w:eastAsia="zh-CN" w:bidi="ar"/>
        </w:rPr>
        <w:t>我单位</w:t>
      </w:r>
      <w:r>
        <w:rPr>
          <w:rFonts w:hint="eastAsia" w:ascii="仿宋" w:hAnsi="仿宋" w:eastAsia="仿宋" w:cs="仿宋"/>
          <w:b w:val="0"/>
          <w:bCs w:val="0"/>
          <w:color w:val="auto"/>
          <w:kern w:val="2"/>
          <w:sz w:val="32"/>
          <w:szCs w:val="32"/>
          <w:lang w:val="en-US" w:eastAsia="zh-CN" w:bidi="ar"/>
        </w:rPr>
        <w:t>成立了自评小组，对部门整体支出绩效开展了自评。</w:t>
      </w:r>
    </w:p>
    <w:p>
      <w:pPr>
        <w:keepNext w:val="0"/>
        <w:keepLines w:val="0"/>
        <w:pageBreakBefore w:val="0"/>
        <w:widowControl/>
        <w:numPr>
          <w:ilvl w:val="0"/>
          <w:numId w:val="4"/>
        </w:numPr>
        <w:kinsoku/>
        <w:wordWrap/>
        <w:overflowPunct/>
        <w:topLinePunct w:val="0"/>
        <w:bidi w:val="0"/>
        <w:snapToGrid/>
        <w:spacing w:beforeAutospacing="0" w:afterAutospacing="0" w:line="560" w:lineRule="atLeast"/>
        <w:ind w:firstLine="645"/>
        <w:textAlignment w:val="auto"/>
        <w:rPr>
          <w:rFonts w:hint="eastAsia" w:ascii="仿宋_GB2312" w:eastAsia="仿宋_GB2312"/>
          <w:b/>
          <w:bCs/>
          <w:sz w:val="32"/>
          <w:szCs w:val="32"/>
        </w:rPr>
      </w:pPr>
      <w:r>
        <w:rPr>
          <w:rFonts w:hint="eastAsia" w:ascii="仿宋_GB2312" w:eastAsia="仿宋_GB2312"/>
          <w:b/>
          <w:bCs/>
          <w:sz w:val="32"/>
          <w:szCs w:val="32"/>
        </w:rPr>
        <w:t>项目绩效自评结果、重点绩效评价结果。</w:t>
      </w:r>
    </w:p>
    <w:p>
      <w:pPr>
        <w:keepNext w:val="0"/>
        <w:keepLines w:val="0"/>
        <w:pageBreakBefore w:val="0"/>
        <w:widowControl/>
        <w:numPr>
          <w:ilvl w:val="0"/>
          <w:numId w:val="0"/>
        </w:numPr>
        <w:kinsoku/>
        <w:wordWrap/>
        <w:overflowPunct/>
        <w:topLinePunct w:val="0"/>
        <w:bidi w:val="0"/>
        <w:snapToGrid/>
        <w:spacing w:beforeAutospacing="0" w:afterAutospacing="0" w:line="560" w:lineRule="atLeast"/>
        <w:ind w:firstLine="960" w:firstLineChars="300"/>
        <w:textAlignment w:val="auto"/>
        <w:rPr>
          <w:rFonts w:hint="eastAsia" w:ascii="仿宋_GB2312" w:eastAsia="仿宋_GB2312"/>
          <w:b w:val="0"/>
          <w:bCs w:val="0"/>
          <w:i/>
          <w:iCs/>
          <w:color w:val="FF0000"/>
          <w:sz w:val="32"/>
          <w:szCs w:val="32"/>
          <w:lang w:val="en-US" w:eastAsia="zh-CN"/>
        </w:rPr>
      </w:pPr>
      <w:r>
        <w:rPr>
          <w:rFonts w:hint="eastAsia" w:ascii="仿宋" w:hAnsi="仿宋" w:eastAsia="仿宋" w:cs="仿宋"/>
          <w:b w:val="0"/>
          <w:bCs w:val="0"/>
          <w:color w:val="auto"/>
          <w:kern w:val="2"/>
          <w:sz w:val="32"/>
          <w:szCs w:val="32"/>
          <w:lang w:val="en-US" w:eastAsia="zh-CN" w:bidi="ar"/>
        </w:rPr>
        <w:t>老干部服务中心无项目。</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十、其他重要事项情况说明</w:t>
      </w:r>
    </w:p>
    <w:p>
      <w:pPr>
        <w:keepNext w:val="0"/>
        <w:keepLines w:val="0"/>
        <w:pageBreakBefore w:val="0"/>
        <w:kinsoku/>
        <w:wordWrap/>
        <w:overflowPunct/>
        <w:topLinePunct w:val="0"/>
        <w:bidi w:val="0"/>
        <w:snapToGrid/>
        <w:spacing w:beforeAutospacing="0" w:afterAutospacing="0" w:line="560" w:lineRule="atLeast"/>
        <w:ind w:firstLine="480" w:firstLineChars="150"/>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（一）机关运行经费支出情况</w:t>
      </w:r>
    </w:p>
    <w:p>
      <w:pPr>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本部门2019 年度机关运行经费支出</w:t>
      </w:r>
      <w:r>
        <w:rPr>
          <w:rFonts w:hint="eastAsia" w:ascii="仿宋_GB2312" w:hAnsi="仿宋_GB2312" w:eastAsia="仿宋_GB2312" w:cs="仿宋_GB2312"/>
          <w:color w:val="000000"/>
          <w:kern w:val="0"/>
          <w:sz w:val="32"/>
          <w:szCs w:val="32"/>
          <w:lang w:val="en-US" w:eastAsia="zh-CN"/>
        </w:rPr>
        <w:t xml:space="preserve"> 72.47 </w:t>
      </w:r>
      <w:r>
        <w:rPr>
          <w:rFonts w:hint="eastAsia" w:ascii="仿宋_GB2312" w:hAnsi="仿宋_GB2312" w:eastAsia="仿宋_GB2312" w:cs="仿宋_GB2312"/>
          <w:color w:val="000000"/>
          <w:kern w:val="0"/>
          <w:sz w:val="32"/>
          <w:szCs w:val="32"/>
        </w:rPr>
        <w:t>万元，</w:t>
      </w:r>
      <w:r>
        <w:rPr>
          <w:rFonts w:hint="eastAsia" w:ascii="仿宋_GB2312" w:hAnsi="仿宋_GB2312" w:eastAsia="仿宋_GB2312" w:cs="仿宋_GB2312"/>
          <w:color w:val="000000"/>
          <w:kern w:val="0"/>
          <w:sz w:val="32"/>
          <w:szCs w:val="32"/>
          <w:lang w:val="en-US" w:eastAsia="zh-CN"/>
        </w:rPr>
        <w:t>与</w:t>
      </w:r>
      <w:r>
        <w:rPr>
          <w:rFonts w:hint="eastAsia" w:ascii="仿宋_GB2312" w:hAnsi="仿宋_GB2312" w:eastAsia="仿宋_GB2312" w:cs="仿宋_GB2312"/>
          <w:color w:val="000000"/>
          <w:kern w:val="0"/>
          <w:sz w:val="32"/>
          <w:szCs w:val="32"/>
        </w:rPr>
        <w:t>预算数</w:t>
      </w:r>
      <w:r>
        <w:rPr>
          <w:rFonts w:hint="eastAsia" w:ascii="仿宋_GB2312" w:hAnsi="仿宋_GB2312" w:eastAsia="仿宋_GB2312" w:cs="仿宋_GB2312"/>
          <w:color w:val="000000"/>
          <w:kern w:val="0"/>
          <w:sz w:val="32"/>
          <w:szCs w:val="32"/>
          <w:lang w:eastAsia="zh-CN"/>
        </w:rPr>
        <w:t>一致。</w:t>
      </w:r>
    </w:p>
    <w:p>
      <w:pPr>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（二）一般性支出情况</w:t>
      </w:r>
    </w:p>
    <w:p>
      <w:pPr>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2019年本部门开支会议费</w:t>
      </w:r>
      <w:r>
        <w:rPr>
          <w:rFonts w:hint="eastAsia" w:ascii="仿宋_GB2312" w:hAnsi="仿宋_GB2312" w:eastAsia="仿宋_GB2312" w:cs="仿宋_GB2312"/>
          <w:color w:val="000000"/>
          <w:kern w:val="0"/>
          <w:sz w:val="32"/>
          <w:szCs w:val="32"/>
          <w:lang w:val="en-US" w:eastAsia="zh-CN"/>
        </w:rPr>
        <w:t>1.23</w:t>
      </w:r>
      <w:r>
        <w:rPr>
          <w:rFonts w:hint="eastAsia" w:ascii="仿宋_GB2312" w:hAnsi="仿宋_GB2312" w:eastAsia="仿宋_GB2312" w:cs="仿宋_GB2312"/>
          <w:color w:val="000000"/>
          <w:kern w:val="0"/>
          <w:sz w:val="32"/>
          <w:szCs w:val="32"/>
        </w:rPr>
        <w:t>万元，用于召开</w:t>
      </w:r>
      <w:r>
        <w:rPr>
          <w:rFonts w:hint="eastAsia" w:ascii="仿宋_GB2312" w:hAnsi="仿宋_GB2312" w:eastAsia="仿宋_GB2312" w:cs="仿宋_GB2312"/>
          <w:color w:val="000000"/>
          <w:kern w:val="0"/>
          <w:sz w:val="32"/>
          <w:szCs w:val="32"/>
          <w:lang w:val="en-US" w:eastAsia="zh-CN"/>
        </w:rPr>
        <w:t>老干部</w:t>
      </w:r>
      <w:r>
        <w:rPr>
          <w:rFonts w:hint="eastAsia" w:ascii="仿宋_GB2312" w:hAnsi="仿宋_GB2312" w:eastAsia="仿宋_GB2312" w:cs="仿宋_GB2312"/>
          <w:color w:val="000000"/>
          <w:kern w:val="0"/>
          <w:sz w:val="32"/>
          <w:szCs w:val="32"/>
        </w:rPr>
        <w:t>会议，人数</w:t>
      </w:r>
      <w:r>
        <w:rPr>
          <w:rFonts w:hint="eastAsia" w:ascii="仿宋_GB2312" w:hAnsi="仿宋_GB2312" w:eastAsia="仿宋_GB2312" w:cs="仿宋_GB2312"/>
          <w:color w:val="000000"/>
          <w:kern w:val="0"/>
          <w:sz w:val="32"/>
          <w:szCs w:val="32"/>
          <w:lang w:val="en-US" w:eastAsia="zh-CN"/>
        </w:rPr>
        <w:t>75</w:t>
      </w:r>
      <w:r>
        <w:rPr>
          <w:rFonts w:hint="eastAsia" w:ascii="仿宋_GB2312" w:hAnsi="仿宋_GB2312" w:eastAsia="仿宋_GB2312" w:cs="仿宋_GB2312"/>
          <w:color w:val="000000"/>
          <w:kern w:val="0"/>
          <w:sz w:val="32"/>
          <w:szCs w:val="32"/>
        </w:rPr>
        <w:t>人，内容为</w:t>
      </w:r>
      <w:r>
        <w:rPr>
          <w:rFonts w:hint="eastAsia" w:ascii="仿宋_GB2312" w:hAnsi="仿宋_GB2312" w:eastAsia="仿宋_GB2312" w:cs="仿宋_GB2312"/>
          <w:color w:val="000000"/>
          <w:kern w:val="0"/>
          <w:sz w:val="32"/>
          <w:szCs w:val="32"/>
          <w:lang w:val="en-US" w:eastAsia="zh-CN"/>
        </w:rPr>
        <w:t>老干部学习、信息通报会</w:t>
      </w:r>
      <w:r>
        <w:rPr>
          <w:rFonts w:hint="eastAsia" w:ascii="仿宋_GB2312" w:hAnsi="仿宋_GB2312" w:eastAsia="仿宋_GB2312" w:cs="仿宋_GB2312"/>
          <w:color w:val="000000"/>
          <w:kern w:val="0"/>
          <w:sz w:val="32"/>
          <w:szCs w:val="32"/>
        </w:rPr>
        <w:t>；开支培训费</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万元（注：三类会议、培训活动，节庆、晚会、论坛、赛事等活动，请分项列明活动计划及经费预算情况）</w:t>
      </w:r>
    </w:p>
    <w:p>
      <w:pPr>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（三）政府采购支出情况</w:t>
      </w:r>
    </w:p>
    <w:p>
      <w:pPr>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i/>
          <w:color w:val="FF0000"/>
          <w:kern w:val="0"/>
          <w:sz w:val="32"/>
          <w:szCs w:val="32"/>
        </w:rPr>
      </w:pPr>
      <w:r>
        <w:rPr>
          <w:rFonts w:hint="eastAsia" w:ascii="仿宋_GB2312" w:hAnsi="仿宋_GB2312" w:eastAsia="仿宋_GB2312" w:cs="仿宋_GB2312"/>
          <w:color w:val="000000"/>
          <w:kern w:val="0"/>
          <w:sz w:val="32"/>
          <w:szCs w:val="32"/>
        </w:rPr>
        <w:t>本部门2019年度政府采购</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w:t>
      </w:r>
      <w:r>
        <w:rPr>
          <w:rFonts w:hint="eastAsia" w:ascii="仿宋_GB2312" w:hAnsi="仿宋_GB2312" w:eastAsia="仿宋_GB2312" w:cs="仿宋_GB2312"/>
          <w:color w:val="000000"/>
          <w:kern w:val="0"/>
          <w:sz w:val="32"/>
          <w:szCs w:val="32"/>
          <w:lang w:val="en-US" w:eastAsia="zh-CN"/>
        </w:rPr>
        <w:t>元</w:t>
      </w:r>
      <w:r>
        <w:rPr>
          <w:rFonts w:hint="eastAsia" w:ascii="仿宋_GB2312" w:hAnsi="仿宋_GB2312" w:eastAsia="仿宋_GB2312" w:cs="仿宋_GB2312"/>
          <w:color w:val="000000"/>
          <w:kern w:val="0"/>
          <w:sz w:val="32"/>
          <w:szCs w:val="32"/>
        </w:rPr>
        <w:t>。</w:t>
      </w:r>
    </w:p>
    <w:p>
      <w:pPr>
        <w:keepNext w:val="0"/>
        <w:keepLines w:val="0"/>
        <w:pageBreakBefore w:val="0"/>
        <w:kinsoku/>
        <w:wordWrap/>
        <w:overflowPunct/>
        <w:topLinePunct w:val="0"/>
        <w:bidi w:val="0"/>
        <w:snapToGrid/>
        <w:spacing w:beforeAutospacing="0" w:afterAutospacing="0" w:line="560" w:lineRule="atLeast"/>
        <w:ind w:firstLine="480" w:firstLineChars="150"/>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（四）国有资产占用情况</w:t>
      </w:r>
    </w:p>
    <w:p>
      <w:pPr>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截至2019年12月31日，本单位共有车辆</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辆，其中，领导干部用车</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辆、机要通信用车</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辆、应急保障用车</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辆、执法执勤用车</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辆、特种专业技术用车</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辆、其他用车</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辆，单位价值50万元以上通用设备</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台（套）；单位价值100万元以上专用设备</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台（套）。</w:t>
      </w:r>
    </w:p>
    <w:p>
      <w:pPr>
        <w:keepNext w:val="0"/>
        <w:keepLines w:val="0"/>
        <w:pageBreakBefore w:val="0"/>
        <w:widowControl/>
        <w:kinsoku/>
        <w:wordWrap/>
        <w:overflowPunct/>
        <w:topLinePunct w:val="0"/>
        <w:bidi w:val="0"/>
        <w:snapToGrid/>
        <w:spacing w:beforeAutospacing="0" w:afterAutospacing="0" w:line="560" w:lineRule="atLeast"/>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br w:type="page"/>
      </w:r>
    </w:p>
    <w:p>
      <w:pPr>
        <w:pStyle w:val="10"/>
        <w:keepNext w:val="0"/>
        <w:keepLines w:val="0"/>
        <w:pageBreakBefore w:val="0"/>
        <w:kinsoku/>
        <w:wordWrap/>
        <w:overflowPunct/>
        <w:topLinePunct w:val="0"/>
        <w:bidi w:val="0"/>
        <w:snapToGrid/>
        <w:spacing w:beforeAutospacing="0" w:afterAutospacing="0" w:line="560" w:lineRule="atLeast"/>
        <w:jc w:val="center"/>
        <w:textAlignment w:val="auto"/>
        <w:rPr>
          <w:rFonts w:hint="eastAsia" w:ascii="仿宋_GB2312" w:hAnsi="仿宋_GB2312" w:eastAsia="仿宋_GB2312" w:cs="仿宋_GB2312"/>
          <w:b/>
          <w:bCs/>
          <w:color w:val="000000"/>
          <w:kern w:val="0"/>
          <w:sz w:val="32"/>
          <w:szCs w:val="32"/>
        </w:rPr>
      </w:pPr>
      <w:r>
        <w:rPr>
          <w:rFonts w:hint="eastAsia" w:ascii="仿宋_GB2312" w:hAnsi="仿宋_GB2312" w:eastAsia="仿宋_GB2312" w:cs="仿宋_GB2312"/>
          <w:b/>
          <w:bCs/>
          <w:sz w:val="32"/>
          <w:szCs w:val="32"/>
        </w:rPr>
        <w:t>第四部分</w:t>
      </w:r>
      <w:r>
        <w:rPr>
          <w:rFonts w:hint="eastAsia" w:ascii="仿宋_GB2312" w:hAnsi="仿宋_GB2312" w:eastAsia="仿宋_GB2312" w:cs="仿宋_GB2312"/>
          <w:b/>
          <w:bCs/>
          <w:color w:val="000000"/>
          <w:kern w:val="0"/>
          <w:sz w:val="32"/>
          <w:szCs w:val="32"/>
        </w:rPr>
        <w:t>名词解释</w:t>
      </w:r>
    </w:p>
    <w:p>
      <w:pPr>
        <w:keepNext w:val="0"/>
        <w:keepLines w:val="0"/>
        <w:pageBreakBefore w:val="0"/>
        <w:widowControl w:val="0"/>
        <w:kinsoku/>
        <w:wordWrap/>
        <w:overflowPunct/>
        <w:topLinePunct w:val="0"/>
        <w:autoSpaceDE/>
        <w:autoSpaceDN/>
        <w:bidi w:val="0"/>
        <w:adjustRightInd/>
        <w:snapToGrid/>
        <w:spacing w:beforeAutospacing="0" w:afterAutospacing="0" w:line="560" w:lineRule="atLeast"/>
        <w:ind w:firstLine="640" w:firstLineChars="200"/>
        <w:textAlignment w:val="auto"/>
        <w:rPr>
          <w:rFonts w:hint="eastAsia" w:ascii="仿宋_GB2312" w:hAnsi="仿宋_GB2312" w:eastAsia="仿宋_GB2312" w:cs="仿宋_GB2312"/>
          <w:i w:val="0"/>
          <w:caps w:val="0"/>
          <w:color w:val="000000"/>
          <w:spacing w:val="0"/>
          <w:sz w:val="32"/>
          <w:szCs w:val="32"/>
          <w:shd w:val="clear" w:color="auto" w:fill="FFFFFF"/>
        </w:rPr>
      </w:pPr>
      <w:r>
        <w:rPr>
          <w:rFonts w:hint="eastAsia" w:ascii="楷体_GB2312" w:hAnsi="楷体_GB2312" w:eastAsia="楷体_GB2312" w:cs="楷体_GB2312"/>
          <w:b/>
          <w:bCs/>
          <w:i w:val="0"/>
          <w:caps w:val="0"/>
          <w:color w:val="000000"/>
          <w:spacing w:val="0"/>
          <w:sz w:val="32"/>
          <w:szCs w:val="32"/>
          <w:shd w:val="clear" w:color="auto" w:fill="FFFFFF"/>
          <w:lang w:eastAsia="zh-CN"/>
        </w:rPr>
        <w:t>（一）</w:t>
      </w:r>
      <w:r>
        <w:rPr>
          <w:rFonts w:hint="eastAsia" w:ascii="楷体_GB2312" w:hAnsi="楷体_GB2312" w:eastAsia="楷体_GB2312" w:cs="楷体_GB2312"/>
          <w:b/>
          <w:bCs/>
          <w:i w:val="0"/>
          <w:caps w:val="0"/>
          <w:color w:val="000000"/>
          <w:spacing w:val="0"/>
          <w:sz w:val="32"/>
          <w:szCs w:val="32"/>
          <w:shd w:val="clear" w:color="auto" w:fill="FFFFFF"/>
        </w:rPr>
        <w:t>机关运行经费</w:t>
      </w:r>
      <w:r>
        <w:rPr>
          <w:rFonts w:hint="eastAsia" w:ascii="仿宋_GB2312" w:hAnsi="仿宋_GB2312" w:eastAsia="仿宋_GB2312" w:cs="仿宋_GB2312"/>
          <w:i w:val="0"/>
          <w:caps w:val="0"/>
          <w:color w:val="000000"/>
          <w:spacing w:val="0"/>
          <w:sz w:val="32"/>
          <w:szCs w:val="32"/>
          <w:shd w:val="clear" w:color="auto" w:fill="FFFFFF"/>
        </w:rPr>
        <w:t>。是指各部门的公用经费，包括办公及印刷费、邮电费、差旅费、会议费、福利费、日常维修费、专用资料及一般设备购置费、办公用房水电费、办公用房取暖费、办公用房物业管理费、公务用车运行维护费以及其他费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atLeast"/>
        <w:ind w:firstLine="640" w:firstLineChars="200"/>
        <w:textAlignment w:val="auto"/>
        <w:rPr>
          <w:rFonts w:hint="eastAsia" w:ascii="仿宋_GB2312" w:hAnsi="仿宋_GB2312" w:eastAsia="仿宋_GB2312" w:cs="仿宋_GB2312"/>
          <w:i w:val="0"/>
          <w:caps w:val="0"/>
          <w:color w:val="000000"/>
          <w:spacing w:val="0"/>
          <w:sz w:val="32"/>
          <w:szCs w:val="32"/>
          <w:shd w:val="clear" w:color="auto" w:fill="FFFFFF"/>
        </w:rPr>
      </w:pPr>
      <w:r>
        <w:rPr>
          <w:rFonts w:hint="eastAsia" w:ascii="楷体_GB2312" w:hAnsi="楷体_GB2312" w:eastAsia="楷体_GB2312" w:cs="楷体_GB2312"/>
          <w:b/>
          <w:bCs/>
          <w:i w:val="0"/>
          <w:caps w:val="0"/>
          <w:color w:val="000000"/>
          <w:spacing w:val="0"/>
          <w:sz w:val="32"/>
          <w:szCs w:val="32"/>
          <w:shd w:val="clear" w:color="auto" w:fill="FFFFFF"/>
          <w:lang w:eastAsia="zh-CN"/>
        </w:rPr>
        <w:t>（二）</w:t>
      </w:r>
      <w:r>
        <w:rPr>
          <w:rFonts w:hint="eastAsia" w:ascii="楷体_GB2312" w:hAnsi="楷体_GB2312" w:eastAsia="楷体_GB2312" w:cs="楷体_GB2312"/>
          <w:b/>
          <w:bCs/>
          <w:i w:val="0"/>
          <w:caps w:val="0"/>
          <w:color w:val="000000"/>
          <w:spacing w:val="0"/>
          <w:sz w:val="32"/>
          <w:szCs w:val="32"/>
          <w:shd w:val="clear" w:color="auto" w:fill="FFFFFF"/>
        </w:rPr>
        <w:t>“三公”经费。</w:t>
      </w:r>
      <w:r>
        <w:rPr>
          <w:rFonts w:hint="eastAsia" w:ascii="仿宋_GB2312" w:hAnsi="仿宋_GB2312" w:eastAsia="仿宋_GB2312" w:cs="仿宋_GB2312"/>
          <w:i w:val="0"/>
          <w:caps w:val="0"/>
          <w:color w:val="000000"/>
          <w:spacing w:val="0"/>
          <w:sz w:val="32"/>
          <w:szCs w:val="32"/>
          <w:shd w:val="clear" w:color="auto" w:fill="FFFFFF"/>
        </w:rPr>
        <w:t>一般公共预算“三公”经费，是指用一般公共预算拨款安排的公务接待费、公务用车购置及运行维护费和因公出国（境）费。其中，公务接待费反映单位按规定开支的各类公务接待支出；公务用车购置及运行费反映单位公务用车车辆购置支出（含车辆购置税），以及燃料费、维修费、保险费等支出；因公出国（境）费反映单位公务出国（境）的国际旅费、国外城市间交通费、食宿费等支出。 </w:t>
      </w:r>
    </w:p>
    <w:p>
      <w:pPr>
        <w:keepNext w:val="0"/>
        <w:keepLines w:val="0"/>
        <w:pageBreakBefore w:val="0"/>
        <w:widowControl w:val="0"/>
        <w:kinsoku/>
        <w:wordWrap/>
        <w:overflowPunct/>
        <w:topLinePunct w:val="0"/>
        <w:autoSpaceDE/>
        <w:autoSpaceDN/>
        <w:bidi w:val="0"/>
        <w:adjustRightInd/>
        <w:snapToGrid/>
        <w:spacing w:beforeAutospacing="0" w:afterAutospacing="0" w:line="560" w:lineRule="atLeast"/>
        <w:ind w:firstLine="640" w:firstLineChars="200"/>
        <w:textAlignment w:val="auto"/>
        <w:rPr>
          <w:rFonts w:hint="eastAsia" w:ascii="仿宋_GB2312" w:hAnsi="仿宋_GB2312" w:eastAsia="仿宋_GB2312" w:cs="仿宋_GB2312"/>
          <w:i w:val="0"/>
          <w:caps w:val="0"/>
          <w:color w:val="000000"/>
          <w:spacing w:val="0"/>
          <w:sz w:val="32"/>
          <w:szCs w:val="32"/>
          <w:shd w:val="clear" w:color="auto" w:fill="FFFFFF"/>
        </w:rPr>
      </w:pPr>
      <w:r>
        <w:rPr>
          <w:rFonts w:hint="eastAsia" w:ascii="楷体_GB2312" w:hAnsi="楷体_GB2312" w:eastAsia="楷体_GB2312" w:cs="楷体_GB2312"/>
          <w:b/>
          <w:bCs/>
          <w:i w:val="0"/>
          <w:caps w:val="0"/>
          <w:color w:val="000000"/>
          <w:spacing w:val="0"/>
          <w:sz w:val="32"/>
          <w:szCs w:val="32"/>
          <w:shd w:val="clear" w:color="auto" w:fill="FFFFFF"/>
          <w:lang w:eastAsia="zh-CN"/>
        </w:rPr>
        <w:t>（三）</w:t>
      </w:r>
      <w:r>
        <w:rPr>
          <w:rFonts w:hint="eastAsia" w:ascii="楷体_GB2312" w:hAnsi="楷体_GB2312" w:eastAsia="楷体_GB2312" w:cs="楷体_GB2312"/>
          <w:b/>
          <w:bCs/>
          <w:i w:val="0"/>
          <w:caps w:val="0"/>
          <w:color w:val="000000"/>
          <w:spacing w:val="0"/>
          <w:sz w:val="32"/>
          <w:szCs w:val="32"/>
          <w:shd w:val="clear" w:color="auto" w:fill="FFFFFF"/>
        </w:rPr>
        <w:t>基本支出。</w:t>
      </w:r>
      <w:r>
        <w:rPr>
          <w:rFonts w:hint="eastAsia" w:ascii="仿宋_GB2312" w:hAnsi="仿宋_GB2312" w:eastAsia="仿宋_GB2312" w:cs="仿宋_GB2312"/>
          <w:i w:val="0"/>
          <w:caps w:val="0"/>
          <w:color w:val="000000"/>
          <w:spacing w:val="0"/>
          <w:sz w:val="32"/>
          <w:szCs w:val="32"/>
          <w:shd w:val="clear" w:color="auto" w:fill="FFFFFF"/>
        </w:rPr>
        <w:t>指为保障机构正常运转、完成日常工作任务而发生的人员支出和公用支出。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atLeast"/>
        <w:ind w:firstLine="640" w:firstLineChars="200"/>
        <w:textAlignment w:val="auto"/>
        <w:rPr>
          <w:rFonts w:hint="eastAsia" w:ascii="仿宋_GB2312" w:hAnsi="仿宋_GB2312" w:eastAsia="仿宋_GB2312" w:cs="仿宋_GB2312"/>
          <w:i w:val="0"/>
          <w:caps w:val="0"/>
          <w:color w:val="000000"/>
          <w:spacing w:val="0"/>
          <w:sz w:val="32"/>
          <w:szCs w:val="32"/>
          <w:shd w:val="clear" w:color="auto" w:fill="FFFFFF"/>
        </w:rPr>
      </w:pPr>
      <w:r>
        <w:rPr>
          <w:rFonts w:hint="eastAsia" w:ascii="楷体_GB2312" w:hAnsi="楷体_GB2312" w:eastAsia="楷体_GB2312" w:cs="楷体_GB2312"/>
          <w:b/>
          <w:bCs/>
          <w:i w:val="0"/>
          <w:caps w:val="0"/>
          <w:color w:val="000000"/>
          <w:spacing w:val="0"/>
          <w:sz w:val="32"/>
          <w:szCs w:val="32"/>
          <w:shd w:val="clear" w:color="auto" w:fill="FFFFFF"/>
          <w:lang w:eastAsia="zh-CN"/>
        </w:rPr>
        <w:t>（四）</w:t>
      </w:r>
      <w:r>
        <w:rPr>
          <w:rFonts w:hint="eastAsia" w:ascii="楷体_GB2312" w:hAnsi="楷体_GB2312" w:eastAsia="楷体_GB2312" w:cs="楷体_GB2312"/>
          <w:b/>
          <w:bCs/>
          <w:i w:val="0"/>
          <w:caps w:val="0"/>
          <w:color w:val="000000"/>
          <w:spacing w:val="0"/>
          <w:sz w:val="32"/>
          <w:szCs w:val="32"/>
          <w:shd w:val="clear" w:color="auto" w:fill="FFFFFF"/>
        </w:rPr>
        <w:t>项目支出。</w:t>
      </w:r>
      <w:r>
        <w:rPr>
          <w:rFonts w:hint="eastAsia" w:ascii="仿宋_GB2312" w:hAnsi="仿宋_GB2312" w:eastAsia="仿宋_GB2312" w:cs="仿宋_GB2312"/>
          <w:i w:val="0"/>
          <w:caps w:val="0"/>
          <w:color w:val="000000"/>
          <w:spacing w:val="0"/>
          <w:sz w:val="32"/>
          <w:szCs w:val="32"/>
          <w:shd w:val="clear" w:color="auto" w:fill="FFFFFF"/>
        </w:rPr>
        <w:t>指在基本支出之外为完成特定行政任务和事业发展目标所发生的支出。</w:t>
      </w:r>
    </w:p>
    <w:p>
      <w:pPr>
        <w:pStyle w:val="10"/>
        <w:keepNext w:val="0"/>
        <w:keepLines w:val="0"/>
        <w:pageBreakBefore w:val="0"/>
        <w:kinsoku/>
        <w:wordWrap/>
        <w:overflowPunct/>
        <w:topLinePunct w:val="0"/>
        <w:bidi w:val="0"/>
        <w:snapToGrid/>
        <w:spacing w:beforeAutospacing="0" w:afterAutospacing="0" w:line="560" w:lineRule="atLeast"/>
        <w:jc w:val="both"/>
        <w:textAlignment w:val="auto"/>
        <w:rPr>
          <w:rFonts w:hint="eastAsia"/>
          <w:sz w:val="72"/>
          <w:szCs w:val="72"/>
        </w:rPr>
      </w:pPr>
    </w:p>
    <w:p>
      <w:pPr>
        <w:pStyle w:val="10"/>
        <w:jc w:val="both"/>
        <w:rPr>
          <w:rFonts w:hint="eastAsia"/>
          <w:sz w:val="72"/>
          <w:szCs w:val="72"/>
        </w:rPr>
      </w:pPr>
    </w:p>
    <w:p>
      <w:pPr>
        <w:pStyle w:val="10"/>
        <w:jc w:val="both"/>
        <w:rPr>
          <w:rFonts w:hint="eastAsia"/>
          <w:sz w:val="72"/>
          <w:szCs w:val="72"/>
        </w:rPr>
      </w:pPr>
    </w:p>
    <w:p>
      <w:pPr>
        <w:pStyle w:val="10"/>
        <w:jc w:val="both"/>
        <w:rPr>
          <w:rFonts w:hint="eastAsia"/>
          <w:sz w:val="72"/>
          <w:szCs w:val="72"/>
        </w:rPr>
      </w:pPr>
    </w:p>
    <w:p>
      <w:pPr>
        <w:pStyle w:val="10"/>
        <w:jc w:val="both"/>
        <w:rPr>
          <w:rFonts w:hint="eastAsia"/>
          <w:sz w:val="72"/>
          <w:szCs w:val="72"/>
        </w:rPr>
      </w:pPr>
    </w:p>
    <w:p>
      <w:pPr>
        <w:pStyle w:val="10"/>
        <w:jc w:val="both"/>
        <w:rPr>
          <w:rFonts w:hint="eastAsia"/>
          <w:sz w:val="72"/>
          <w:szCs w:val="72"/>
        </w:rPr>
      </w:pPr>
    </w:p>
    <w:p>
      <w:pPr>
        <w:pStyle w:val="10"/>
        <w:jc w:val="both"/>
        <w:rPr>
          <w:rFonts w:hint="eastAsia"/>
          <w:sz w:val="72"/>
          <w:szCs w:val="72"/>
        </w:rPr>
      </w:pPr>
    </w:p>
    <w:p>
      <w:pPr>
        <w:pStyle w:val="10"/>
        <w:jc w:val="center"/>
        <w:rPr>
          <w:rFonts w:hint="eastAsia" w:ascii="仿宋_GB2312" w:hAnsi="仿宋_GB2312" w:eastAsia="仿宋_GB2312" w:cs="仿宋_GB2312"/>
          <w:b/>
          <w:bCs/>
          <w:color w:val="000000"/>
          <w:kern w:val="0"/>
          <w:sz w:val="32"/>
          <w:szCs w:val="32"/>
        </w:rPr>
      </w:pPr>
      <w:r>
        <w:rPr>
          <w:rFonts w:hint="eastAsia" w:ascii="仿宋_GB2312" w:hAnsi="仿宋_GB2312" w:eastAsia="仿宋_GB2312" w:cs="仿宋_GB2312"/>
          <w:b/>
          <w:bCs/>
          <w:sz w:val="32"/>
          <w:szCs w:val="32"/>
        </w:rPr>
        <w:t>第五部分</w:t>
      </w:r>
      <w:r>
        <w:rPr>
          <w:rFonts w:hint="eastAsia" w:ascii="仿宋_GB2312" w:hAnsi="仿宋_GB2312" w:eastAsia="仿宋_GB2312" w:cs="仿宋_GB2312"/>
          <w:b/>
          <w:bCs/>
          <w:color w:val="000000"/>
          <w:kern w:val="0"/>
          <w:sz w:val="32"/>
          <w:szCs w:val="32"/>
        </w:rPr>
        <w:t>附件</w:t>
      </w:r>
    </w:p>
    <w:p>
      <w:pPr>
        <w:ind w:firstLine="640" w:firstLineChars="200"/>
        <w:jc w:val="left"/>
        <w:rPr>
          <w:rFonts w:hint="eastAsia"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lang w:val="en-US" w:eastAsia="zh-Hans"/>
        </w:rPr>
        <w:t>无</w:t>
      </w:r>
    </w:p>
    <w:sectPr>
      <w:pgSz w:w="11906" w:h="16838"/>
      <w:pgMar w:top="720" w:right="720" w:bottom="720" w:left="72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8"/>
    <w:family w:val="auto"/>
    <w:pitch w:val="default"/>
    <w:sig w:usb0="E0000AFF" w:usb1="00007843" w:usb2="00000001" w:usb3="00000000" w:csb0="400001BF" w:csb1="DFF70000"/>
    <w:embedRegular r:id="rId1" w:fontKey="{3B76177B-E33F-1415-9E83-9B602E911D6A}"/>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embedRegular r:id="rId2" w:fontKey="{28670D65-1E1B-AF2C-9E83-9B60FD33DAF2}"/>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embedRegular r:id="rId3" w:fontKey="{457538C4-4DF2-D050-9E83-9B6083C6E031}"/>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方正小标宋简体">
    <w:panose1 w:val="02000000000000000000"/>
    <w:charset w:val="86"/>
    <w:family w:val="auto"/>
    <w:pitch w:val="default"/>
    <w:sig w:usb0="00000001" w:usb1="08000000" w:usb2="00000000" w:usb3="00000000" w:csb0="00040000" w:csb1="00000000"/>
    <w:embedRegular r:id="rId4" w:fontKey="{B30FF019-7ACC-F8F7-9E83-9B60DFD647B5}"/>
  </w:font>
  <w:font w:name="仿宋_GB2312">
    <w:panose1 w:val="02010609030101010101"/>
    <w:charset w:val="86"/>
    <w:family w:val="modern"/>
    <w:pitch w:val="default"/>
    <w:sig w:usb0="00000001" w:usb1="080E0000" w:usb2="00000000" w:usb3="00000000" w:csb0="00040000" w:csb1="00000000"/>
    <w:embedRegular r:id="rId5" w:fontKey="{D3435F03-A2A7-B59F-9E83-9B60A2178EEF}"/>
  </w:font>
  <w:font w:name="方正小标宋_GBK">
    <w:panose1 w:val="02000000000000000000"/>
    <w:charset w:val="86"/>
    <w:family w:val="script"/>
    <w:pitch w:val="default"/>
    <w:sig w:usb0="A00002BF" w:usb1="38CF7CFA" w:usb2="00082016" w:usb3="00000000" w:csb0="00040001" w:csb1="00000000"/>
    <w:embedRegular r:id="rId6" w:fontKey="{D77AAEA1-04A9-EFA0-9E83-9B6081DE107F}"/>
  </w:font>
  <w:font w:name="仿宋">
    <w:panose1 w:val="02010609060101010101"/>
    <w:charset w:val="86"/>
    <w:family w:val="roman"/>
    <w:pitch w:val="default"/>
    <w:sig w:usb0="800002BF" w:usb1="38CF7CFA" w:usb2="00000016" w:usb3="00000000" w:csb0="00040001" w:csb1="00000000"/>
    <w:embedRegular r:id="rId7" w:fontKey="{B4D3019C-E3A7-44B0-9E83-9B60CBB97975}"/>
  </w:font>
  <w:font w:name="楷体_GB2312">
    <w:panose1 w:val="02010609030101010101"/>
    <w:charset w:val="86"/>
    <w:family w:val="auto"/>
    <w:pitch w:val="default"/>
    <w:sig w:usb0="00000001" w:usb1="080E0000" w:usb2="00000000" w:usb3="00000000" w:csb0="00040000" w:csb1="00000000"/>
    <w:embedRegular r:id="rId8" w:fontKey="{979B1EED-9304-83AF-9E83-9B60B9BA6023}"/>
  </w:font>
  <w:font w:name="微软雅黑">
    <w:altName w:val="汉仪旗黑"/>
    <w:panose1 w:val="020B0503020204020204"/>
    <w:charset w:val="86"/>
    <w:family w:val="auto"/>
    <w:pitch w:val="default"/>
    <w:sig w:usb0="00000000" w:usb1="00000000" w:usb2="00000016" w:usb3="00000000" w:csb0="0004001F" w:csb1="00000000"/>
  </w:font>
  <w:font w:name="宋体-简">
    <w:panose1 w:val="02010800040101010101"/>
    <w:charset w:val="86"/>
    <w:family w:val="auto"/>
    <w:pitch w:val="default"/>
    <w:sig w:usb0="00000001" w:usb1="080F0000" w:usb2="00000000" w:usb3="00000000" w:csb0="00040000" w:csb1="00000000"/>
  </w:font>
  <w:font w:name="儷宋 Pro">
    <w:panose1 w:val="02020300000000000000"/>
    <w:charset w:val="88"/>
    <w:family w:val="auto"/>
    <w:pitch w:val="default"/>
    <w:sig w:usb0="80000001" w:usb1="28091800" w:usb2="00000016" w:usb3="00000000" w:csb0="0010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 w:name="汉仪旗黑">
    <w:panose1 w:val="00020600040101010101"/>
    <w:charset w:val="86"/>
    <w:family w:val="auto"/>
    <w:pitch w:val="default"/>
    <w:sig w:usb0="A00002BF" w:usb1="1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LNJWO7Q&#10;AAAABQEAAA8AAAAAAAAAAQAgAAAAOAAAAGRycy9kb3ducmV2LnhtbFBLAQIUABQAAAAIAIdO4kBK&#10;283/EgIAABMEAAAOAAAAAAAAAAEAIAAAADUBAABkcnMvZTJvRG9jLnhtbFBLBQYAAAAABgAGAFkB&#10;AAC5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952B33"/>
    <w:multiLevelType w:val="singleLevel"/>
    <w:tmpl w:val="F3952B33"/>
    <w:lvl w:ilvl="0" w:tentative="0">
      <w:start w:val="1"/>
      <w:numFmt w:val="chineseCounting"/>
      <w:suff w:val="nothing"/>
      <w:lvlText w:val="%1、"/>
      <w:lvlJc w:val="left"/>
      <w:rPr>
        <w:rFonts w:hint="eastAsia"/>
      </w:rPr>
    </w:lvl>
  </w:abstractNum>
  <w:abstractNum w:abstractNumId="1">
    <w:nsid w:val="02AF0D35"/>
    <w:multiLevelType w:val="singleLevel"/>
    <w:tmpl w:val="02AF0D35"/>
    <w:lvl w:ilvl="0" w:tentative="0">
      <w:start w:val="2"/>
      <w:numFmt w:val="chineseCounting"/>
      <w:suff w:val="nothing"/>
      <w:lvlText w:val="（%1）"/>
      <w:lvlJc w:val="left"/>
      <w:rPr>
        <w:rFonts w:hint="eastAsia"/>
      </w:rPr>
    </w:lvl>
  </w:abstractNum>
  <w:abstractNum w:abstractNumId="2">
    <w:nsid w:val="373518C1"/>
    <w:multiLevelType w:val="multilevel"/>
    <w:tmpl w:val="373518C1"/>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5914DF0"/>
    <w:multiLevelType w:val="singleLevel"/>
    <w:tmpl w:val="75914DF0"/>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TrueTypeFonts/>
  <w:saveSubsetFonts/>
  <w:bordersDoNotSurroundHeader w:val="0"/>
  <w:bordersDoNotSurroundFooter w:val="0"/>
  <w:revisionView w:markup="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6F9"/>
    <w:rsid w:val="0002229B"/>
    <w:rsid w:val="000273BD"/>
    <w:rsid w:val="000415B7"/>
    <w:rsid w:val="000658A3"/>
    <w:rsid w:val="00074155"/>
    <w:rsid w:val="000A3F69"/>
    <w:rsid w:val="00152C6D"/>
    <w:rsid w:val="00162D39"/>
    <w:rsid w:val="001A67DB"/>
    <w:rsid w:val="001D51E5"/>
    <w:rsid w:val="001F0C3B"/>
    <w:rsid w:val="00214427"/>
    <w:rsid w:val="00265724"/>
    <w:rsid w:val="0027426B"/>
    <w:rsid w:val="003479BD"/>
    <w:rsid w:val="003768D5"/>
    <w:rsid w:val="004506F9"/>
    <w:rsid w:val="004717A2"/>
    <w:rsid w:val="00491741"/>
    <w:rsid w:val="004F2780"/>
    <w:rsid w:val="00500E5F"/>
    <w:rsid w:val="005122EF"/>
    <w:rsid w:val="00517C33"/>
    <w:rsid w:val="00523644"/>
    <w:rsid w:val="0054069E"/>
    <w:rsid w:val="005767CC"/>
    <w:rsid w:val="00590D9F"/>
    <w:rsid w:val="00595D26"/>
    <w:rsid w:val="005A74E6"/>
    <w:rsid w:val="005D4D55"/>
    <w:rsid w:val="005E2CFB"/>
    <w:rsid w:val="0062378F"/>
    <w:rsid w:val="00651EEC"/>
    <w:rsid w:val="006A351B"/>
    <w:rsid w:val="006B0422"/>
    <w:rsid w:val="006C1B53"/>
    <w:rsid w:val="006D7730"/>
    <w:rsid w:val="006E5284"/>
    <w:rsid w:val="006F3EB5"/>
    <w:rsid w:val="00702E34"/>
    <w:rsid w:val="00704395"/>
    <w:rsid w:val="00720FF1"/>
    <w:rsid w:val="00812ED5"/>
    <w:rsid w:val="008277D9"/>
    <w:rsid w:val="008A3E8D"/>
    <w:rsid w:val="009237C4"/>
    <w:rsid w:val="00950252"/>
    <w:rsid w:val="00967F5D"/>
    <w:rsid w:val="009A0F95"/>
    <w:rsid w:val="009B3ADF"/>
    <w:rsid w:val="009C3B52"/>
    <w:rsid w:val="00A42218"/>
    <w:rsid w:val="00A70249"/>
    <w:rsid w:val="00B33BEA"/>
    <w:rsid w:val="00B57C9F"/>
    <w:rsid w:val="00B845B3"/>
    <w:rsid w:val="00B85D8B"/>
    <w:rsid w:val="00BE3674"/>
    <w:rsid w:val="00C3049A"/>
    <w:rsid w:val="00C31B1E"/>
    <w:rsid w:val="00C77645"/>
    <w:rsid w:val="00CE04C3"/>
    <w:rsid w:val="00CE76A0"/>
    <w:rsid w:val="00D148C6"/>
    <w:rsid w:val="00DD06FF"/>
    <w:rsid w:val="00DD5FE9"/>
    <w:rsid w:val="00E00C7A"/>
    <w:rsid w:val="00E55B68"/>
    <w:rsid w:val="00F24AF4"/>
    <w:rsid w:val="00F74360"/>
    <w:rsid w:val="00FB462F"/>
    <w:rsid w:val="00FE16FA"/>
    <w:rsid w:val="00FE328A"/>
    <w:rsid w:val="015D1953"/>
    <w:rsid w:val="05FA3FB2"/>
    <w:rsid w:val="069B6B14"/>
    <w:rsid w:val="06EB7A55"/>
    <w:rsid w:val="0A411DD2"/>
    <w:rsid w:val="0E345641"/>
    <w:rsid w:val="0ED653DA"/>
    <w:rsid w:val="11221309"/>
    <w:rsid w:val="11BF230C"/>
    <w:rsid w:val="13504993"/>
    <w:rsid w:val="14030170"/>
    <w:rsid w:val="14C179F5"/>
    <w:rsid w:val="15F65201"/>
    <w:rsid w:val="169B1778"/>
    <w:rsid w:val="171B2A09"/>
    <w:rsid w:val="18067889"/>
    <w:rsid w:val="18D41F1C"/>
    <w:rsid w:val="19066A66"/>
    <w:rsid w:val="1CAC2531"/>
    <w:rsid w:val="1CB5210B"/>
    <w:rsid w:val="1E955E76"/>
    <w:rsid w:val="20596A3F"/>
    <w:rsid w:val="20B85736"/>
    <w:rsid w:val="21C05901"/>
    <w:rsid w:val="22FC3A1C"/>
    <w:rsid w:val="230607CE"/>
    <w:rsid w:val="23FD38E1"/>
    <w:rsid w:val="244D7D93"/>
    <w:rsid w:val="25D14936"/>
    <w:rsid w:val="25EC5D6E"/>
    <w:rsid w:val="26B84B96"/>
    <w:rsid w:val="28605033"/>
    <w:rsid w:val="2A686E8F"/>
    <w:rsid w:val="2A9C44F6"/>
    <w:rsid w:val="2B78551E"/>
    <w:rsid w:val="2E0E2546"/>
    <w:rsid w:val="2FEB53E6"/>
    <w:rsid w:val="30302C29"/>
    <w:rsid w:val="326B0DE2"/>
    <w:rsid w:val="33CF6A55"/>
    <w:rsid w:val="35A6307A"/>
    <w:rsid w:val="36212B96"/>
    <w:rsid w:val="36315FF7"/>
    <w:rsid w:val="36561D38"/>
    <w:rsid w:val="388C682A"/>
    <w:rsid w:val="39240ABF"/>
    <w:rsid w:val="3D4E378B"/>
    <w:rsid w:val="40902F7E"/>
    <w:rsid w:val="4096707B"/>
    <w:rsid w:val="40C65454"/>
    <w:rsid w:val="426575DE"/>
    <w:rsid w:val="45EA132F"/>
    <w:rsid w:val="46950BE8"/>
    <w:rsid w:val="46C2771A"/>
    <w:rsid w:val="47A61E8B"/>
    <w:rsid w:val="4B791C0B"/>
    <w:rsid w:val="4BCE5BC2"/>
    <w:rsid w:val="4C100B93"/>
    <w:rsid w:val="4CD361EF"/>
    <w:rsid w:val="4CD418B9"/>
    <w:rsid w:val="4E0374AA"/>
    <w:rsid w:val="4EDD03DE"/>
    <w:rsid w:val="4FE33C01"/>
    <w:rsid w:val="5104602A"/>
    <w:rsid w:val="53013A6F"/>
    <w:rsid w:val="533A0718"/>
    <w:rsid w:val="539F3B8E"/>
    <w:rsid w:val="57E22807"/>
    <w:rsid w:val="584D6926"/>
    <w:rsid w:val="59563905"/>
    <w:rsid w:val="59945DBD"/>
    <w:rsid w:val="5C0F714A"/>
    <w:rsid w:val="5DF71F82"/>
    <w:rsid w:val="5F244426"/>
    <w:rsid w:val="63B173A2"/>
    <w:rsid w:val="63FF656F"/>
    <w:rsid w:val="66FC05BE"/>
    <w:rsid w:val="67170BBD"/>
    <w:rsid w:val="6A59155D"/>
    <w:rsid w:val="6A5A6E8B"/>
    <w:rsid w:val="6B2A4DD1"/>
    <w:rsid w:val="6CF264EF"/>
    <w:rsid w:val="719354B9"/>
    <w:rsid w:val="73586C10"/>
    <w:rsid w:val="757F3C06"/>
    <w:rsid w:val="76C848B9"/>
    <w:rsid w:val="770E7C04"/>
    <w:rsid w:val="79F97410"/>
    <w:rsid w:val="7AD1075A"/>
    <w:rsid w:val="7B0651AA"/>
    <w:rsid w:val="7D61134E"/>
    <w:rsid w:val="7E2731FF"/>
    <w:rsid w:val="7EE95C57"/>
    <w:rsid w:val="7F4C660C"/>
    <w:rsid w:val="7FC7559D"/>
    <w:rsid w:val="9F5B58B4"/>
    <w:rsid w:val="BC745F2D"/>
    <w:rsid w:val="F7ED9D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alloon Text"/>
    <w:basedOn w:val="1"/>
    <w:link w:val="12"/>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paragraph" w:customStyle="1" w:styleId="10">
    <w:name w:val="Default"/>
    <w:qFormat/>
    <w:uiPriority w:val="0"/>
    <w:pPr>
      <w:widowControl w:val="0"/>
      <w:autoSpaceDE w:val="0"/>
      <w:autoSpaceDN w:val="0"/>
      <w:adjustRightInd w:val="0"/>
    </w:pPr>
    <w:rPr>
      <w:rFonts w:ascii="黑体" w:eastAsia="黑体" w:cs="黑体" w:hAnsiTheme="minorHAnsi"/>
      <w:color w:val="000000"/>
      <w:kern w:val="0"/>
      <w:sz w:val="24"/>
      <w:szCs w:val="24"/>
      <w:lang w:val="en-US" w:eastAsia="zh-CN" w:bidi="ar-SA"/>
    </w:rPr>
  </w:style>
  <w:style w:type="paragraph" w:customStyle="1" w:styleId="11">
    <w:name w:val="List Paragraph"/>
    <w:basedOn w:val="1"/>
    <w:qFormat/>
    <w:uiPriority w:val="34"/>
    <w:pPr>
      <w:ind w:firstLine="420" w:firstLineChars="200"/>
    </w:pPr>
  </w:style>
  <w:style w:type="character" w:customStyle="1" w:styleId="12">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1258</Words>
  <Characters>7176</Characters>
  <Lines>59</Lines>
  <Paragraphs>16</Paragraphs>
  <TotalTime>0</TotalTime>
  <ScaleCrop>false</ScaleCrop>
  <LinksUpToDate>false</LinksUpToDate>
  <CharactersWithSpaces>8418</CharactersWithSpaces>
  <Application>WPS Office_3.6.0.5672_F1E327BC-269C-435d-A152-05C5408002CA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2020-07-03T02:32:00Z</dcterms:created>
  <dc:creator>李航 null</dc:creator>
  <cp:lastModifiedBy>silverwu</cp:lastModifiedBy>
  <cp:lastPrinted>2020-07-16T07:25:00Z</cp:lastPrinted>
  <dcterms:modified xsi:type="dcterms:W3CDTF">2021-05-12T15:28:30Z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