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center"/>
        <w:rPr>
          <w:rFonts w:hint="eastAsia" w:ascii="方正小标宋简体" w:hAnsi="方正小标宋简体" w:eastAsia="方正小标宋简体" w:cs="方正小标宋简体"/>
          <w:sz w:val="44"/>
          <w:szCs w:val="44"/>
          <w:lang w:val="en-US" w:eastAsia="zh-CN"/>
        </w:rPr>
      </w:pPr>
      <w:bookmarkStart w:id="2" w:name="_GoBack"/>
      <w:bookmarkEnd w:id="2"/>
      <w:r>
        <w:rPr>
          <w:rFonts w:hint="eastAsia" w:ascii="方正小标宋简体" w:hAnsi="方正小标宋简体" w:eastAsia="方正小标宋简体" w:cs="方正小标宋简体"/>
          <w:sz w:val="44"/>
          <w:szCs w:val="44"/>
          <w:lang w:val="en-US" w:eastAsia="zh-CN"/>
        </w:rPr>
        <w:t>蓝山县委组织部</w:t>
      </w:r>
      <w:r>
        <w:rPr>
          <w:rFonts w:hint="eastAsia" w:ascii="方正小标宋简体" w:hAnsi="方正小标宋简体" w:eastAsia="方正小标宋简体" w:cs="方正小标宋简体"/>
          <w:sz w:val="44"/>
          <w:szCs w:val="44"/>
        </w:rPr>
        <w:t>2019年度部门决算</w:t>
      </w:r>
      <w:r>
        <w:rPr>
          <w:rFonts w:hint="eastAsia" w:ascii="方正小标宋简体" w:hAnsi="方正小标宋简体" w:eastAsia="方正小标宋简体" w:cs="方正小标宋简体"/>
          <w:sz w:val="44"/>
          <w:szCs w:val="44"/>
          <w:lang w:val="en-US" w:eastAsia="zh-CN"/>
        </w:rPr>
        <w:t>公开</w:t>
      </w:r>
    </w:p>
    <w:p>
      <w:pPr>
        <w:pStyle w:val="10"/>
        <w:spacing w:line="52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目录</w:t>
      </w:r>
    </w:p>
    <w:p>
      <w:pPr>
        <w:pStyle w:val="10"/>
        <w:keepNext w:val="0"/>
        <w:keepLines w:val="0"/>
        <w:pageBreakBefore w:val="0"/>
        <w:widowControl w:val="0"/>
        <w:kinsoku/>
        <w:wordWrap/>
        <w:overflowPunct/>
        <w:topLinePunct w:val="0"/>
        <w:bidi w:val="0"/>
        <w:snapToGrid/>
        <w:spacing w:line="480" w:lineRule="exact"/>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第一部分</w:t>
      </w:r>
      <w:r>
        <w:rPr>
          <w:rFonts w:hint="eastAsia" w:ascii="仿宋_GB2312" w:hAnsi="仿宋_GB2312" w:eastAsia="仿宋_GB2312" w:cs="仿宋_GB2312"/>
          <w:b/>
          <w:sz w:val="32"/>
          <w:szCs w:val="32"/>
          <w:lang w:eastAsia="zh-CN"/>
        </w:rPr>
        <w:t>蓝山</w:t>
      </w:r>
      <w:r>
        <w:rPr>
          <w:rFonts w:hint="eastAsia" w:ascii="仿宋_GB2312" w:hAnsi="仿宋_GB2312" w:eastAsia="仿宋_GB2312" w:cs="仿宋_GB2312"/>
          <w:b/>
          <w:sz w:val="32"/>
          <w:szCs w:val="32"/>
          <w:u w:val="none"/>
          <w:lang w:val="en-US" w:eastAsia="zh-CN"/>
        </w:rPr>
        <w:t>县委组织部</w:t>
      </w:r>
      <w:r>
        <w:rPr>
          <w:rFonts w:hint="eastAsia" w:ascii="仿宋_GB2312" w:hAnsi="仿宋_GB2312" w:eastAsia="仿宋_GB2312" w:cs="仿宋_GB2312"/>
          <w:b/>
          <w:sz w:val="32"/>
          <w:szCs w:val="32"/>
        </w:rPr>
        <w:t>概况</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一、部门职责</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二、机构设置</w:t>
      </w:r>
    </w:p>
    <w:p>
      <w:pPr>
        <w:pStyle w:val="10"/>
        <w:keepNext w:val="0"/>
        <w:keepLines w:val="0"/>
        <w:pageBreakBefore w:val="0"/>
        <w:widowControl w:val="0"/>
        <w:kinsoku/>
        <w:wordWrap/>
        <w:overflowPunct/>
        <w:topLinePunct w:val="0"/>
        <w:bidi w:val="0"/>
        <w:snapToGrid/>
        <w:spacing w:line="480" w:lineRule="exact"/>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第二部分2019年度部门决算表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一、收入支出决算总表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二、收入决算表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三、支出决算表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四、财政拨款收入支出决算总表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五、一般公共预算财政拨款支出决算表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六、一般公共预算财政拨款基本支出决算表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七、一般公共预算财政拨款“三公”经费支出决算表</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八、政府性基金预算财政拨款收入支出决算表</w:t>
      </w:r>
    </w:p>
    <w:p>
      <w:pPr>
        <w:pStyle w:val="10"/>
        <w:keepNext w:val="0"/>
        <w:keepLines w:val="0"/>
        <w:pageBreakBefore w:val="0"/>
        <w:widowControl w:val="0"/>
        <w:kinsoku/>
        <w:wordWrap/>
        <w:overflowPunct/>
        <w:topLinePunct w:val="0"/>
        <w:bidi w:val="0"/>
        <w:snapToGrid/>
        <w:spacing w:line="480" w:lineRule="exact"/>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第三部分2019年度部门决算情况说明</w:t>
      </w:r>
    </w:p>
    <w:p>
      <w:pPr>
        <w:pStyle w:val="10"/>
        <w:keepNext w:val="0"/>
        <w:keepLines w:val="0"/>
        <w:pageBreakBefore w:val="0"/>
        <w:widowControl w:val="0"/>
        <w:kinsoku/>
        <w:wordWrap/>
        <w:overflowPunct/>
        <w:topLinePunct w:val="0"/>
        <w:bidi w:val="0"/>
        <w:snapToGrid/>
        <w:spacing w:line="480" w:lineRule="exact"/>
        <w:ind w:firstLine="800" w:firstLineChars="25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一、收入支出决算总体情况说明</w:t>
      </w:r>
    </w:p>
    <w:p>
      <w:pPr>
        <w:keepNext w:val="0"/>
        <w:keepLines w:val="0"/>
        <w:pageBreakBefore w:val="0"/>
        <w:widowControl w:val="0"/>
        <w:kinsoku/>
        <w:wordWrap/>
        <w:overflowPunct/>
        <w:topLinePunct w:val="0"/>
        <w:bidi w:val="0"/>
        <w:snapToGrid/>
        <w:spacing w:line="480" w:lineRule="exact"/>
        <w:ind w:firstLine="800" w:firstLineChars="25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二、收入决算情况说明</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三、支出决算情况说明</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四、财政拨款收入支出决算总体情况说明</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五、一般公共预算财政拨款支出决算情况说明</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六、一般公共预算财政拨款基本支出决算情况说明</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七、一般公共预算财政拨款三公经费支出决算情况说明</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八、政府性基金预算收入支出决算情况</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九、预算绩效情况说明</w:t>
      </w:r>
    </w:p>
    <w:p>
      <w:pPr>
        <w:keepNext w:val="0"/>
        <w:keepLines w:val="0"/>
        <w:pageBreakBefore w:val="0"/>
        <w:widowControl w:val="0"/>
        <w:kinsoku/>
        <w:wordWrap/>
        <w:overflowPunct/>
        <w:topLinePunct w:val="0"/>
        <w:autoSpaceDE w:val="0"/>
        <w:autoSpaceDN w:val="0"/>
        <w:bidi w:val="0"/>
        <w:adjustRightInd w:val="0"/>
        <w:snapToGrid/>
        <w:spacing w:line="480" w:lineRule="exact"/>
        <w:ind w:firstLine="800" w:firstLineChars="250"/>
        <w:jc w:val="left"/>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十、其他重要事项情况说明</w:t>
      </w:r>
    </w:p>
    <w:p>
      <w:pPr>
        <w:keepNext w:val="0"/>
        <w:keepLines w:val="0"/>
        <w:pageBreakBefore w:val="0"/>
        <w:widowControl w:val="0"/>
        <w:kinsoku/>
        <w:wordWrap/>
        <w:overflowPunct/>
        <w:topLinePunct w:val="0"/>
        <w:autoSpaceDE w:val="0"/>
        <w:autoSpaceDN w:val="0"/>
        <w:bidi w:val="0"/>
        <w:adjustRightInd w:val="0"/>
        <w:snapToGrid/>
        <w:spacing w:line="480" w:lineRule="exact"/>
        <w:jc w:val="left"/>
        <w:textAlignment w:val="auto"/>
        <w:outlineLvl w:val="9"/>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第四部分名词解释</w:t>
      </w:r>
    </w:p>
    <w:p>
      <w:pPr>
        <w:keepNext w:val="0"/>
        <w:keepLines w:val="0"/>
        <w:pageBreakBefore w:val="0"/>
        <w:widowControl w:val="0"/>
        <w:kinsoku/>
        <w:wordWrap/>
        <w:overflowPunct/>
        <w:topLinePunct w:val="0"/>
        <w:bidi w:val="0"/>
        <w:snapToGrid/>
        <w:spacing w:line="480" w:lineRule="exact"/>
        <w:jc w:val="left"/>
        <w:textAlignment w:val="auto"/>
        <w:outlineLvl w:val="9"/>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第五部分附件</w:t>
      </w:r>
    </w:p>
    <w:p>
      <w:pPr>
        <w:keepNext w:val="0"/>
        <w:keepLines w:val="0"/>
        <w:pageBreakBefore w:val="0"/>
        <w:widowControl w:val="0"/>
        <w:kinsoku/>
        <w:wordWrap/>
        <w:overflowPunct/>
        <w:topLinePunct w:val="0"/>
        <w:bidi w:val="0"/>
        <w:snapToGrid/>
        <w:spacing w:line="480" w:lineRule="exact"/>
        <w:jc w:val="center"/>
        <w:textAlignment w:val="auto"/>
        <w:outlineLvl w:val="9"/>
        <w:rPr>
          <w:rFonts w:ascii="黑体" w:hAnsi="黑体" w:eastAsia="黑体"/>
          <w:b/>
          <w:bCs/>
          <w:sz w:val="32"/>
          <w:szCs w:val="32"/>
        </w:rPr>
      </w:pPr>
      <w:r>
        <w:rPr>
          <w:rFonts w:hint="eastAsia" w:ascii="仿宋_GB2312" w:hAnsi="仿宋_GB2312" w:eastAsia="仿宋_GB2312" w:cs="仿宋_GB2312"/>
          <w:b/>
          <w:bCs/>
          <w:sz w:val="32"/>
          <w:szCs w:val="32"/>
        </w:rPr>
        <w:t>第一部分</w:t>
      </w:r>
      <w:r>
        <w:rPr>
          <w:rFonts w:hint="eastAsia" w:ascii="仿宋_GB2312" w:hAnsi="仿宋_GB2312" w:eastAsia="仿宋_GB2312" w:cs="仿宋_GB2312"/>
          <w:b/>
          <w:bCs/>
          <w:sz w:val="32"/>
          <w:szCs w:val="32"/>
          <w:lang w:val="en-US" w:eastAsia="zh-CN"/>
        </w:rPr>
        <w:t xml:space="preserve"> 中共蓝山县委组织部</w:t>
      </w:r>
      <w:r>
        <w:rPr>
          <w:rFonts w:hint="eastAsia" w:ascii="仿宋_GB2312" w:hAnsi="仿宋_GB2312" w:eastAsia="仿宋_GB2312" w:cs="仿宋_GB2312"/>
          <w:b/>
          <w:bCs/>
          <w:sz w:val="32"/>
          <w:szCs w:val="32"/>
        </w:rPr>
        <w:t>概况</w:t>
      </w:r>
    </w:p>
    <w:p>
      <w:pPr>
        <w:pStyle w:val="11"/>
        <w:numPr>
          <w:ilvl w:val="0"/>
          <w:numId w:val="1"/>
        </w:numPr>
        <w:ind w:firstLineChars="0"/>
        <w:jc w:val="left"/>
        <w:rPr>
          <w:rFonts w:ascii="黑体" w:hAnsi="黑体" w:eastAsia="黑体"/>
          <w:sz w:val="32"/>
          <w:szCs w:val="32"/>
        </w:rPr>
      </w:pPr>
      <w:r>
        <w:rPr>
          <w:rFonts w:ascii="黑体" w:hAnsi="黑体" w:eastAsia="黑体"/>
          <w:sz w:val="32"/>
          <w:szCs w:val="32"/>
        </w:rPr>
        <w:t>部门职责</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480"/>
        <w:jc w:val="both"/>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根据县委有关文件规定，本单位主要工作职责是：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480"/>
        <w:jc w:val="both"/>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（一）贯彻落实党的组织工作路线、方针、政策、执行县委有关的规定、决议、搞好全县组织、干部工作的宏观管理和指导。</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480"/>
        <w:jc w:val="both"/>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二）负责全县党的基层建设、领导班子建设、党员队伍建设和干部队伍建设。对全县各级党的基层和建设进行调查，进行宏观指导、监督和检查。负责县委管理的科技党政领导班子及成员的日常管理教育、年度考核和跟踪考核、届时考察、届示考察，提出调整配备的意见和建议，搞好向人大、县政协的干部推荐工作。</w:t>
      </w:r>
    </w:p>
    <w:p>
      <w:pPr>
        <w:spacing w:line="520" w:lineRule="atLeast"/>
        <w:ind w:firstLine="600" w:firstLineChars="200"/>
        <w:rPr>
          <w:rFonts w:hint="eastAsia" w:ascii="仿宋_GB2312" w:eastAsia="仿宋_GB2312"/>
          <w:sz w:val="30"/>
          <w:szCs w:val="30"/>
        </w:rPr>
      </w:pPr>
      <w:r>
        <w:rPr>
          <w:rFonts w:hint="eastAsia" w:ascii="仿宋_GB2312" w:eastAsia="仿宋_GB2312"/>
          <w:sz w:val="30"/>
          <w:szCs w:val="30"/>
        </w:rPr>
        <w:t>（三）负责审批基层党组织设置；负责全县基层党组织的建设和整顿，指导各级党组织进行换届选举；负责党员的发展、培训和教育管理工作。</w:t>
      </w:r>
    </w:p>
    <w:p>
      <w:pPr>
        <w:spacing w:line="520" w:lineRule="atLeast"/>
        <w:ind w:firstLine="600" w:firstLineChars="200"/>
        <w:rPr>
          <w:rFonts w:hint="eastAsia" w:ascii="仿宋_GB2312" w:eastAsia="仿宋_GB2312"/>
          <w:sz w:val="30"/>
          <w:szCs w:val="30"/>
        </w:rPr>
      </w:pPr>
      <w:r>
        <w:rPr>
          <w:rFonts w:hint="eastAsia" w:ascii="仿宋_GB2312" w:eastAsia="仿宋_GB2312"/>
          <w:sz w:val="30"/>
          <w:szCs w:val="30"/>
        </w:rPr>
        <w:t>（四）负责县党代表大会闭会期间代表的日常管理和服务，代表活动的组织、联络、协调以及党代表工作室的监督管理工作。</w:t>
      </w:r>
    </w:p>
    <w:p>
      <w:pPr>
        <w:spacing w:line="520" w:lineRule="atLeast"/>
        <w:ind w:firstLine="600" w:firstLineChars="200"/>
        <w:rPr>
          <w:rFonts w:hint="eastAsia" w:ascii="仿宋_GB2312" w:eastAsia="仿宋_GB2312"/>
          <w:sz w:val="30"/>
          <w:szCs w:val="30"/>
        </w:rPr>
      </w:pPr>
      <w:r>
        <w:rPr>
          <w:rFonts w:hint="eastAsia" w:ascii="仿宋_GB2312" w:eastAsia="仿宋_GB2312"/>
          <w:sz w:val="30"/>
          <w:szCs w:val="30"/>
        </w:rPr>
        <w:t>（五）负责干部选拔任用工作的监督</w:t>
      </w:r>
      <w:r>
        <w:rPr>
          <w:rFonts w:hint="eastAsia" w:ascii="仿宋_GB2312" w:eastAsia="仿宋_GB2312"/>
          <w:sz w:val="30"/>
          <w:szCs w:val="30"/>
          <w:lang w:eastAsia="zh-CN"/>
        </w:rPr>
        <w:t>；</w:t>
      </w:r>
      <w:r>
        <w:rPr>
          <w:rFonts w:hint="eastAsia" w:ascii="仿宋_GB2312" w:eastAsia="仿宋_GB2312"/>
          <w:sz w:val="30"/>
          <w:szCs w:val="30"/>
        </w:rPr>
        <w:t>负责干部的教育培训和对干部的政治历史、现实政治表现进行审查；负责办理市管干部职务任免、工资、待遇、退休报批手续；负责县管干部的考察、任免、工资、待遇、出国（境）、退（离）休审批手续的办理。</w:t>
      </w:r>
    </w:p>
    <w:p>
      <w:pPr>
        <w:spacing w:line="520" w:lineRule="atLeast"/>
        <w:ind w:firstLine="600" w:firstLineChars="200"/>
        <w:rPr>
          <w:rFonts w:hint="eastAsia" w:ascii="仿宋_GB2312" w:eastAsia="仿宋_GB2312"/>
          <w:sz w:val="30"/>
          <w:szCs w:val="30"/>
        </w:rPr>
      </w:pPr>
      <w:r>
        <w:rPr>
          <w:rFonts w:hint="eastAsia" w:ascii="仿宋_GB2312" w:eastAsia="仿宋_GB2312"/>
          <w:sz w:val="30"/>
          <w:szCs w:val="30"/>
        </w:rPr>
        <w:t>（六）负责全县人才工作的检查、指导、协调和优秀人才的选拔、管理工作。</w:t>
      </w:r>
    </w:p>
    <w:p>
      <w:pPr>
        <w:spacing w:line="520" w:lineRule="atLeast"/>
        <w:ind w:firstLine="600" w:firstLineChars="200"/>
        <w:rPr>
          <w:rFonts w:hint="eastAsia" w:ascii="仿宋_GB2312" w:eastAsia="仿宋_GB2312"/>
          <w:sz w:val="30"/>
          <w:szCs w:val="30"/>
        </w:rPr>
      </w:pPr>
      <w:r>
        <w:rPr>
          <w:rFonts w:hint="eastAsia" w:ascii="仿宋_GB2312" w:eastAsia="仿宋_GB2312"/>
          <w:sz w:val="30"/>
          <w:szCs w:val="30"/>
        </w:rPr>
        <w:t>（七）负责检查、督促全县各级各部门领导班子、党组织建立健全民主集中制和党内各项制度的情况，会同有关部门抓好领导班子的思想作风建设。</w:t>
      </w:r>
    </w:p>
    <w:p>
      <w:pPr>
        <w:spacing w:line="520" w:lineRule="atLeast"/>
        <w:ind w:firstLine="600" w:firstLineChars="200"/>
        <w:rPr>
          <w:rFonts w:hint="eastAsia" w:ascii="仿宋_GB2312" w:eastAsia="仿宋_GB2312"/>
          <w:sz w:val="30"/>
          <w:szCs w:val="30"/>
        </w:rPr>
      </w:pPr>
      <w:r>
        <w:rPr>
          <w:rFonts w:hint="eastAsia" w:ascii="仿宋_GB2312" w:eastAsia="仿宋_GB2312"/>
          <w:sz w:val="30"/>
          <w:szCs w:val="30"/>
        </w:rPr>
        <w:t>（八）负责收集、整理和保管全县干部档案；负责全县党组织、党员和干部的统计工作。</w:t>
      </w:r>
    </w:p>
    <w:p>
      <w:pPr>
        <w:spacing w:line="520" w:lineRule="atLeast"/>
        <w:ind w:firstLine="600" w:firstLineChars="200"/>
        <w:rPr>
          <w:rFonts w:hint="eastAsia" w:ascii="仿宋_GB2312" w:eastAsia="仿宋_GB2312"/>
          <w:sz w:val="30"/>
          <w:szCs w:val="30"/>
        </w:rPr>
      </w:pPr>
      <w:r>
        <w:rPr>
          <w:rFonts w:hint="eastAsia" w:ascii="仿宋_GB2312" w:eastAsia="仿宋_GB2312"/>
          <w:sz w:val="30"/>
          <w:szCs w:val="30"/>
        </w:rPr>
        <w:t>（九）负责全县老干部工作、人</w:t>
      </w:r>
      <w:r>
        <w:rPr>
          <w:rFonts w:hint="eastAsia" w:ascii="仿宋_GB2312"/>
          <w:sz w:val="30"/>
          <w:szCs w:val="30"/>
          <w:lang w:eastAsia="zh-CN"/>
        </w:rPr>
        <w:t>才</w:t>
      </w:r>
      <w:r>
        <w:rPr>
          <w:rFonts w:hint="eastAsia" w:ascii="仿宋_GB2312" w:eastAsia="仿宋_GB2312"/>
          <w:sz w:val="30"/>
          <w:szCs w:val="30"/>
        </w:rPr>
        <w:t>工作。</w:t>
      </w:r>
    </w:p>
    <w:p>
      <w:pPr>
        <w:spacing w:line="520" w:lineRule="atLeast"/>
        <w:ind w:firstLine="600" w:firstLineChars="200"/>
        <w:rPr>
          <w:rFonts w:hint="eastAsia" w:ascii="仿宋_GB2312" w:eastAsia="仿宋_GB2312"/>
          <w:sz w:val="30"/>
          <w:szCs w:val="30"/>
        </w:rPr>
      </w:pPr>
      <w:r>
        <w:rPr>
          <w:rFonts w:hint="eastAsia" w:ascii="仿宋_GB2312" w:eastAsia="仿宋_GB2312"/>
          <w:sz w:val="30"/>
          <w:szCs w:val="30"/>
        </w:rPr>
        <w:t>（十）承办县委和市委组织部交办的其他事项。</w:t>
      </w:r>
    </w:p>
    <w:p>
      <w:pPr>
        <w:widowControl/>
        <w:spacing w:line="600" w:lineRule="exact"/>
        <w:rPr>
          <w:rFonts w:ascii="黑体" w:hAnsi="黑体" w:eastAsia="黑体"/>
          <w:bCs/>
          <w:kern w:val="0"/>
          <w:sz w:val="32"/>
          <w:szCs w:val="32"/>
        </w:rPr>
      </w:pPr>
      <w:r>
        <w:rPr>
          <w:rFonts w:hint="eastAsia" w:ascii="黑体" w:hAnsi="黑体" w:eastAsia="黑体"/>
          <w:bCs/>
          <w:kern w:val="0"/>
          <w:sz w:val="32"/>
          <w:szCs w:val="32"/>
        </w:rPr>
        <w:t>二、机构设置及决算单位构成</w:t>
      </w:r>
    </w:p>
    <w:p>
      <w:pPr>
        <w:ind w:firstLine="600" w:firstLineChars="200"/>
        <w:rPr>
          <w:rFonts w:hint="eastAsia" w:ascii="仿宋_GB2312" w:hAnsi="仿宋_GB2312" w:eastAsia="仿宋_GB2312"/>
          <w:sz w:val="30"/>
          <w:szCs w:val="30"/>
        </w:rPr>
      </w:pPr>
      <w:r>
        <w:rPr>
          <w:rFonts w:hint="eastAsia" w:ascii="仿宋_GB2312" w:hAnsi="仿宋_GB2312" w:eastAsia="仿宋_GB2312"/>
          <w:sz w:val="30"/>
          <w:szCs w:val="30"/>
        </w:rPr>
        <w:t>部门机构设置和人员、车辆编制情况以及增减变动情况</w:t>
      </w:r>
    </w:p>
    <w:p>
      <w:pPr>
        <w:rPr>
          <w:rFonts w:hint="eastAsia" w:ascii="仿宋_GB2312" w:hAnsi="仿宋_GB2312" w:eastAsia="仿宋_GB2312"/>
          <w:sz w:val="30"/>
          <w:szCs w:val="30"/>
          <w:lang w:eastAsia="zh-CN"/>
        </w:rPr>
      </w:pPr>
      <w:r>
        <w:rPr>
          <w:rFonts w:hint="eastAsia" w:ascii="仿宋_GB2312" w:hAnsi="仿宋_GB2312" w:eastAsia="仿宋_GB2312"/>
          <w:sz w:val="30"/>
          <w:szCs w:val="30"/>
          <w:lang w:eastAsia="zh-CN"/>
        </w:rPr>
        <w:t>蓝山县委组织部人员编制数为</w:t>
      </w:r>
      <w:r>
        <w:rPr>
          <w:rFonts w:hint="eastAsia" w:ascii="仿宋_GB2312" w:hAnsi="仿宋_GB2312" w:eastAsia="仿宋_GB2312"/>
          <w:sz w:val="30"/>
          <w:szCs w:val="30"/>
          <w:lang w:val="en-US" w:eastAsia="zh-CN"/>
        </w:rPr>
        <w:t>32人，其中行政编制26人（含工勤编制2人），事业编制6人（党员教育中心参照公务员管理编制2人，干部档案信息中心10人），实有人员40人，具体情况如下：正式工作人员32人，干部信息中心临时抽调人员4人，县委基层组织建设办公室临时抽调人员4人，干部队伍执行力建设办公室抽调人员6人。“主题教育”学习教育活动办公室所抽调人员6人。</w:t>
      </w:r>
    </w:p>
    <w:p>
      <w:pPr>
        <w:jc w:val="left"/>
        <w:rPr>
          <w:rFonts w:asciiTheme="minorEastAsia" w:hAnsiTheme="minorEastAsia"/>
          <w:sz w:val="32"/>
          <w:szCs w:val="32"/>
        </w:rPr>
        <w:sectPr>
          <w:footerReference r:id="rId3" w:type="default"/>
          <w:pgSz w:w="11906" w:h="16838"/>
          <w:pgMar w:top="1440" w:right="1800" w:bottom="1440" w:left="1800" w:header="851" w:footer="992" w:gutter="0"/>
          <w:cols w:space="425" w:num="1"/>
          <w:docGrid w:type="lines" w:linePitch="312" w:charSpace="0"/>
        </w:sectPr>
      </w:pPr>
    </w:p>
    <w:p>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第二部分部门决算表</w:t>
      </w:r>
    </w:p>
    <w:p>
      <w:pPr>
        <w:jc w:val="center"/>
        <w:rPr>
          <w:rFonts w:ascii="黑体" w:hAnsi="黑体" w:eastAsia="黑体"/>
          <w:sz w:val="36"/>
          <w:szCs w:val="32"/>
        </w:rPr>
      </w:pPr>
      <w:r>
        <w:rPr>
          <w:rFonts w:hint="eastAsia" w:ascii="黑体" w:hAnsi="黑体" w:eastAsia="黑体"/>
          <w:sz w:val="36"/>
          <w:szCs w:val="32"/>
        </w:rPr>
        <w:t>收入支出决算总表</w:t>
      </w:r>
    </w:p>
    <w:p>
      <w:pPr>
        <w:widowControl/>
        <w:spacing w:line="320" w:lineRule="exact"/>
        <w:ind w:right="198"/>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部门：</w:t>
      </w:r>
      <w:r>
        <w:rPr>
          <w:rFonts w:hint="eastAsia" w:ascii="Times New Roman" w:hAnsi="Times New Roman" w:eastAsia="仿宋_GB2312" w:cs="Times New Roman"/>
          <w:color w:val="000000"/>
          <w:kern w:val="0"/>
          <w:szCs w:val="21"/>
          <w:lang w:eastAsia="zh-CN"/>
        </w:rPr>
        <w:t>中共蓝山县委组织部</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公开</w:t>
      </w:r>
      <w:r>
        <w:rPr>
          <w:rFonts w:ascii="Times New Roman" w:hAnsi="Times New Roman" w:eastAsia="仿宋_GB2312" w:cs="Times New Roman"/>
          <w:color w:val="000000"/>
          <w:kern w:val="0"/>
          <w:szCs w:val="21"/>
        </w:rPr>
        <w:t>01</w:t>
      </w:r>
      <w:r>
        <w:rPr>
          <w:rFonts w:hint="eastAsia" w:ascii="Times New Roman" w:hAnsi="Times New Roman" w:eastAsia="仿宋_GB2312" w:cs="Times New Roman"/>
          <w:color w:val="000000"/>
          <w:kern w:val="0"/>
          <w:szCs w:val="21"/>
        </w:rPr>
        <w:t>表</w:t>
      </w:r>
    </w:p>
    <w:p>
      <w:pPr>
        <w:widowControl/>
        <w:spacing w:line="320" w:lineRule="exact"/>
        <w:ind w:right="198"/>
        <w:jc w:val="right"/>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单位：万元</w:t>
      </w:r>
    </w:p>
    <w:tbl>
      <w:tblPr>
        <w:tblStyle w:val="7"/>
        <w:tblW w:w="14061" w:type="dxa"/>
        <w:jc w:val="center"/>
        <w:tblLayout w:type="fixed"/>
        <w:tblCellMar>
          <w:top w:w="0" w:type="dxa"/>
          <w:left w:w="108" w:type="dxa"/>
          <w:bottom w:w="0" w:type="dxa"/>
          <w:right w:w="108" w:type="dxa"/>
        </w:tblCellMar>
      </w:tblPr>
      <w:tblGrid>
        <w:gridCol w:w="4932"/>
        <w:gridCol w:w="702"/>
        <w:gridCol w:w="1224"/>
        <w:gridCol w:w="4820"/>
        <w:gridCol w:w="702"/>
        <w:gridCol w:w="1681"/>
      </w:tblGrid>
      <w:tr>
        <w:trPr>
          <w:trHeight w:val="340" w:hRule="atLeast"/>
          <w:jc w:val="center"/>
        </w:trPr>
        <w:tc>
          <w:tcPr>
            <w:tcW w:w="685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收入</w:t>
            </w:r>
          </w:p>
        </w:tc>
        <w:tc>
          <w:tcPr>
            <w:tcW w:w="7203"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支出</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项</w:t>
            </w: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目</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行次</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决算数</w:t>
            </w:r>
          </w:p>
        </w:tc>
        <w:tc>
          <w:tcPr>
            <w:tcW w:w="48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项</w:t>
            </w: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目</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行次</w:t>
            </w:r>
          </w:p>
        </w:tc>
        <w:tc>
          <w:tcPr>
            <w:tcW w:w="168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决算数</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栏</w:t>
            </w: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次</w:t>
            </w:r>
          </w:p>
        </w:tc>
        <w:tc>
          <w:tcPr>
            <w:tcW w:w="702" w:type="dxa"/>
            <w:tcBorders>
              <w:top w:val="nil"/>
              <w:left w:val="nil"/>
              <w:bottom w:val="single" w:color="auto" w:sz="4" w:space="0"/>
              <w:right w:val="single" w:color="auto" w:sz="4" w:space="0"/>
            </w:tcBorders>
            <w:vAlign w:val="center"/>
          </w:tcPr>
          <w:p>
            <w:pP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48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栏</w:t>
            </w: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次</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168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一、一般公共预算财政拨款收入</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1224"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hint="eastAsia" w:ascii="Times New Roman" w:hAnsi="Times New Roman" w:eastAsia="仿宋_GB2312" w:cs="Times New Roman"/>
                <w:kern w:val="0"/>
                <w:szCs w:val="21"/>
              </w:rPr>
              <w:t>　</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一、一般公共服务支出</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14</w:t>
            </w:r>
          </w:p>
        </w:tc>
        <w:tc>
          <w:tcPr>
            <w:tcW w:w="1681"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hint="eastAsia" w:ascii="Times New Roman" w:hAnsi="Times New Roman" w:eastAsia="仿宋_GB2312" w:cs="Times New Roman"/>
                <w:kern w:val="0"/>
                <w:szCs w:val="21"/>
              </w:rPr>
              <w:t>　</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二、政府性基金预算财政拨款收入</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1224"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二、外交支出</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15</w:t>
            </w:r>
          </w:p>
        </w:tc>
        <w:tc>
          <w:tcPr>
            <w:tcW w:w="1681"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三、上级补助收入</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1224"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三、国防支出</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16</w:t>
            </w:r>
          </w:p>
        </w:tc>
        <w:tc>
          <w:tcPr>
            <w:tcW w:w="1681"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四、事业收入</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w:t>
            </w:r>
          </w:p>
        </w:tc>
        <w:tc>
          <w:tcPr>
            <w:tcW w:w="1224"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四、公共安全支出</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17</w:t>
            </w:r>
          </w:p>
        </w:tc>
        <w:tc>
          <w:tcPr>
            <w:tcW w:w="1681"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五、经营收入</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5</w:t>
            </w:r>
          </w:p>
        </w:tc>
        <w:tc>
          <w:tcPr>
            <w:tcW w:w="1224"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五、教育支出</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18</w:t>
            </w:r>
          </w:p>
        </w:tc>
        <w:tc>
          <w:tcPr>
            <w:tcW w:w="1681"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六、附属单位上缴收入</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6</w:t>
            </w:r>
          </w:p>
        </w:tc>
        <w:tc>
          <w:tcPr>
            <w:tcW w:w="1224"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六、科学技术支出</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19</w:t>
            </w:r>
          </w:p>
        </w:tc>
        <w:tc>
          <w:tcPr>
            <w:tcW w:w="1681"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七、其他收入</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7</w:t>
            </w:r>
          </w:p>
        </w:tc>
        <w:tc>
          <w:tcPr>
            <w:tcW w:w="1224"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七、</w:t>
            </w:r>
            <w:r>
              <w:rPr>
                <w:rFonts w:ascii="Times New Roman" w:hAnsi="Times New Roman" w:eastAsia="仿宋_GB2312" w:cs="Times New Roman"/>
                <w:kern w:val="0"/>
                <w:szCs w:val="21"/>
              </w:rPr>
              <w:t>……</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20</w:t>
            </w:r>
          </w:p>
        </w:tc>
        <w:tc>
          <w:tcPr>
            <w:tcW w:w="1681"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8</w:t>
            </w:r>
          </w:p>
        </w:tc>
        <w:tc>
          <w:tcPr>
            <w:tcW w:w="122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21</w:t>
            </w:r>
          </w:p>
        </w:tc>
        <w:tc>
          <w:tcPr>
            <w:tcW w:w="168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b/>
                <w:bCs/>
                <w:kern w:val="0"/>
                <w:szCs w:val="21"/>
              </w:rPr>
            </w:pPr>
            <w:r>
              <w:rPr>
                <w:rFonts w:hint="eastAsia" w:ascii="Times New Roman" w:hAnsi="Times New Roman" w:eastAsia="仿宋_GB2312" w:cs="Times New Roman"/>
                <w:b/>
                <w:bCs/>
                <w:kern w:val="0"/>
                <w:szCs w:val="21"/>
              </w:rPr>
              <w:t>本年收入合计</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9</w:t>
            </w:r>
          </w:p>
        </w:tc>
        <w:tc>
          <w:tcPr>
            <w:tcW w:w="1224"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hint="eastAsia" w:ascii="Times New Roman" w:hAnsi="Times New Roman" w:eastAsia="仿宋_GB2312" w:cs="Times New Roman"/>
                <w:kern w:val="0"/>
                <w:szCs w:val="21"/>
              </w:rPr>
              <w:t>　</w:t>
            </w:r>
          </w:p>
        </w:tc>
        <w:tc>
          <w:tcPr>
            <w:tcW w:w="48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b/>
                <w:bCs/>
                <w:kern w:val="0"/>
                <w:szCs w:val="21"/>
              </w:rPr>
            </w:pPr>
            <w:r>
              <w:rPr>
                <w:rFonts w:hint="eastAsia" w:ascii="Times New Roman" w:hAnsi="Times New Roman" w:eastAsia="仿宋_GB2312" w:cs="Times New Roman"/>
                <w:b/>
                <w:bCs/>
                <w:kern w:val="0"/>
                <w:szCs w:val="21"/>
              </w:rPr>
              <w:t>本年支出合计</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22</w:t>
            </w:r>
          </w:p>
        </w:tc>
        <w:tc>
          <w:tcPr>
            <w:tcW w:w="168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b/>
                <w:bCs/>
                <w:kern w:val="0"/>
                <w:szCs w:val="21"/>
              </w:rPr>
            </w:pPr>
            <w:r>
              <w:rPr>
                <w:rFonts w:hint="eastAsia" w:ascii="Times New Roman" w:hAnsi="Times New Roman" w:eastAsia="仿宋_GB2312" w:cs="Times New Roman"/>
                <w:b/>
                <w:bCs/>
                <w:kern w:val="0"/>
                <w:szCs w:val="21"/>
              </w:rPr>
              <w:t>　</w:t>
            </w:r>
            <w:r>
              <w:rPr>
                <w:rFonts w:hint="eastAsia" w:ascii="Times New Roman" w:hAnsi="Times New Roman" w:eastAsia="仿宋_GB2312" w:cs="Times New Roman"/>
                <w:kern w:val="0"/>
                <w:szCs w:val="21"/>
                <w:lang w:val="en-US" w:eastAsia="zh-CN"/>
              </w:rPr>
              <w:t>508.47</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用事业基金弥补收支差额</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10</w:t>
            </w:r>
          </w:p>
        </w:tc>
        <w:tc>
          <w:tcPr>
            <w:tcW w:w="1224"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结余分配</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23</w:t>
            </w:r>
          </w:p>
        </w:tc>
        <w:tc>
          <w:tcPr>
            <w:tcW w:w="168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年初结转和结余</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11</w:t>
            </w:r>
          </w:p>
        </w:tc>
        <w:tc>
          <w:tcPr>
            <w:tcW w:w="1224"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xml:space="preserve">                </w:t>
            </w:r>
            <w:r>
              <w:rPr>
                <w:rFonts w:hint="eastAsia" w:ascii="Times New Roman" w:hAnsi="Times New Roman" w:eastAsia="仿宋_GB2312" w:cs="Times New Roman"/>
                <w:kern w:val="0"/>
                <w:szCs w:val="21"/>
              </w:rPr>
              <w:t>年末结转和结余</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24</w:t>
            </w:r>
          </w:p>
        </w:tc>
        <w:tc>
          <w:tcPr>
            <w:tcW w:w="168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12</w:t>
            </w:r>
          </w:p>
        </w:tc>
        <w:tc>
          <w:tcPr>
            <w:tcW w:w="1224"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482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25</w:t>
            </w:r>
          </w:p>
        </w:tc>
        <w:tc>
          <w:tcPr>
            <w:tcW w:w="168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　</w:t>
            </w:r>
          </w:p>
        </w:tc>
      </w:tr>
      <w:tr>
        <w:trPr>
          <w:trHeight w:val="340" w:hRule="atLeast"/>
          <w:jc w:val="center"/>
        </w:trPr>
        <w:tc>
          <w:tcPr>
            <w:tcW w:w="4932"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b/>
                <w:bCs/>
                <w:kern w:val="0"/>
                <w:szCs w:val="21"/>
              </w:rPr>
            </w:pPr>
            <w:r>
              <w:rPr>
                <w:rFonts w:hint="eastAsia" w:ascii="Times New Roman" w:hAnsi="Times New Roman" w:eastAsia="仿宋_GB2312" w:cs="Times New Roman"/>
                <w:b/>
                <w:bCs/>
                <w:kern w:val="0"/>
                <w:szCs w:val="21"/>
              </w:rPr>
              <w:t>总计</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13</w:t>
            </w:r>
          </w:p>
        </w:tc>
        <w:tc>
          <w:tcPr>
            <w:tcW w:w="1224" w:type="dxa"/>
            <w:tcBorders>
              <w:top w:val="nil"/>
              <w:left w:val="nil"/>
              <w:bottom w:val="single" w:color="auto" w:sz="4" w:space="0"/>
              <w:right w:val="single" w:color="auto" w:sz="4" w:space="0"/>
            </w:tcBorders>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hint="eastAsia" w:ascii="Times New Roman" w:hAnsi="Times New Roman" w:eastAsia="仿宋_GB2312" w:cs="Times New Roman"/>
                <w:kern w:val="0"/>
                <w:szCs w:val="21"/>
              </w:rPr>
              <w:t>　</w:t>
            </w:r>
          </w:p>
        </w:tc>
        <w:tc>
          <w:tcPr>
            <w:tcW w:w="48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b/>
                <w:bCs/>
                <w:kern w:val="0"/>
                <w:szCs w:val="21"/>
              </w:rPr>
            </w:pPr>
            <w:r>
              <w:rPr>
                <w:rFonts w:hint="eastAsia" w:ascii="Times New Roman" w:hAnsi="Times New Roman" w:eastAsia="仿宋_GB2312" w:cs="Times New Roman"/>
                <w:b/>
                <w:bCs/>
                <w:kern w:val="0"/>
                <w:szCs w:val="21"/>
              </w:rPr>
              <w:t>总计</w:t>
            </w:r>
          </w:p>
        </w:tc>
        <w:tc>
          <w:tcPr>
            <w:tcW w:w="70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26</w:t>
            </w:r>
          </w:p>
        </w:tc>
        <w:tc>
          <w:tcPr>
            <w:tcW w:w="168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b/>
                <w:bCs/>
                <w:kern w:val="0"/>
                <w:szCs w:val="21"/>
              </w:rPr>
            </w:pPr>
            <w:r>
              <w:rPr>
                <w:rFonts w:hint="eastAsia" w:ascii="Times New Roman" w:hAnsi="Times New Roman" w:eastAsia="仿宋_GB2312" w:cs="Times New Roman"/>
                <w:b/>
                <w:bCs/>
                <w:kern w:val="0"/>
                <w:szCs w:val="21"/>
              </w:rPr>
              <w:t>　</w:t>
            </w:r>
            <w:r>
              <w:rPr>
                <w:rFonts w:hint="eastAsia" w:ascii="Times New Roman" w:hAnsi="Times New Roman" w:eastAsia="仿宋_GB2312" w:cs="Times New Roman"/>
                <w:kern w:val="0"/>
                <w:szCs w:val="21"/>
                <w:lang w:val="en-US" w:eastAsia="zh-CN"/>
              </w:rPr>
              <w:t>508.47</w:t>
            </w:r>
          </w:p>
        </w:tc>
      </w:tr>
    </w:tbl>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注：本表反映部门本年度的总收支和年末结转结余情况。</w:t>
      </w:r>
    </w:p>
    <w:p>
      <w:pPr>
        <w:widowControl/>
        <w:jc w:val="left"/>
        <w:rPr>
          <w:rFonts w:ascii="黑体" w:hAnsi="黑体" w:eastAsia="黑体"/>
          <w:sz w:val="28"/>
          <w:szCs w:val="28"/>
        </w:rPr>
        <w:sectPr>
          <w:pgSz w:w="16838" w:h="11906" w:orient="landscape"/>
          <w:pgMar w:top="1797" w:right="1440" w:bottom="1797" w:left="1440" w:header="851" w:footer="992" w:gutter="0"/>
          <w:cols w:space="425" w:num="1"/>
          <w:docGrid w:type="linesAndChars" w:linePitch="312" w:charSpace="0"/>
        </w:sectPr>
      </w:pPr>
      <w:r>
        <w:rPr>
          <w:rFonts w:ascii="Times New Roman" w:hAnsi="Times New Roman" w:eastAsia="黑体" w:cs="Times New Roman"/>
          <w:bCs/>
          <w:kern w:val="0"/>
          <w:sz w:val="32"/>
          <w:szCs w:val="32"/>
        </w:rPr>
        <w:br w:type="page"/>
      </w:r>
    </w:p>
    <w:p>
      <w:pPr>
        <w:widowControl/>
        <w:jc w:val="center"/>
        <w:rPr>
          <w:rFonts w:ascii="Times New Roman" w:hAnsi="Times New Roman" w:eastAsia="方正小标宋_GBK" w:cs="Times New Roman"/>
          <w:color w:val="000000"/>
          <w:kern w:val="0"/>
          <w:sz w:val="36"/>
          <w:szCs w:val="36"/>
        </w:rPr>
      </w:pPr>
      <w:r>
        <w:rPr>
          <w:rFonts w:ascii="Times New Roman" w:hAnsi="Times New Roman" w:eastAsia="方正小标宋_GBK" w:cs="Times New Roman"/>
          <w:color w:val="000000"/>
          <w:kern w:val="0"/>
          <w:sz w:val="36"/>
          <w:szCs w:val="36"/>
        </w:rPr>
        <w:t>收入决算表</w:t>
      </w:r>
    </w:p>
    <w:p>
      <w:pPr>
        <w:widowControl/>
        <w:ind w:firstLine="630" w:firstLineChars="300"/>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部门： </w:t>
      </w:r>
      <w:r>
        <w:rPr>
          <w:rFonts w:hint="eastAsia" w:ascii="Times New Roman" w:hAnsi="Times New Roman" w:eastAsia="仿宋_GB2312" w:cs="Times New Roman"/>
          <w:color w:val="000000"/>
          <w:kern w:val="0"/>
          <w:szCs w:val="21"/>
          <w:lang w:eastAsia="zh-CN"/>
        </w:rPr>
        <w:t>中共蓝山县委组织部</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 xml:space="preserve"> 公开02表</w:t>
      </w:r>
    </w:p>
    <w:p>
      <w:pPr>
        <w:widowControl/>
        <w:ind w:right="630"/>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单位：万元</w:t>
      </w:r>
    </w:p>
    <w:tbl>
      <w:tblPr>
        <w:tblStyle w:val="7"/>
        <w:tblW w:w="13813" w:type="dxa"/>
        <w:jc w:val="center"/>
        <w:tblLayout w:type="fixed"/>
        <w:tblCellMar>
          <w:top w:w="0" w:type="dxa"/>
          <w:left w:w="108" w:type="dxa"/>
          <w:bottom w:w="0" w:type="dxa"/>
          <w:right w:w="108" w:type="dxa"/>
        </w:tblCellMar>
      </w:tblPr>
      <w:tblGrid>
        <w:gridCol w:w="1197"/>
        <w:gridCol w:w="1443"/>
        <w:gridCol w:w="1421"/>
        <w:gridCol w:w="1595"/>
        <w:gridCol w:w="1676"/>
        <w:gridCol w:w="1382"/>
        <w:gridCol w:w="1412"/>
        <w:gridCol w:w="1676"/>
        <w:gridCol w:w="2011"/>
      </w:tblGrid>
      <w:tr>
        <w:trPr>
          <w:trHeight w:val="450" w:hRule="atLeast"/>
          <w:jc w:val="center"/>
        </w:trPr>
        <w:tc>
          <w:tcPr>
            <w:tcW w:w="2640" w:type="dxa"/>
            <w:gridSpan w:val="2"/>
            <w:tcBorders>
              <w:top w:val="single" w:color="auto" w:sz="8" w:space="0"/>
              <w:left w:val="single" w:color="auto" w:sz="8" w:space="0"/>
              <w:bottom w:val="single" w:color="auto" w:sz="4" w:space="0"/>
              <w:right w:val="nil"/>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项    目</w:t>
            </w:r>
          </w:p>
        </w:tc>
        <w:tc>
          <w:tcPr>
            <w:tcW w:w="1421" w:type="dxa"/>
            <w:vMerge w:val="restart"/>
            <w:tcBorders>
              <w:top w:val="single" w:color="auto" w:sz="8"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本年收入合计</w:t>
            </w:r>
          </w:p>
        </w:tc>
        <w:tc>
          <w:tcPr>
            <w:tcW w:w="1595" w:type="dxa"/>
            <w:vMerge w:val="restart"/>
            <w:tcBorders>
              <w:top w:val="single" w:color="auto" w:sz="8"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财政拨款收入</w:t>
            </w:r>
          </w:p>
        </w:tc>
        <w:tc>
          <w:tcPr>
            <w:tcW w:w="1676" w:type="dxa"/>
            <w:vMerge w:val="restart"/>
            <w:tcBorders>
              <w:top w:val="single" w:color="auto" w:sz="8"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上级补助收入</w:t>
            </w:r>
          </w:p>
        </w:tc>
        <w:tc>
          <w:tcPr>
            <w:tcW w:w="1382" w:type="dxa"/>
            <w:vMerge w:val="restart"/>
            <w:tcBorders>
              <w:top w:val="single" w:color="auto" w:sz="8"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事业收入</w:t>
            </w:r>
          </w:p>
        </w:tc>
        <w:tc>
          <w:tcPr>
            <w:tcW w:w="1412" w:type="dxa"/>
            <w:vMerge w:val="restart"/>
            <w:tcBorders>
              <w:top w:val="single" w:color="auto" w:sz="8"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经营收入</w:t>
            </w:r>
          </w:p>
        </w:tc>
        <w:tc>
          <w:tcPr>
            <w:tcW w:w="1676" w:type="dxa"/>
            <w:vMerge w:val="restart"/>
            <w:tcBorders>
              <w:top w:val="single" w:color="auto" w:sz="8"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附属单位上缴收入</w:t>
            </w:r>
          </w:p>
        </w:tc>
        <w:tc>
          <w:tcPr>
            <w:tcW w:w="2011" w:type="dxa"/>
            <w:vMerge w:val="restart"/>
            <w:tcBorders>
              <w:top w:val="single" w:color="auto" w:sz="8" w:space="0"/>
              <w:left w:val="single" w:color="auto" w:sz="4" w:space="0"/>
              <w:bottom w:val="single" w:color="000000" w:sz="4" w:space="0"/>
              <w:right w:val="single" w:color="auto"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其他收入</w:t>
            </w:r>
          </w:p>
        </w:tc>
      </w:tr>
      <w:tr>
        <w:trPr>
          <w:trHeight w:val="450" w:hRule="atLeast"/>
          <w:jc w:val="center"/>
        </w:trPr>
        <w:tc>
          <w:tcPr>
            <w:tcW w:w="1197" w:type="dxa"/>
            <w:vMerge w:val="restart"/>
            <w:tcBorders>
              <w:top w:val="single" w:color="auto" w:sz="4" w:space="0"/>
              <w:left w:val="single" w:color="auto" w:sz="8" w:space="0"/>
              <w:bottom w:val="single" w:color="000000" w:sz="4" w:space="0"/>
              <w:right w:val="nil"/>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功能分类科目编码</w:t>
            </w:r>
          </w:p>
        </w:tc>
        <w:tc>
          <w:tcPr>
            <w:tcW w:w="144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科目名称</w:t>
            </w:r>
          </w:p>
        </w:tc>
        <w:tc>
          <w:tcPr>
            <w:tcW w:w="1421"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595"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676"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382"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412"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676"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2011" w:type="dxa"/>
            <w:vMerge w:val="continue"/>
            <w:tcBorders>
              <w:top w:val="single" w:color="auto" w:sz="8" w:space="0"/>
              <w:left w:val="single" w:color="auto" w:sz="4" w:space="0"/>
              <w:bottom w:val="single" w:color="000000" w:sz="4" w:space="0"/>
              <w:right w:val="single" w:color="auto" w:sz="8" w:space="0"/>
            </w:tcBorders>
            <w:vAlign w:val="center"/>
          </w:tcPr>
          <w:p>
            <w:pPr>
              <w:widowControl/>
              <w:jc w:val="left"/>
              <w:rPr>
                <w:rFonts w:ascii="Times New Roman" w:hAnsi="Times New Roman" w:eastAsia="仿宋_GB2312" w:cs="Times New Roman"/>
                <w:kern w:val="0"/>
                <w:szCs w:val="21"/>
              </w:rPr>
            </w:pPr>
          </w:p>
        </w:tc>
      </w:tr>
      <w:tr>
        <w:trPr>
          <w:trHeight w:val="450" w:hRule="atLeast"/>
          <w:jc w:val="center"/>
        </w:trPr>
        <w:tc>
          <w:tcPr>
            <w:tcW w:w="1197" w:type="dxa"/>
            <w:vMerge w:val="continue"/>
            <w:tcBorders>
              <w:top w:val="single" w:color="auto" w:sz="4" w:space="0"/>
              <w:left w:val="single" w:color="auto" w:sz="8" w:space="0"/>
              <w:bottom w:val="single" w:color="000000" w:sz="4" w:space="0"/>
              <w:right w:val="nil"/>
            </w:tcBorders>
            <w:vAlign w:val="center"/>
          </w:tcPr>
          <w:p>
            <w:pPr>
              <w:widowControl/>
              <w:jc w:val="left"/>
              <w:rPr>
                <w:rFonts w:ascii="Times New Roman" w:hAnsi="Times New Roman" w:eastAsia="仿宋_GB2312" w:cs="Times New Roman"/>
                <w:kern w:val="0"/>
                <w:szCs w:val="21"/>
              </w:rPr>
            </w:pPr>
          </w:p>
        </w:tc>
        <w:tc>
          <w:tcPr>
            <w:tcW w:w="1443"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421"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595"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676"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382"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412"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676"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2011" w:type="dxa"/>
            <w:vMerge w:val="continue"/>
            <w:tcBorders>
              <w:top w:val="single" w:color="auto" w:sz="8" w:space="0"/>
              <w:left w:val="single" w:color="auto" w:sz="4" w:space="0"/>
              <w:bottom w:val="single" w:color="000000" w:sz="4" w:space="0"/>
              <w:right w:val="single" w:color="auto" w:sz="8" w:space="0"/>
            </w:tcBorders>
            <w:vAlign w:val="center"/>
          </w:tcPr>
          <w:p>
            <w:pPr>
              <w:widowControl/>
              <w:jc w:val="left"/>
              <w:rPr>
                <w:rFonts w:ascii="Times New Roman" w:hAnsi="Times New Roman" w:eastAsia="仿宋_GB2312" w:cs="Times New Roman"/>
                <w:kern w:val="0"/>
                <w:szCs w:val="21"/>
              </w:rPr>
            </w:pPr>
          </w:p>
        </w:tc>
      </w:tr>
      <w:tr>
        <w:trPr>
          <w:trHeight w:val="450" w:hRule="atLeast"/>
          <w:jc w:val="center"/>
        </w:trPr>
        <w:tc>
          <w:tcPr>
            <w:tcW w:w="2640" w:type="dxa"/>
            <w:gridSpan w:val="2"/>
            <w:tcBorders>
              <w:top w:val="single" w:color="auto" w:sz="4" w:space="0"/>
              <w:left w:val="single" w:color="auto" w:sz="8" w:space="0"/>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栏次</w:t>
            </w:r>
          </w:p>
        </w:tc>
        <w:tc>
          <w:tcPr>
            <w:tcW w:w="142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15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5</w:t>
            </w:r>
          </w:p>
        </w:tc>
        <w:tc>
          <w:tcPr>
            <w:tcW w:w="167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6</w:t>
            </w:r>
          </w:p>
        </w:tc>
        <w:tc>
          <w:tcPr>
            <w:tcW w:w="2011"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7</w:t>
            </w:r>
          </w:p>
        </w:tc>
      </w:tr>
      <w:tr>
        <w:trPr>
          <w:trHeight w:val="450" w:hRule="atLeast"/>
          <w:jc w:val="center"/>
        </w:trPr>
        <w:tc>
          <w:tcPr>
            <w:tcW w:w="2640" w:type="dxa"/>
            <w:gridSpan w:val="2"/>
            <w:tcBorders>
              <w:top w:val="nil"/>
              <w:left w:val="single" w:color="auto" w:sz="8" w:space="0"/>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合计</w:t>
            </w:r>
          </w:p>
        </w:tc>
        <w:tc>
          <w:tcPr>
            <w:tcW w:w="142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59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676"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8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41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11" w:type="dxa"/>
            <w:tcBorders>
              <w:top w:val="nil"/>
              <w:left w:val="nil"/>
              <w:bottom w:val="single" w:color="auto" w:sz="4" w:space="0"/>
              <w:right w:val="single" w:color="auto" w:sz="8"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0" w:hRule="atLeast"/>
          <w:jc w:val="center"/>
        </w:trPr>
        <w:tc>
          <w:tcPr>
            <w:tcW w:w="1197"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201</w:t>
            </w:r>
          </w:p>
        </w:tc>
        <w:tc>
          <w:tcPr>
            <w:tcW w:w="1443" w:type="dxa"/>
            <w:tcBorders>
              <w:top w:val="nil"/>
              <w:left w:val="nil"/>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eastAsia="zh-CN"/>
              </w:rPr>
              <w:t>一般公共服务支出</w:t>
            </w:r>
          </w:p>
        </w:tc>
        <w:tc>
          <w:tcPr>
            <w:tcW w:w="142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59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676"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8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41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11" w:type="dxa"/>
            <w:tcBorders>
              <w:top w:val="nil"/>
              <w:left w:val="nil"/>
              <w:bottom w:val="single" w:color="auto" w:sz="4" w:space="0"/>
              <w:right w:val="single" w:color="auto" w:sz="8"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0" w:hRule="atLeast"/>
          <w:jc w:val="center"/>
        </w:trPr>
        <w:tc>
          <w:tcPr>
            <w:tcW w:w="1197"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20132</w:t>
            </w:r>
          </w:p>
        </w:tc>
        <w:tc>
          <w:tcPr>
            <w:tcW w:w="1443" w:type="dxa"/>
            <w:tcBorders>
              <w:top w:val="nil"/>
              <w:left w:val="nil"/>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eastAsia="zh-CN"/>
              </w:rPr>
              <w:t>组织事务</w:t>
            </w:r>
          </w:p>
        </w:tc>
        <w:tc>
          <w:tcPr>
            <w:tcW w:w="142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59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676"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8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41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11" w:type="dxa"/>
            <w:tcBorders>
              <w:top w:val="nil"/>
              <w:left w:val="nil"/>
              <w:bottom w:val="single" w:color="auto" w:sz="4" w:space="0"/>
              <w:right w:val="single" w:color="auto" w:sz="8"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0" w:hRule="atLeast"/>
          <w:jc w:val="center"/>
        </w:trPr>
        <w:tc>
          <w:tcPr>
            <w:tcW w:w="1197"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2013201</w:t>
            </w:r>
          </w:p>
        </w:tc>
        <w:tc>
          <w:tcPr>
            <w:tcW w:w="1443" w:type="dxa"/>
            <w:tcBorders>
              <w:top w:val="nil"/>
              <w:left w:val="nil"/>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eastAsia="zh-CN"/>
              </w:rPr>
              <w:t>行政运行</w:t>
            </w:r>
          </w:p>
        </w:tc>
        <w:tc>
          <w:tcPr>
            <w:tcW w:w="142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59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676"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8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41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11" w:type="dxa"/>
            <w:tcBorders>
              <w:top w:val="nil"/>
              <w:left w:val="nil"/>
              <w:bottom w:val="single" w:color="auto" w:sz="4" w:space="0"/>
              <w:right w:val="single" w:color="auto" w:sz="8"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0" w:hRule="atLeast"/>
          <w:jc w:val="center"/>
        </w:trPr>
        <w:tc>
          <w:tcPr>
            <w:tcW w:w="1197"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443"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42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9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8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41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11" w:type="dxa"/>
            <w:tcBorders>
              <w:top w:val="nil"/>
              <w:left w:val="nil"/>
              <w:bottom w:val="single" w:color="auto" w:sz="4" w:space="0"/>
              <w:right w:val="single" w:color="auto" w:sz="8"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0" w:hRule="atLeast"/>
          <w:jc w:val="center"/>
        </w:trPr>
        <w:tc>
          <w:tcPr>
            <w:tcW w:w="1197"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443"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42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9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8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41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11" w:type="dxa"/>
            <w:tcBorders>
              <w:top w:val="nil"/>
              <w:left w:val="nil"/>
              <w:bottom w:val="single" w:color="auto" w:sz="4" w:space="0"/>
              <w:right w:val="single" w:color="auto" w:sz="8"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0" w:hRule="atLeast"/>
          <w:jc w:val="center"/>
        </w:trPr>
        <w:tc>
          <w:tcPr>
            <w:tcW w:w="1197" w:type="dxa"/>
            <w:tcBorders>
              <w:top w:val="single" w:color="auto" w:sz="4" w:space="0"/>
              <w:left w:val="single" w:color="auto" w:sz="8" w:space="0"/>
              <w:bottom w:val="single" w:color="auto" w:sz="8"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443" w:type="dxa"/>
            <w:tcBorders>
              <w:top w:val="nil"/>
              <w:left w:val="nil"/>
              <w:bottom w:val="single" w:color="auto" w:sz="8"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421" w:type="dxa"/>
            <w:tcBorders>
              <w:top w:val="nil"/>
              <w:left w:val="nil"/>
              <w:bottom w:val="single" w:color="auto" w:sz="8"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95" w:type="dxa"/>
            <w:tcBorders>
              <w:top w:val="nil"/>
              <w:left w:val="nil"/>
              <w:bottom w:val="single" w:color="auto" w:sz="8"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8"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82" w:type="dxa"/>
            <w:tcBorders>
              <w:top w:val="nil"/>
              <w:left w:val="nil"/>
              <w:bottom w:val="single" w:color="auto" w:sz="8"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412" w:type="dxa"/>
            <w:tcBorders>
              <w:top w:val="nil"/>
              <w:left w:val="nil"/>
              <w:bottom w:val="single" w:color="auto" w:sz="8"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76" w:type="dxa"/>
            <w:tcBorders>
              <w:top w:val="nil"/>
              <w:left w:val="nil"/>
              <w:bottom w:val="single" w:color="auto" w:sz="8" w:space="0"/>
              <w:right w:val="single" w:color="auto" w:sz="4"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11" w:type="dxa"/>
            <w:tcBorders>
              <w:top w:val="nil"/>
              <w:left w:val="nil"/>
              <w:bottom w:val="single" w:color="auto" w:sz="8" w:space="0"/>
              <w:right w:val="single" w:color="auto" w:sz="8" w:space="0"/>
            </w:tcBorders>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615" w:hRule="atLeast"/>
          <w:jc w:val="center"/>
        </w:trPr>
        <w:tc>
          <w:tcPr>
            <w:tcW w:w="13813" w:type="dxa"/>
            <w:gridSpan w:val="9"/>
            <w:tcBorders>
              <w:top w:val="single" w:color="auto" w:sz="8" w:space="0"/>
              <w:left w:val="nil"/>
              <w:bottom w:val="nil"/>
              <w:right w:val="nil"/>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注：本表反映部门本年度取得的各项收入情况。</w:t>
            </w:r>
          </w:p>
        </w:tc>
      </w:tr>
    </w:tbl>
    <w:p>
      <w:pPr>
        <w:widowControl/>
        <w:jc w:val="left"/>
        <w:rPr>
          <w:rFonts w:ascii="Times New Roman" w:hAnsi="Times New Roman" w:eastAsia="黑体" w:cs="Times New Roman"/>
          <w:bCs/>
          <w:kern w:val="0"/>
          <w:sz w:val="32"/>
          <w:szCs w:val="32"/>
        </w:rPr>
      </w:pPr>
    </w:p>
    <w:p>
      <w:pPr>
        <w:widowControl/>
        <w:jc w:val="left"/>
        <w:rPr>
          <w:rFonts w:ascii="Times New Roman" w:hAnsi="Times New Roman" w:eastAsia="黑体" w:cs="Times New Roman"/>
          <w:bCs/>
          <w:kern w:val="0"/>
          <w:sz w:val="32"/>
          <w:szCs w:val="32"/>
        </w:rPr>
      </w:pPr>
      <w:r>
        <w:rPr>
          <w:rFonts w:ascii="Times New Roman" w:hAnsi="Times New Roman" w:eastAsia="黑体" w:cs="Times New Roman"/>
          <w:bCs/>
          <w:kern w:val="0"/>
          <w:sz w:val="32"/>
          <w:szCs w:val="32"/>
        </w:rPr>
        <w:br w:type="page"/>
      </w:r>
    </w:p>
    <w:p>
      <w:pPr>
        <w:widowControl/>
        <w:rPr>
          <w:rFonts w:ascii="Times New Roman" w:hAnsi="Times New Roman" w:eastAsia="方正小标宋_GBK" w:cs="Times New Roman"/>
          <w:color w:val="000000"/>
          <w:kern w:val="0"/>
          <w:sz w:val="36"/>
          <w:szCs w:val="36"/>
        </w:rPr>
      </w:pPr>
    </w:p>
    <w:p>
      <w:pPr>
        <w:widowControl/>
        <w:jc w:val="center"/>
        <w:rPr>
          <w:rFonts w:ascii="Times New Roman" w:hAnsi="Times New Roman" w:eastAsia="方正小标宋_GBK" w:cs="Times New Roman"/>
          <w:color w:val="000000"/>
          <w:kern w:val="0"/>
          <w:sz w:val="36"/>
          <w:szCs w:val="36"/>
        </w:rPr>
      </w:pPr>
      <w:r>
        <w:rPr>
          <w:rFonts w:ascii="Times New Roman" w:hAnsi="Times New Roman" w:eastAsia="方正小标宋_GBK" w:cs="Times New Roman"/>
          <w:color w:val="000000"/>
          <w:kern w:val="0"/>
          <w:sz w:val="36"/>
          <w:szCs w:val="36"/>
        </w:rPr>
        <w:t>支出决算表</w:t>
      </w:r>
    </w:p>
    <w:p>
      <w:pPr>
        <w:widowControl/>
        <w:spacing w:line="400" w:lineRule="exact"/>
        <w:ind w:firstLine="600" w:firstLineChars="300"/>
        <w:jc w:val="left"/>
        <w:rPr>
          <w:rFonts w:ascii="Times New Roman" w:hAnsi="Times New Roman" w:eastAsia="仿宋_GB2312" w:cs="Times New Roman"/>
          <w:color w:val="000000"/>
          <w:kern w:val="0"/>
          <w:sz w:val="20"/>
          <w:szCs w:val="20"/>
        </w:rPr>
      </w:pPr>
      <w:r>
        <w:rPr>
          <w:rFonts w:ascii="Times New Roman" w:hAnsi="Times New Roman" w:eastAsia="仿宋_GB2312" w:cs="Times New Roman"/>
          <w:color w:val="000000"/>
          <w:kern w:val="0"/>
          <w:sz w:val="20"/>
          <w:szCs w:val="20"/>
        </w:rPr>
        <w:t>部门：</w:t>
      </w:r>
      <w:r>
        <w:rPr>
          <w:rFonts w:hint="eastAsia" w:ascii="Times New Roman" w:hAnsi="Times New Roman" w:eastAsia="仿宋_GB2312" w:cs="Times New Roman"/>
          <w:color w:val="000000"/>
          <w:kern w:val="0"/>
          <w:szCs w:val="21"/>
          <w:lang w:eastAsia="zh-CN"/>
        </w:rPr>
        <w:t>中共蓝山县委组织部</w:t>
      </w:r>
      <w:r>
        <w:rPr>
          <w:rFonts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 w:val="20"/>
          <w:szCs w:val="20"/>
        </w:rPr>
        <w:t xml:space="preserve">                                                                                           </w:t>
      </w:r>
      <w:r>
        <w:rPr>
          <w:rFonts w:hint="eastAsia" w:ascii="Times New Roman" w:hAnsi="Times New Roman" w:eastAsia="仿宋_GB2312" w:cs="Times New Roman"/>
          <w:color w:val="000000"/>
          <w:kern w:val="0"/>
          <w:sz w:val="20"/>
          <w:szCs w:val="20"/>
          <w:lang w:val="en-US" w:eastAsia="zh-CN"/>
        </w:rPr>
        <w:t xml:space="preserve">  </w:t>
      </w:r>
      <w:r>
        <w:rPr>
          <w:rFonts w:ascii="Times New Roman" w:hAnsi="Times New Roman" w:eastAsia="仿宋_GB2312" w:cs="Times New Roman"/>
          <w:color w:val="000000"/>
          <w:kern w:val="0"/>
          <w:sz w:val="20"/>
          <w:szCs w:val="20"/>
        </w:rPr>
        <w:t xml:space="preserve">           公开03表</w:t>
      </w:r>
    </w:p>
    <w:p>
      <w:pPr>
        <w:widowControl/>
        <w:spacing w:line="400" w:lineRule="exact"/>
        <w:ind w:right="700"/>
        <w:jc w:val="right"/>
        <w:rPr>
          <w:rFonts w:ascii="Times New Roman" w:hAnsi="Times New Roman" w:eastAsia="仿宋_GB2312" w:cs="Times New Roman"/>
          <w:color w:val="000000"/>
          <w:kern w:val="0"/>
          <w:sz w:val="20"/>
          <w:szCs w:val="20"/>
        </w:rPr>
      </w:pPr>
      <w:r>
        <w:rPr>
          <w:rFonts w:ascii="Times New Roman" w:hAnsi="Times New Roman" w:eastAsia="仿宋_GB2312" w:cs="Times New Roman"/>
          <w:color w:val="000000"/>
          <w:kern w:val="0"/>
          <w:sz w:val="20"/>
          <w:szCs w:val="20"/>
        </w:rPr>
        <w:t>单位：万元</w:t>
      </w:r>
    </w:p>
    <w:tbl>
      <w:tblPr>
        <w:tblStyle w:val="7"/>
        <w:tblW w:w="1408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02"/>
        <w:gridCol w:w="1511"/>
        <w:gridCol w:w="1513"/>
        <w:gridCol w:w="1985"/>
        <w:gridCol w:w="1842"/>
        <w:gridCol w:w="1843"/>
        <w:gridCol w:w="1985"/>
        <w:gridCol w:w="23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2613" w:type="dxa"/>
            <w:gridSpan w:val="2"/>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项    目</w:t>
            </w:r>
          </w:p>
        </w:tc>
        <w:tc>
          <w:tcPr>
            <w:tcW w:w="1513"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本年支出合计</w:t>
            </w:r>
          </w:p>
        </w:tc>
        <w:tc>
          <w:tcPr>
            <w:tcW w:w="1985"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基本支出</w:t>
            </w:r>
          </w:p>
        </w:tc>
        <w:tc>
          <w:tcPr>
            <w:tcW w:w="1842"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项目支出</w:t>
            </w:r>
          </w:p>
        </w:tc>
        <w:tc>
          <w:tcPr>
            <w:tcW w:w="1843"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上缴上级支出</w:t>
            </w:r>
          </w:p>
        </w:tc>
        <w:tc>
          <w:tcPr>
            <w:tcW w:w="1985"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经营支出</w:t>
            </w:r>
          </w:p>
        </w:tc>
        <w:tc>
          <w:tcPr>
            <w:tcW w:w="2308"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对附属单位补助支出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功能分类科目编码</w:t>
            </w:r>
          </w:p>
        </w:tc>
        <w:tc>
          <w:tcPr>
            <w:tcW w:w="1511" w:type="dxa"/>
            <w:vMerge w:val="restart"/>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科目名称</w:t>
            </w:r>
          </w:p>
        </w:tc>
        <w:tc>
          <w:tcPr>
            <w:tcW w:w="1513"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985"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842"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843"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985"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2308" w:type="dxa"/>
            <w:vMerge w:val="continue"/>
            <w:shd w:val="clear" w:color="auto" w:fill="auto"/>
            <w:vAlign w:val="center"/>
          </w:tcPr>
          <w:p>
            <w:pPr>
              <w:widowControl/>
              <w:jc w:val="left"/>
              <w:rPr>
                <w:rFonts w:ascii="Times New Roman" w:hAnsi="Times New Roman" w:eastAsia="仿宋_GB2312"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511"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513"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985"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842"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843"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1985" w:type="dxa"/>
            <w:vMerge w:val="continue"/>
            <w:shd w:val="clear" w:color="auto" w:fill="auto"/>
            <w:vAlign w:val="center"/>
          </w:tcPr>
          <w:p>
            <w:pPr>
              <w:widowControl/>
              <w:jc w:val="left"/>
              <w:rPr>
                <w:rFonts w:ascii="Times New Roman" w:hAnsi="Times New Roman" w:eastAsia="仿宋_GB2312" w:cs="Times New Roman"/>
                <w:kern w:val="0"/>
                <w:szCs w:val="21"/>
              </w:rPr>
            </w:pPr>
          </w:p>
        </w:tc>
        <w:tc>
          <w:tcPr>
            <w:tcW w:w="2308" w:type="dxa"/>
            <w:vMerge w:val="continue"/>
            <w:shd w:val="clear" w:color="auto" w:fill="auto"/>
            <w:vAlign w:val="center"/>
          </w:tcPr>
          <w:p>
            <w:pPr>
              <w:widowControl/>
              <w:jc w:val="left"/>
              <w:rPr>
                <w:rFonts w:ascii="Times New Roman" w:hAnsi="Times New Roman" w:eastAsia="仿宋_GB2312"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2613" w:type="dxa"/>
            <w:gridSpan w:val="2"/>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栏次</w:t>
            </w:r>
          </w:p>
        </w:tc>
        <w:tc>
          <w:tcPr>
            <w:tcW w:w="1513"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1985"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1842"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1843"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w:t>
            </w:r>
          </w:p>
        </w:tc>
        <w:tc>
          <w:tcPr>
            <w:tcW w:w="1985"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5</w:t>
            </w:r>
          </w:p>
        </w:tc>
        <w:tc>
          <w:tcPr>
            <w:tcW w:w="2308"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2613" w:type="dxa"/>
            <w:gridSpan w:val="2"/>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合计</w:t>
            </w:r>
          </w:p>
        </w:tc>
        <w:tc>
          <w:tcPr>
            <w:tcW w:w="1513"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84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3"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308"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201</w:t>
            </w:r>
          </w:p>
        </w:tc>
        <w:tc>
          <w:tcPr>
            <w:tcW w:w="1511" w:type="dxa"/>
            <w:shd w:val="clear" w:color="auto" w:fill="auto"/>
            <w:vAlign w:val="center"/>
          </w:tcPr>
          <w:p>
            <w:pPr>
              <w:widowControl/>
              <w:jc w:val="left"/>
              <w:rPr>
                <w:rFonts w:hint="eastAsia" w:ascii="Times New Roman" w:hAnsi="Times New Roman" w:eastAsia="仿宋_GB2312" w:cs="Times New Roman"/>
                <w:kern w:val="0"/>
                <w:szCs w:val="21"/>
                <w:lang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eastAsia="zh-CN"/>
              </w:rPr>
              <w:t>一般公共服务支出</w:t>
            </w:r>
          </w:p>
        </w:tc>
        <w:tc>
          <w:tcPr>
            <w:tcW w:w="1513"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84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3"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308"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20132</w:t>
            </w:r>
          </w:p>
        </w:tc>
        <w:tc>
          <w:tcPr>
            <w:tcW w:w="1511" w:type="dxa"/>
            <w:shd w:val="clear" w:color="auto" w:fill="auto"/>
            <w:vAlign w:val="center"/>
          </w:tcPr>
          <w:p>
            <w:pPr>
              <w:widowControl/>
              <w:jc w:val="left"/>
              <w:rPr>
                <w:rFonts w:hint="eastAsia" w:ascii="Times New Roman" w:hAnsi="Times New Roman" w:eastAsia="仿宋_GB2312" w:cs="Times New Roman"/>
                <w:kern w:val="0"/>
                <w:szCs w:val="21"/>
                <w:lang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eastAsia="zh-CN"/>
              </w:rPr>
              <w:t>组织事务</w:t>
            </w:r>
          </w:p>
        </w:tc>
        <w:tc>
          <w:tcPr>
            <w:tcW w:w="1513"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84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3"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308"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2013201</w:t>
            </w:r>
          </w:p>
        </w:tc>
        <w:tc>
          <w:tcPr>
            <w:tcW w:w="1511" w:type="dxa"/>
            <w:shd w:val="clear" w:color="auto" w:fill="auto"/>
            <w:vAlign w:val="center"/>
          </w:tcPr>
          <w:p>
            <w:pPr>
              <w:widowControl/>
              <w:jc w:val="left"/>
              <w:rPr>
                <w:rFonts w:hint="eastAsia" w:ascii="Times New Roman" w:hAnsi="Times New Roman" w:eastAsia="仿宋_GB2312" w:cs="Times New Roman"/>
                <w:kern w:val="0"/>
                <w:szCs w:val="21"/>
                <w:lang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eastAsia="zh-CN"/>
              </w:rPr>
              <w:t>行政运行</w:t>
            </w:r>
          </w:p>
        </w:tc>
        <w:tc>
          <w:tcPr>
            <w:tcW w:w="1513"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84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3"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308"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1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13"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3"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308"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1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13"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3"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308"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1102"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1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13"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43"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985"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308"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bl>
    <w:p>
      <w:pPr>
        <w:widowControl/>
        <w:ind w:firstLine="630" w:firstLineChars="300"/>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注：本表反映部门本年度各项支出情况。</w:t>
      </w:r>
    </w:p>
    <w:p>
      <w:pPr>
        <w:widowControl/>
        <w:jc w:val="left"/>
        <w:rPr>
          <w:rFonts w:ascii="Times New Roman" w:hAnsi="Times New Roman" w:eastAsia="仿宋_GB2312" w:cs="Times New Roman"/>
          <w:bCs/>
          <w:kern w:val="0"/>
          <w:szCs w:val="21"/>
        </w:rPr>
      </w:pPr>
      <w:r>
        <w:rPr>
          <w:rFonts w:ascii="Times New Roman" w:hAnsi="Times New Roman" w:eastAsia="仿宋_GB2312" w:cs="Times New Roman"/>
          <w:bCs/>
          <w:kern w:val="0"/>
          <w:szCs w:val="21"/>
        </w:rPr>
        <w:br w:type="page"/>
      </w:r>
    </w:p>
    <w:p>
      <w:pPr>
        <w:widowControl/>
        <w:ind w:left="93"/>
        <w:jc w:val="center"/>
        <w:rPr>
          <w:rFonts w:ascii="Times New Roman" w:hAnsi="Times New Roman" w:eastAsia="方正小标宋_GBK" w:cs="Times New Roman"/>
          <w:color w:val="000000"/>
          <w:kern w:val="0"/>
          <w:sz w:val="36"/>
          <w:szCs w:val="21"/>
        </w:rPr>
      </w:pPr>
      <w:r>
        <w:rPr>
          <w:rFonts w:ascii="Times New Roman" w:hAnsi="Times New Roman" w:eastAsia="方正小标宋_GBK" w:cs="Times New Roman"/>
          <w:color w:val="000000"/>
          <w:kern w:val="0"/>
          <w:sz w:val="36"/>
          <w:szCs w:val="21"/>
        </w:rPr>
        <w:t>财政拨款收入支出决算总表</w:t>
      </w:r>
    </w:p>
    <w:p>
      <w:pPr>
        <w:widowControl/>
        <w:tabs>
          <w:tab w:val="left" w:pos="4453"/>
          <w:tab w:val="left" w:pos="4933"/>
          <w:tab w:val="left" w:pos="6813"/>
          <w:tab w:val="left" w:pos="11113"/>
          <w:tab w:val="left" w:pos="11549"/>
          <w:tab w:val="left" w:pos="13429"/>
          <w:tab w:val="left" w:pos="15089"/>
        </w:tabs>
        <w:spacing w:line="240" w:lineRule="exact"/>
        <w:ind w:left="91" w:right="630"/>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公开04表</w:t>
      </w:r>
    </w:p>
    <w:p>
      <w:pPr>
        <w:widowControl/>
        <w:tabs>
          <w:tab w:val="left" w:pos="13725"/>
          <w:tab w:val="left" w:pos="13755"/>
          <w:tab w:val="left" w:pos="13800"/>
        </w:tabs>
        <w:spacing w:line="240" w:lineRule="exact"/>
        <w:ind w:left="91" w:firstLine="315" w:firstLineChars="150"/>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部门：</w:t>
      </w:r>
      <w:r>
        <w:rPr>
          <w:rFonts w:hint="eastAsia" w:ascii="Times New Roman" w:hAnsi="Times New Roman" w:eastAsia="仿宋_GB2312" w:cs="Times New Roman"/>
          <w:color w:val="000000"/>
          <w:kern w:val="0"/>
          <w:szCs w:val="21"/>
          <w:lang w:eastAsia="zh-CN"/>
        </w:rPr>
        <w:t>中共蓝山县委组织部</w:t>
      </w:r>
      <w:r>
        <w:rPr>
          <w:rFonts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 w:val="20"/>
          <w:szCs w:val="20"/>
        </w:rPr>
        <w:t xml:space="preserve"> </w:t>
      </w:r>
      <w:r>
        <w:rPr>
          <w:rFonts w:ascii="Times New Roman" w:hAnsi="Times New Roman" w:eastAsia="仿宋_GB2312" w:cs="Times New Roman"/>
          <w:color w:val="000000"/>
          <w:kern w:val="0"/>
          <w:szCs w:val="21"/>
        </w:rPr>
        <w:tab/>
      </w:r>
      <w:r>
        <w:rPr>
          <w:rFonts w:ascii="Times New Roman" w:hAnsi="Times New Roman" w:eastAsia="仿宋_GB2312" w:cs="Times New Roman"/>
          <w:color w:val="000000"/>
          <w:kern w:val="0"/>
          <w:szCs w:val="21"/>
        </w:rPr>
        <w:t>单位：万元</w:t>
      </w:r>
    </w:p>
    <w:tbl>
      <w:tblPr>
        <w:tblStyle w:val="7"/>
        <w:tblW w:w="1465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994"/>
        <w:gridCol w:w="480"/>
        <w:gridCol w:w="1880"/>
        <w:gridCol w:w="3761"/>
        <w:gridCol w:w="430"/>
        <w:gridCol w:w="1880"/>
        <w:gridCol w:w="1660"/>
        <w:gridCol w:w="15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62" w:hRule="atLeast"/>
          <w:jc w:val="center"/>
        </w:trPr>
        <w:tc>
          <w:tcPr>
            <w:tcW w:w="5354" w:type="dxa"/>
            <w:gridSpan w:val="3"/>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收入</w:t>
            </w:r>
          </w:p>
        </w:tc>
        <w:tc>
          <w:tcPr>
            <w:tcW w:w="9303" w:type="dxa"/>
            <w:gridSpan w:val="5"/>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支出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93" w:hRule="atLeast"/>
          <w:jc w:val="center"/>
        </w:trPr>
        <w:tc>
          <w:tcPr>
            <w:tcW w:w="2994"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项    目</w:t>
            </w:r>
          </w:p>
        </w:tc>
        <w:tc>
          <w:tcPr>
            <w:tcW w:w="480"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行次</w:t>
            </w:r>
          </w:p>
        </w:tc>
        <w:tc>
          <w:tcPr>
            <w:tcW w:w="1880"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金额</w:t>
            </w:r>
          </w:p>
        </w:tc>
        <w:tc>
          <w:tcPr>
            <w:tcW w:w="3761"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项    目</w:t>
            </w:r>
          </w:p>
        </w:tc>
        <w:tc>
          <w:tcPr>
            <w:tcW w:w="430"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行次</w:t>
            </w:r>
          </w:p>
        </w:tc>
        <w:tc>
          <w:tcPr>
            <w:tcW w:w="1880"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合计</w:t>
            </w:r>
          </w:p>
        </w:tc>
        <w:tc>
          <w:tcPr>
            <w:tcW w:w="1660"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一般公共预算财政拨款</w:t>
            </w:r>
          </w:p>
        </w:tc>
        <w:tc>
          <w:tcPr>
            <w:tcW w:w="1572" w:type="dxa"/>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政府性基金预算财政拨款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栏    次</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3761"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栏    次</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1572"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一、一般公共预算财政拨款</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一、一般公共服务支出</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15</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508.47</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57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二、政府性基金预算财政拨款</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二、外交支出</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16</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三、国防支出</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17</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四、公共安全支出</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18</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5</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五、教育支出</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19</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6</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六、科学技术支出</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20</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7</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七、</w:t>
            </w:r>
            <w:r>
              <w:rPr>
                <w:rFonts w:ascii="Times New Roman" w:hAnsi="Times New Roman" w:eastAsia="仿宋_GB2312" w:cs="Times New Roman"/>
                <w:kern w:val="0"/>
                <w:szCs w:val="21"/>
              </w:rPr>
              <w:t>…</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21</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8</w:t>
            </w:r>
          </w:p>
        </w:tc>
        <w:tc>
          <w:tcPr>
            <w:tcW w:w="188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22</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本年收入合计</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9</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3761" w:type="dxa"/>
            <w:shd w:val="clear" w:color="auto" w:fill="auto"/>
            <w:vAlign w:val="center"/>
          </w:tcPr>
          <w:p>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本年支出合计</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23</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508.47</w:t>
            </w:r>
          </w:p>
        </w:tc>
        <w:tc>
          <w:tcPr>
            <w:tcW w:w="1572" w:type="dxa"/>
            <w:shd w:val="clear" w:color="auto" w:fill="auto"/>
            <w:vAlign w:val="center"/>
          </w:tcPr>
          <w:p>
            <w:pPr>
              <w:widowControl/>
              <w:jc w:val="left"/>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年初财政拨款结转和结余</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10</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年末财政拨款结转和结余</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24</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一、</w:t>
            </w:r>
            <w:r>
              <w:rPr>
                <w:rFonts w:ascii="Times New Roman" w:hAnsi="Times New Roman" w:eastAsia="仿宋_GB2312" w:cs="Times New Roman"/>
                <w:kern w:val="0"/>
                <w:szCs w:val="21"/>
              </w:rPr>
              <w:t>一般公共预算财政拨款</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11</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25</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二、</w:t>
            </w:r>
            <w:r>
              <w:rPr>
                <w:rFonts w:ascii="Times New Roman" w:hAnsi="Times New Roman" w:eastAsia="仿宋_GB2312" w:cs="Times New Roman"/>
                <w:kern w:val="0"/>
                <w:szCs w:val="21"/>
              </w:rPr>
              <w:t>政府性基金预算财政拨款</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12</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26</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13</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761"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27</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572"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atLeast"/>
          <w:jc w:val="center"/>
        </w:trPr>
        <w:tc>
          <w:tcPr>
            <w:tcW w:w="2994" w:type="dxa"/>
            <w:shd w:val="clear" w:color="auto" w:fill="auto"/>
            <w:vAlign w:val="center"/>
          </w:tcPr>
          <w:p>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总计</w:t>
            </w:r>
          </w:p>
        </w:tc>
        <w:tc>
          <w:tcPr>
            <w:tcW w:w="4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14</w:t>
            </w:r>
          </w:p>
        </w:tc>
        <w:tc>
          <w:tcPr>
            <w:tcW w:w="1880" w:type="dxa"/>
            <w:shd w:val="clear" w:color="auto" w:fill="auto"/>
            <w:vAlign w:val="center"/>
          </w:tcPr>
          <w:p>
            <w:pPr>
              <w:widowControl/>
              <w:jc w:val="right"/>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3761" w:type="dxa"/>
            <w:shd w:val="clear" w:color="auto" w:fill="auto"/>
            <w:vAlign w:val="center"/>
          </w:tcPr>
          <w:p>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总计</w:t>
            </w:r>
          </w:p>
        </w:tc>
        <w:tc>
          <w:tcPr>
            <w:tcW w:w="43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28</w:t>
            </w:r>
          </w:p>
        </w:tc>
        <w:tc>
          <w:tcPr>
            <w:tcW w:w="188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508.47</w:t>
            </w:r>
          </w:p>
        </w:tc>
        <w:tc>
          <w:tcPr>
            <w:tcW w:w="1660" w:type="dxa"/>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1572" w:type="dxa"/>
            <w:shd w:val="clear" w:color="auto" w:fill="auto"/>
            <w:vAlign w:val="center"/>
          </w:tcPr>
          <w:p>
            <w:pPr>
              <w:widowControl/>
              <w:jc w:val="left"/>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　</w:t>
            </w:r>
          </w:p>
        </w:tc>
      </w:tr>
    </w:tbl>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注：本表反映部门本年度一般公共预算财政拨款和政府性基金预算财政拨款的总收支和年末结转结余情况。</w:t>
      </w:r>
    </w:p>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br w:type="page"/>
      </w:r>
    </w:p>
    <w:p>
      <w:pPr>
        <w:widowControl/>
        <w:jc w:val="center"/>
        <w:rPr>
          <w:rFonts w:ascii="Times New Roman" w:hAnsi="Times New Roman" w:eastAsia="方正小标宋_GBK" w:cs="Times New Roman"/>
          <w:kern w:val="0"/>
          <w:sz w:val="36"/>
          <w:szCs w:val="36"/>
        </w:rPr>
      </w:pPr>
      <w:bookmarkStart w:id="0" w:name="RANGE!A1:F16"/>
      <w:r>
        <w:rPr>
          <w:rFonts w:ascii="Times New Roman" w:hAnsi="Times New Roman" w:eastAsia="方正小标宋_GBK" w:cs="Times New Roman"/>
          <w:kern w:val="0"/>
          <w:sz w:val="36"/>
          <w:szCs w:val="36"/>
        </w:rPr>
        <w:t>一般公共预算财政拨款支出决算表</w:t>
      </w:r>
      <w:bookmarkEnd w:id="0"/>
    </w:p>
    <w:p>
      <w:pPr>
        <w:widowControl/>
        <w:spacing w:before="156" w:beforeLines="50"/>
        <w:jc w:val="left"/>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部门：</w:t>
      </w:r>
      <w:r>
        <w:rPr>
          <w:rFonts w:hint="eastAsia" w:ascii="Times New Roman" w:hAnsi="Times New Roman" w:eastAsia="仿宋_GB2312" w:cs="Times New Roman"/>
          <w:color w:val="000000"/>
          <w:kern w:val="0"/>
          <w:szCs w:val="21"/>
          <w:lang w:eastAsia="zh-CN"/>
        </w:rPr>
        <w:t>中共蓝山县委组织部</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 xml:space="preserve">                                     公开05表</w:t>
      </w:r>
    </w:p>
    <w:p>
      <w:pPr>
        <w:widowControl/>
        <w:jc w:val="left"/>
        <w:rPr>
          <w:rFonts w:ascii="Times New Roman" w:hAnsi="Times New Roman" w:eastAsia="宋体" w:cs="Times New Roman"/>
          <w:color w:val="000000"/>
          <w:kern w:val="0"/>
          <w:sz w:val="20"/>
          <w:szCs w:val="20"/>
        </w:rPr>
      </w:pP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 xml:space="preserve">       单位：万元</w:t>
      </w:r>
    </w:p>
    <w:tbl>
      <w:tblPr>
        <w:tblStyle w:val="7"/>
        <w:tblW w:w="14219" w:type="dxa"/>
        <w:jc w:val="center"/>
        <w:tblLayout w:type="fixed"/>
        <w:tblCellMar>
          <w:top w:w="0" w:type="dxa"/>
          <w:left w:w="108" w:type="dxa"/>
          <w:bottom w:w="0" w:type="dxa"/>
          <w:right w:w="108" w:type="dxa"/>
        </w:tblCellMar>
      </w:tblPr>
      <w:tblGrid>
        <w:gridCol w:w="1200"/>
        <w:gridCol w:w="3527"/>
        <w:gridCol w:w="3000"/>
        <w:gridCol w:w="3492"/>
        <w:gridCol w:w="3000"/>
      </w:tblGrid>
      <w:tr>
        <w:trPr>
          <w:trHeight w:val="405" w:hRule="atLeast"/>
          <w:jc w:val="center"/>
        </w:trPr>
        <w:tc>
          <w:tcPr>
            <w:tcW w:w="4727" w:type="dxa"/>
            <w:gridSpan w:val="2"/>
            <w:tcBorders>
              <w:top w:val="single" w:color="auto" w:sz="8"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 xml:space="preserve">项 </w:t>
            </w:r>
            <w:r>
              <w:rPr>
                <w:rFonts w:ascii="Times New Roman" w:hAnsi="Times New Roman" w:eastAsia="仿宋_GB2312" w:cs="Times New Roman"/>
                <w:b/>
                <w:color w:val="000000"/>
                <w:kern w:val="0"/>
                <w:szCs w:val="21"/>
              </w:rPr>
              <w:t xml:space="preserve">   </w:t>
            </w:r>
            <w:r>
              <w:rPr>
                <w:rFonts w:ascii="Times New Roman" w:hAnsi="Times New Roman" w:eastAsia="仿宋_GB2312" w:cs="Times New Roman"/>
                <w:b/>
                <w:kern w:val="0"/>
                <w:szCs w:val="21"/>
              </w:rPr>
              <w:t>目</w:t>
            </w:r>
          </w:p>
        </w:tc>
        <w:tc>
          <w:tcPr>
            <w:tcW w:w="9492" w:type="dxa"/>
            <w:gridSpan w:val="3"/>
            <w:tcBorders>
              <w:top w:val="single" w:color="auto" w:sz="8" w:space="0"/>
              <w:left w:val="nil"/>
              <w:bottom w:val="single" w:color="auto" w:sz="4" w:space="0"/>
              <w:right w:val="single" w:color="000000" w:sz="8" w:space="0"/>
            </w:tcBorders>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本年支出</w:t>
            </w:r>
          </w:p>
        </w:tc>
      </w:tr>
      <w:tr>
        <w:trPr>
          <w:trHeight w:val="495" w:hRule="atLeast"/>
          <w:jc w:val="center"/>
        </w:trPr>
        <w:tc>
          <w:tcPr>
            <w:tcW w:w="1200"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功能分类科目编码</w:t>
            </w:r>
          </w:p>
        </w:tc>
        <w:tc>
          <w:tcPr>
            <w:tcW w:w="352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科目名称</w:t>
            </w:r>
          </w:p>
        </w:tc>
        <w:tc>
          <w:tcPr>
            <w:tcW w:w="30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小计</w:t>
            </w:r>
          </w:p>
        </w:tc>
        <w:tc>
          <w:tcPr>
            <w:tcW w:w="349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基本支出</w:t>
            </w:r>
          </w:p>
        </w:tc>
        <w:tc>
          <w:tcPr>
            <w:tcW w:w="3000" w:type="dxa"/>
            <w:vMerge w:val="restart"/>
            <w:tcBorders>
              <w:top w:val="nil"/>
              <w:left w:val="single" w:color="auto" w:sz="4" w:space="0"/>
              <w:bottom w:val="single" w:color="000000" w:sz="4" w:space="0"/>
              <w:right w:val="single" w:color="auto" w:sz="8" w:space="0"/>
            </w:tcBorders>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项目支出</w:t>
            </w:r>
          </w:p>
        </w:tc>
      </w:tr>
      <w:tr>
        <w:trPr>
          <w:trHeight w:val="360" w:hRule="atLeast"/>
          <w:jc w:val="center"/>
        </w:trPr>
        <w:tc>
          <w:tcPr>
            <w:tcW w:w="120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52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00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492"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000" w:type="dxa"/>
            <w:vMerge w:val="continue"/>
            <w:tcBorders>
              <w:top w:val="nil"/>
              <w:left w:val="single" w:color="auto" w:sz="4" w:space="0"/>
              <w:bottom w:val="single" w:color="000000" w:sz="4" w:space="0"/>
              <w:right w:val="single" w:color="auto" w:sz="8" w:space="0"/>
            </w:tcBorders>
            <w:vAlign w:val="center"/>
          </w:tcPr>
          <w:p>
            <w:pPr>
              <w:widowControl/>
              <w:jc w:val="left"/>
              <w:rPr>
                <w:rFonts w:ascii="Times New Roman" w:hAnsi="Times New Roman" w:eastAsia="仿宋_GB2312" w:cs="Times New Roman"/>
                <w:kern w:val="0"/>
                <w:szCs w:val="21"/>
              </w:rPr>
            </w:pPr>
          </w:p>
        </w:tc>
      </w:tr>
      <w:tr>
        <w:trPr>
          <w:trHeight w:val="450" w:hRule="atLeast"/>
          <w:jc w:val="center"/>
        </w:trPr>
        <w:tc>
          <w:tcPr>
            <w:tcW w:w="120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52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00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492"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3000" w:type="dxa"/>
            <w:vMerge w:val="continue"/>
            <w:tcBorders>
              <w:top w:val="nil"/>
              <w:left w:val="single" w:color="auto" w:sz="4" w:space="0"/>
              <w:bottom w:val="single" w:color="000000" w:sz="4" w:space="0"/>
              <w:right w:val="single" w:color="auto" w:sz="8" w:space="0"/>
            </w:tcBorders>
            <w:vAlign w:val="center"/>
          </w:tcPr>
          <w:p>
            <w:pPr>
              <w:widowControl/>
              <w:jc w:val="left"/>
              <w:rPr>
                <w:rFonts w:ascii="Times New Roman" w:hAnsi="Times New Roman" w:eastAsia="仿宋_GB2312" w:cs="Times New Roman"/>
                <w:kern w:val="0"/>
                <w:szCs w:val="21"/>
              </w:rPr>
            </w:pPr>
          </w:p>
        </w:tc>
      </w:tr>
      <w:tr>
        <w:trPr>
          <w:trHeight w:val="450" w:hRule="atLeast"/>
          <w:jc w:val="center"/>
        </w:trPr>
        <w:tc>
          <w:tcPr>
            <w:tcW w:w="472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栏次</w:t>
            </w:r>
          </w:p>
        </w:tc>
        <w:tc>
          <w:tcPr>
            <w:tcW w:w="300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34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3000"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r>
      <w:tr>
        <w:trPr>
          <w:trHeight w:val="450" w:hRule="atLeast"/>
          <w:jc w:val="center"/>
        </w:trPr>
        <w:tc>
          <w:tcPr>
            <w:tcW w:w="472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合计</w:t>
            </w:r>
          </w:p>
        </w:tc>
        <w:tc>
          <w:tcPr>
            <w:tcW w:w="300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508.47</w:t>
            </w:r>
          </w:p>
        </w:tc>
        <w:tc>
          <w:tcPr>
            <w:tcW w:w="34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val="en-US" w:eastAsia="zh-CN"/>
              </w:rPr>
              <w:t>508.47</w:t>
            </w:r>
            <w:r>
              <w:rPr>
                <w:rFonts w:ascii="Times New Roman" w:hAnsi="Times New Roman" w:eastAsia="仿宋_GB2312" w:cs="Times New Roman"/>
                <w:kern w:val="0"/>
                <w:szCs w:val="21"/>
              </w:rPr>
              <w:t>　</w:t>
            </w:r>
          </w:p>
        </w:tc>
        <w:tc>
          <w:tcPr>
            <w:tcW w:w="3000"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0" w:hRule="atLeast"/>
          <w:jc w:val="center"/>
        </w:trPr>
        <w:tc>
          <w:tcPr>
            <w:tcW w:w="1200"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201</w:t>
            </w:r>
          </w:p>
        </w:tc>
        <w:tc>
          <w:tcPr>
            <w:tcW w:w="3527" w:type="dxa"/>
            <w:tcBorders>
              <w:top w:val="nil"/>
              <w:left w:val="nil"/>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eastAsia="zh-CN"/>
              </w:rPr>
              <w:t>一般公共服务支出</w:t>
            </w:r>
          </w:p>
        </w:tc>
        <w:tc>
          <w:tcPr>
            <w:tcW w:w="300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508.47</w:t>
            </w:r>
          </w:p>
        </w:tc>
        <w:tc>
          <w:tcPr>
            <w:tcW w:w="349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508.47</w:t>
            </w:r>
          </w:p>
        </w:tc>
        <w:tc>
          <w:tcPr>
            <w:tcW w:w="3000" w:type="dxa"/>
            <w:tcBorders>
              <w:top w:val="nil"/>
              <w:left w:val="nil"/>
              <w:bottom w:val="single" w:color="auto" w:sz="4"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0" w:hRule="atLeast"/>
          <w:jc w:val="center"/>
        </w:trPr>
        <w:tc>
          <w:tcPr>
            <w:tcW w:w="1200"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20132</w:t>
            </w:r>
          </w:p>
        </w:tc>
        <w:tc>
          <w:tcPr>
            <w:tcW w:w="3527" w:type="dxa"/>
            <w:tcBorders>
              <w:top w:val="nil"/>
              <w:left w:val="nil"/>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eastAsia="zh-CN"/>
              </w:rPr>
              <w:t>组织事务</w:t>
            </w:r>
          </w:p>
        </w:tc>
        <w:tc>
          <w:tcPr>
            <w:tcW w:w="300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508.47</w:t>
            </w:r>
          </w:p>
        </w:tc>
        <w:tc>
          <w:tcPr>
            <w:tcW w:w="349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508.47</w:t>
            </w:r>
          </w:p>
        </w:tc>
        <w:tc>
          <w:tcPr>
            <w:tcW w:w="3000" w:type="dxa"/>
            <w:tcBorders>
              <w:top w:val="nil"/>
              <w:left w:val="nil"/>
              <w:bottom w:val="single" w:color="auto" w:sz="4"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0" w:hRule="atLeast"/>
          <w:jc w:val="center"/>
        </w:trPr>
        <w:tc>
          <w:tcPr>
            <w:tcW w:w="1200"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2013201</w:t>
            </w:r>
          </w:p>
        </w:tc>
        <w:tc>
          <w:tcPr>
            <w:tcW w:w="3527" w:type="dxa"/>
            <w:tcBorders>
              <w:top w:val="nil"/>
              <w:left w:val="nil"/>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eastAsia="zh-CN"/>
              </w:rPr>
              <w:t>行政运行</w:t>
            </w:r>
          </w:p>
        </w:tc>
        <w:tc>
          <w:tcPr>
            <w:tcW w:w="300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508.47</w:t>
            </w:r>
          </w:p>
        </w:tc>
        <w:tc>
          <w:tcPr>
            <w:tcW w:w="349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508.47</w:t>
            </w:r>
          </w:p>
        </w:tc>
        <w:tc>
          <w:tcPr>
            <w:tcW w:w="3000" w:type="dxa"/>
            <w:tcBorders>
              <w:top w:val="nil"/>
              <w:left w:val="nil"/>
              <w:bottom w:val="single" w:color="auto" w:sz="4"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0" w:hRule="atLeast"/>
          <w:jc w:val="center"/>
        </w:trPr>
        <w:tc>
          <w:tcPr>
            <w:tcW w:w="1200"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52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00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49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000" w:type="dxa"/>
            <w:tcBorders>
              <w:top w:val="nil"/>
              <w:left w:val="nil"/>
              <w:bottom w:val="single" w:color="auto" w:sz="4"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0" w:hRule="atLeast"/>
          <w:jc w:val="center"/>
        </w:trPr>
        <w:tc>
          <w:tcPr>
            <w:tcW w:w="1200"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52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00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49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000" w:type="dxa"/>
            <w:tcBorders>
              <w:top w:val="nil"/>
              <w:left w:val="nil"/>
              <w:bottom w:val="single" w:color="auto" w:sz="4"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0" w:hRule="atLeast"/>
          <w:jc w:val="center"/>
        </w:trPr>
        <w:tc>
          <w:tcPr>
            <w:tcW w:w="1200" w:type="dxa"/>
            <w:tcBorders>
              <w:top w:val="single" w:color="auto" w:sz="4" w:space="0"/>
              <w:left w:val="single" w:color="auto" w:sz="8" w:space="0"/>
              <w:bottom w:val="single" w:color="auto" w:sz="8"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527" w:type="dxa"/>
            <w:tcBorders>
              <w:top w:val="nil"/>
              <w:left w:val="nil"/>
              <w:bottom w:val="single" w:color="auto" w:sz="8"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000" w:type="dxa"/>
            <w:tcBorders>
              <w:top w:val="nil"/>
              <w:left w:val="nil"/>
              <w:bottom w:val="single" w:color="auto" w:sz="8"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492" w:type="dxa"/>
            <w:tcBorders>
              <w:top w:val="nil"/>
              <w:left w:val="nil"/>
              <w:bottom w:val="single" w:color="auto" w:sz="8" w:space="0"/>
              <w:right w:val="single" w:color="auto" w:sz="4"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300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645" w:hRule="atLeast"/>
          <w:jc w:val="center"/>
        </w:trPr>
        <w:tc>
          <w:tcPr>
            <w:tcW w:w="14219" w:type="dxa"/>
            <w:gridSpan w:val="5"/>
            <w:tcBorders>
              <w:top w:val="nil"/>
              <w:left w:val="nil"/>
              <w:bottom w:val="nil"/>
              <w:right w:val="nil"/>
            </w:tcBorders>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注：本表反映部门本年度一般公共预算财政拨款支出情况。</w:t>
            </w:r>
          </w:p>
        </w:tc>
      </w:tr>
    </w:tbl>
    <w:p>
      <w:pPr>
        <w:widowControl/>
        <w:jc w:val="left"/>
        <w:rPr>
          <w:rFonts w:ascii="Times New Roman" w:hAnsi="Times New Roman" w:eastAsia="仿宋_GB2312" w:cs="Times New Roman"/>
          <w:bCs/>
          <w:kern w:val="0"/>
          <w:szCs w:val="21"/>
        </w:rPr>
      </w:pPr>
    </w:p>
    <w:p>
      <w:pPr>
        <w:widowControl/>
        <w:jc w:val="left"/>
        <w:rPr>
          <w:rFonts w:ascii="Times New Roman" w:hAnsi="Times New Roman" w:eastAsia="仿宋_GB2312" w:cs="Times New Roman"/>
          <w:bCs/>
          <w:kern w:val="0"/>
          <w:szCs w:val="21"/>
        </w:rPr>
      </w:pPr>
      <w:r>
        <w:rPr>
          <w:rFonts w:ascii="Times New Roman" w:hAnsi="Times New Roman" w:eastAsia="仿宋_GB2312" w:cs="Times New Roman"/>
          <w:bCs/>
          <w:kern w:val="0"/>
          <w:szCs w:val="21"/>
        </w:rPr>
        <w:br w:type="page"/>
      </w:r>
    </w:p>
    <w:p>
      <w:pPr>
        <w:widowControl/>
        <w:jc w:val="center"/>
        <w:rPr>
          <w:rFonts w:ascii="Times New Roman" w:hAnsi="Times New Roman" w:eastAsia="方正小标宋_GBK" w:cs="Times New Roman"/>
          <w:color w:val="000000"/>
          <w:kern w:val="0"/>
          <w:sz w:val="28"/>
          <w:szCs w:val="36"/>
        </w:rPr>
      </w:pPr>
      <w:bookmarkStart w:id="1" w:name="RANGE!A1:I39"/>
      <w:r>
        <w:rPr>
          <w:rFonts w:ascii="Times New Roman" w:hAnsi="Times New Roman" w:eastAsia="方正小标宋_GBK" w:cs="Times New Roman"/>
          <w:color w:val="000000"/>
          <w:kern w:val="0"/>
          <w:sz w:val="28"/>
          <w:szCs w:val="36"/>
        </w:rPr>
        <w:t>一般公共预算财政拨款基本支出决算表</w:t>
      </w:r>
      <w:bookmarkEnd w:id="1"/>
    </w:p>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部门：</w:t>
      </w:r>
      <w:r>
        <w:rPr>
          <w:rFonts w:hint="eastAsia" w:ascii="Times New Roman" w:hAnsi="Times New Roman" w:eastAsia="仿宋_GB2312" w:cs="Times New Roman"/>
          <w:color w:val="000000"/>
          <w:kern w:val="0"/>
          <w:szCs w:val="21"/>
          <w:lang w:eastAsia="zh-CN"/>
        </w:rPr>
        <w:t>中共蓝山县委组织部</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 xml:space="preserve">          公开06表</w:t>
      </w:r>
    </w:p>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单位：万元</w:t>
      </w:r>
    </w:p>
    <w:tbl>
      <w:tblPr>
        <w:tblStyle w:val="7"/>
        <w:tblW w:w="15900" w:type="dxa"/>
        <w:tblInd w:w="93" w:type="dxa"/>
        <w:tblLayout w:type="fixed"/>
        <w:tblCellMar>
          <w:top w:w="0" w:type="dxa"/>
          <w:left w:w="108" w:type="dxa"/>
          <w:bottom w:w="0" w:type="dxa"/>
          <w:right w:w="108" w:type="dxa"/>
        </w:tblCellMar>
      </w:tblPr>
      <w:tblGrid>
        <w:gridCol w:w="1149"/>
        <w:gridCol w:w="3306"/>
        <w:gridCol w:w="856"/>
        <w:gridCol w:w="1110"/>
        <w:gridCol w:w="2297"/>
        <w:gridCol w:w="856"/>
        <w:gridCol w:w="1076"/>
        <w:gridCol w:w="4394"/>
        <w:gridCol w:w="856"/>
      </w:tblGrid>
      <w:tr>
        <w:trPr>
          <w:trHeight w:val="585" w:hRule="atLeast"/>
        </w:trPr>
        <w:tc>
          <w:tcPr>
            <w:tcW w:w="114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经济分类科目编码</w:t>
            </w:r>
          </w:p>
        </w:tc>
        <w:tc>
          <w:tcPr>
            <w:tcW w:w="330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科目名称</w:t>
            </w:r>
          </w:p>
        </w:tc>
        <w:tc>
          <w:tcPr>
            <w:tcW w:w="85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决算数</w:t>
            </w:r>
          </w:p>
        </w:tc>
        <w:tc>
          <w:tcPr>
            <w:tcW w:w="111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经济分类科目编码</w:t>
            </w:r>
          </w:p>
        </w:tc>
        <w:tc>
          <w:tcPr>
            <w:tcW w:w="2297"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科目名称</w:t>
            </w:r>
          </w:p>
        </w:tc>
        <w:tc>
          <w:tcPr>
            <w:tcW w:w="85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决算数</w:t>
            </w:r>
          </w:p>
        </w:tc>
        <w:tc>
          <w:tcPr>
            <w:tcW w:w="107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经济分类科目编码</w:t>
            </w:r>
          </w:p>
        </w:tc>
        <w:tc>
          <w:tcPr>
            <w:tcW w:w="4394"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科目名称</w:t>
            </w:r>
          </w:p>
        </w:tc>
        <w:tc>
          <w:tcPr>
            <w:tcW w:w="85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决算数</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w:t>
            </w:r>
          </w:p>
        </w:tc>
        <w:tc>
          <w:tcPr>
            <w:tcW w:w="330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工资福利支出</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lang w:val="en-US" w:eastAsia="zh-CN"/>
              </w:rPr>
              <w:t>296.73</w:t>
            </w:r>
            <w:r>
              <w:rPr>
                <w:rFonts w:hint="eastAsia" w:ascii="仿宋_GB2312" w:hAnsi="宋体" w:eastAsia="仿宋_GB2312" w:cs="宋体"/>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w:t>
            </w:r>
          </w:p>
        </w:tc>
        <w:tc>
          <w:tcPr>
            <w:tcW w:w="2297"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商品和服务支出</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200.59</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307</w:t>
            </w:r>
          </w:p>
        </w:tc>
        <w:tc>
          <w:tcPr>
            <w:tcW w:w="4394"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债务利息及费用支出</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30101</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基本工资</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86.10</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30201</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办公费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11.51</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30701</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国内债务付息</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30102</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津贴补贴</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75.32</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30202</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印刷费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7.28</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30702</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国外债务付息</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30103</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奖金</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30.47</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30203</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咨询费</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w:t>
            </w:r>
          </w:p>
        </w:tc>
        <w:tc>
          <w:tcPr>
            <w:tcW w:w="4394"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资本性支出</w:t>
            </w:r>
          </w:p>
        </w:tc>
        <w:tc>
          <w:tcPr>
            <w:tcW w:w="856" w:type="dxa"/>
            <w:tcBorders>
              <w:top w:val="nil"/>
              <w:left w:val="nil"/>
              <w:bottom w:val="single" w:color="auto" w:sz="8" w:space="0"/>
              <w:right w:val="single" w:color="auto" w:sz="8" w:space="0"/>
            </w:tcBorders>
            <w:shd w:val="clear" w:color="auto" w:fill="auto"/>
            <w:vAlign w:val="center"/>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4.79</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30106</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伙食补助费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10.40</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30204</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手续费</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31001</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房屋建筑物购建</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30107</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绩效工资</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20.33</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30205</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水费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0.01</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31002</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办公设备购置</w:t>
            </w:r>
          </w:p>
        </w:tc>
        <w:tc>
          <w:tcPr>
            <w:tcW w:w="856" w:type="dxa"/>
            <w:tcBorders>
              <w:top w:val="nil"/>
              <w:left w:val="nil"/>
              <w:bottom w:val="single" w:color="auto" w:sz="8" w:space="0"/>
              <w:right w:val="single" w:color="auto" w:sz="8" w:space="0"/>
            </w:tcBorders>
            <w:shd w:val="clear" w:color="auto" w:fill="auto"/>
            <w:vAlign w:val="center"/>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4.79</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30108</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机关事业单位基本养老保险费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45.31</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30206</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电费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1.42</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31003</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专用设备购置</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30109</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职业年金缴费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7.89</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30207</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邮电费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0.94</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31005</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基础设施建设</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30110</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职工基本医疗保险缴费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18.84</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30208</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取暖费</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31006</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大型修缮</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30111</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公务员医疗补助缴费</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30209</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物业管理费</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31007</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信息网络及软件购置更新</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30112</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其他社会保障缴费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1.59</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30211</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差旅费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20.15</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31008</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物资储备</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30113</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住房公积金</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30212</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因公出国（境）费用</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31009</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土地补偿</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30114</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医疗费</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30213</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维修（护）费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1.43</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31010</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安置补助</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30199</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其他工资福利支出</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0.48</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30214</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租赁费</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31011</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地上附着物和青苗补偿</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w:t>
            </w:r>
          </w:p>
        </w:tc>
        <w:tc>
          <w:tcPr>
            <w:tcW w:w="330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对个人和家庭的补助</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6.35</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30215</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会议费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2.65</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31012</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拆迁补偿</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30301</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离休费</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30216</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培训费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13.75</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31013</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公务用车购置</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30302</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退休费</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30217</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公务接待费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29.47</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31019</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其他交通工具购置</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30303</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退职（役）费</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30218</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专用材料费</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31021</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文物和陈列品购置</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30304</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抚恤金</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30224</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被装购置费</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31022</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无形资产购置</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30305</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生活补助</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4.45</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30225</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专用燃料费</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31099</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其他资本性支出</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30306</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救济费</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30226</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劳务费</w:t>
            </w:r>
          </w:p>
        </w:tc>
        <w:tc>
          <w:tcPr>
            <w:tcW w:w="856" w:type="dxa"/>
            <w:tcBorders>
              <w:top w:val="nil"/>
              <w:left w:val="nil"/>
              <w:bottom w:val="single" w:color="auto" w:sz="8" w:space="0"/>
              <w:right w:val="single" w:color="auto" w:sz="8" w:space="0"/>
            </w:tcBorders>
            <w:shd w:val="clear" w:color="auto" w:fill="auto"/>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7.04</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399</w:t>
            </w:r>
          </w:p>
        </w:tc>
        <w:tc>
          <w:tcPr>
            <w:tcW w:w="4394"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其他支出</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30307</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医疗费补助</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30227</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委托业务费</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39906</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赠与</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30308</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助学金</w:t>
            </w:r>
          </w:p>
        </w:tc>
        <w:tc>
          <w:tcPr>
            <w:tcW w:w="856"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30228</w:t>
            </w:r>
          </w:p>
        </w:tc>
        <w:tc>
          <w:tcPr>
            <w:tcW w:w="2297"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工会经费</w:t>
            </w:r>
          </w:p>
        </w:tc>
        <w:tc>
          <w:tcPr>
            <w:tcW w:w="856" w:type="dxa"/>
            <w:tcBorders>
              <w:top w:val="nil"/>
              <w:left w:val="nil"/>
              <w:bottom w:val="single" w:color="auto" w:sz="8" w:space="0"/>
              <w:right w:val="single" w:color="auto" w:sz="8" w:space="0"/>
            </w:tcBorders>
            <w:shd w:val="clear" w:color="auto" w:fill="auto"/>
          </w:tcPr>
          <w:p>
            <w:pPr>
              <w:widowControl/>
              <w:rPr>
                <w:rFonts w:hint="eastAsia"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rPr>
              <w:t>　</w:t>
            </w:r>
            <w:r>
              <w:rPr>
                <w:rFonts w:hint="eastAsia" w:ascii="仿宋_GB2312" w:hAnsi="宋体" w:eastAsia="仿宋_GB2312" w:cs="宋体"/>
                <w:color w:val="000000"/>
                <w:kern w:val="0"/>
                <w:sz w:val="18"/>
                <w:szCs w:val="18"/>
                <w:lang w:val="en-US" w:eastAsia="zh-CN"/>
              </w:rPr>
              <w:t>6</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39907</w:t>
            </w:r>
          </w:p>
        </w:tc>
        <w:tc>
          <w:tcPr>
            <w:tcW w:w="4394"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国家赔偿费用支出</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30309</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奖励金</w:t>
            </w:r>
          </w:p>
        </w:tc>
        <w:tc>
          <w:tcPr>
            <w:tcW w:w="85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30229</w:t>
            </w:r>
          </w:p>
        </w:tc>
        <w:tc>
          <w:tcPr>
            <w:tcW w:w="2297"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福利费</w:t>
            </w:r>
          </w:p>
        </w:tc>
        <w:tc>
          <w:tcPr>
            <w:tcW w:w="856" w:type="dxa"/>
            <w:tcBorders>
              <w:top w:val="nil"/>
              <w:left w:val="nil"/>
              <w:bottom w:val="single" w:color="auto" w:sz="8" w:space="0"/>
              <w:right w:val="single" w:color="auto" w:sz="8" w:space="0"/>
            </w:tcBorders>
            <w:shd w:val="clear" w:color="auto" w:fill="auto"/>
          </w:tcPr>
          <w:p>
            <w:pPr>
              <w:widowControl/>
              <w:rPr>
                <w:rFonts w:hint="default" w:ascii="Times New Roman" w:hAnsi="Times New Roman" w:eastAsia="宋体" w:cs="Times New Roman"/>
                <w:color w:val="000000"/>
                <w:kern w:val="0"/>
                <w:sz w:val="18"/>
                <w:szCs w:val="18"/>
                <w:lang w:val="en-US" w:eastAsia="zh-CN"/>
              </w:rPr>
            </w:pPr>
            <w:r>
              <w:rPr>
                <w:rFonts w:ascii="Times New Roman" w:hAnsi="Times New Roman" w:eastAsia="宋体" w:cs="Times New Roman"/>
                <w:color w:val="000000"/>
                <w:kern w:val="0"/>
                <w:sz w:val="18"/>
                <w:szCs w:val="18"/>
              </w:rPr>
              <w:t>　</w:t>
            </w:r>
            <w:r>
              <w:rPr>
                <w:rFonts w:hint="eastAsia" w:ascii="Times New Roman" w:hAnsi="Times New Roman" w:eastAsia="宋体" w:cs="Times New Roman"/>
                <w:color w:val="000000"/>
                <w:kern w:val="0"/>
                <w:sz w:val="18"/>
                <w:szCs w:val="18"/>
                <w:lang w:val="en-US" w:eastAsia="zh-CN"/>
              </w:rPr>
              <w:t>1.91</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39908</w:t>
            </w:r>
          </w:p>
        </w:tc>
        <w:tc>
          <w:tcPr>
            <w:tcW w:w="4394"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对民间非营利组织和群众性自治组织补贴</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30310</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个人农业生产补贴</w:t>
            </w:r>
          </w:p>
        </w:tc>
        <w:tc>
          <w:tcPr>
            <w:tcW w:w="85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30231</w:t>
            </w:r>
          </w:p>
        </w:tc>
        <w:tc>
          <w:tcPr>
            <w:tcW w:w="2297"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公务用车运行维护费</w:t>
            </w:r>
          </w:p>
        </w:tc>
        <w:tc>
          <w:tcPr>
            <w:tcW w:w="856" w:type="dxa"/>
            <w:tcBorders>
              <w:top w:val="nil"/>
              <w:left w:val="nil"/>
              <w:bottom w:val="single" w:color="auto" w:sz="8" w:space="0"/>
              <w:right w:val="single" w:color="auto" w:sz="8" w:space="0"/>
            </w:tcBorders>
            <w:shd w:val="clear" w:color="auto" w:fill="auto"/>
          </w:tcPr>
          <w:p>
            <w:pPr>
              <w:widowControl/>
              <w:rPr>
                <w:rFonts w:hint="default" w:ascii="Times New Roman" w:hAnsi="Times New Roman" w:eastAsia="宋体" w:cs="Times New Roman"/>
                <w:color w:val="000000"/>
                <w:kern w:val="0"/>
                <w:sz w:val="18"/>
                <w:szCs w:val="18"/>
                <w:lang w:val="en-US" w:eastAsia="zh-CN"/>
              </w:rPr>
            </w:pPr>
            <w:r>
              <w:rPr>
                <w:rFonts w:ascii="Times New Roman" w:hAnsi="Times New Roman" w:eastAsia="宋体" w:cs="Times New Roman"/>
                <w:color w:val="000000"/>
                <w:kern w:val="0"/>
                <w:sz w:val="18"/>
                <w:szCs w:val="18"/>
              </w:rPr>
              <w:t>　</w:t>
            </w:r>
            <w:r>
              <w:rPr>
                <w:rFonts w:hint="eastAsia" w:ascii="Times New Roman" w:hAnsi="Times New Roman" w:eastAsia="宋体" w:cs="Times New Roman"/>
                <w:color w:val="000000"/>
                <w:kern w:val="0"/>
                <w:sz w:val="18"/>
                <w:szCs w:val="18"/>
                <w:lang w:val="en-US" w:eastAsia="zh-CN"/>
              </w:rPr>
              <w:t>10.43</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39999</w:t>
            </w:r>
          </w:p>
        </w:tc>
        <w:tc>
          <w:tcPr>
            <w:tcW w:w="4394"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其他支出</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30399</w:t>
            </w:r>
          </w:p>
        </w:tc>
        <w:tc>
          <w:tcPr>
            <w:tcW w:w="3306" w:type="dxa"/>
            <w:tcBorders>
              <w:top w:val="single" w:color="auto" w:sz="8" w:space="0"/>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  </w:t>
            </w:r>
            <w:r>
              <w:rPr>
                <w:rFonts w:hint="eastAsia" w:ascii="仿宋_GB2312" w:hAnsi="Times New Roman" w:eastAsia="仿宋_GB2312" w:cs="Times New Roman"/>
                <w:color w:val="000000"/>
                <w:kern w:val="0"/>
                <w:sz w:val="18"/>
                <w:szCs w:val="18"/>
              </w:rPr>
              <w:t>对其他个人和家庭的补助支出</w:t>
            </w:r>
          </w:p>
        </w:tc>
        <w:tc>
          <w:tcPr>
            <w:tcW w:w="856" w:type="dxa"/>
            <w:tcBorders>
              <w:top w:val="single" w:color="auto" w:sz="8" w:space="0"/>
              <w:left w:val="nil"/>
              <w:bottom w:val="single" w:color="auto" w:sz="8" w:space="0"/>
              <w:right w:val="single" w:color="auto" w:sz="8" w:space="0"/>
            </w:tcBorders>
            <w:shd w:val="clear" w:color="auto" w:fill="auto"/>
          </w:tcPr>
          <w:p>
            <w:pPr>
              <w:widowControl/>
              <w:rPr>
                <w:rFonts w:hint="default" w:ascii="Times New Roman" w:hAnsi="Times New Roman" w:eastAsia="宋体" w:cs="Times New Roman"/>
                <w:color w:val="000000"/>
                <w:kern w:val="0"/>
                <w:sz w:val="18"/>
                <w:szCs w:val="18"/>
                <w:lang w:val="en-US" w:eastAsia="zh-CN"/>
              </w:rPr>
            </w:pPr>
            <w:r>
              <w:rPr>
                <w:rFonts w:ascii="Times New Roman" w:hAnsi="Times New Roman" w:eastAsia="宋体" w:cs="Times New Roman"/>
                <w:color w:val="000000"/>
                <w:kern w:val="0"/>
                <w:sz w:val="18"/>
                <w:szCs w:val="18"/>
              </w:rPr>
              <w:t>　</w:t>
            </w:r>
            <w:r>
              <w:rPr>
                <w:rFonts w:hint="eastAsia" w:ascii="Times New Roman" w:hAnsi="Times New Roman" w:eastAsia="宋体" w:cs="Times New Roman"/>
                <w:color w:val="000000"/>
                <w:kern w:val="0"/>
                <w:sz w:val="18"/>
                <w:szCs w:val="18"/>
                <w:lang w:val="en-US" w:eastAsia="zh-CN"/>
              </w:rPr>
              <w:t>1.91</w:t>
            </w:r>
          </w:p>
        </w:tc>
        <w:tc>
          <w:tcPr>
            <w:tcW w:w="1110" w:type="dxa"/>
            <w:tcBorders>
              <w:top w:val="single" w:color="auto" w:sz="8" w:space="0"/>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30239</w:t>
            </w:r>
          </w:p>
        </w:tc>
        <w:tc>
          <w:tcPr>
            <w:tcW w:w="2297" w:type="dxa"/>
            <w:tcBorders>
              <w:top w:val="single" w:color="auto" w:sz="8" w:space="0"/>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其他交通费用</w:t>
            </w:r>
          </w:p>
        </w:tc>
        <w:tc>
          <w:tcPr>
            <w:tcW w:w="856" w:type="dxa"/>
            <w:tcBorders>
              <w:top w:val="single" w:color="auto" w:sz="8" w:space="0"/>
              <w:left w:val="nil"/>
              <w:bottom w:val="single" w:color="auto" w:sz="8" w:space="0"/>
              <w:right w:val="single" w:color="auto" w:sz="8" w:space="0"/>
            </w:tcBorders>
            <w:shd w:val="clear" w:color="auto" w:fill="auto"/>
          </w:tcPr>
          <w:p>
            <w:pPr>
              <w:widowControl/>
              <w:rPr>
                <w:rFonts w:hint="default" w:ascii="Times New Roman" w:hAnsi="Times New Roman" w:eastAsia="宋体" w:cs="Times New Roman"/>
                <w:color w:val="000000"/>
                <w:kern w:val="0"/>
                <w:sz w:val="18"/>
                <w:szCs w:val="18"/>
                <w:lang w:val="en-US" w:eastAsia="zh-CN"/>
              </w:rPr>
            </w:pPr>
            <w:r>
              <w:rPr>
                <w:rFonts w:ascii="Times New Roman" w:hAnsi="Times New Roman" w:eastAsia="宋体" w:cs="Times New Roman"/>
                <w:color w:val="000000"/>
                <w:kern w:val="0"/>
                <w:sz w:val="18"/>
                <w:szCs w:val="18"/>
              </w:rPr>
              <w:t>　</w:t>
            </w:r>
            <w:r>
              <w:rPr>
                <w:rFonts w:hint="eastAsia" w:ascii="Times New Roman" w:hAnsi="Times New Roman" w:eastAsia="宋体" w:cs="Times New Roman"/>
                <w:color w:val="000000"/>
                <w:kern w:val="0"/>
                <w:sz w:val="18"/>
                <w:szCs w:val="18"/>
                <w:lang w:val="en-US" w:eastAsia="zh-CN"/>
              </w:rPr>
              <w:t>36.69</w:t>
            </w:r>
          </w:p>
        </w:tc>
        <w:tc>
          <w:tcPr>
            <w:tcW w:w="1076" w:type="dxa"/>
            <w:tcBorders>
              <w:top w:val="single" w:color="auto" w:sz="8" w:space="0"/>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4394" w:type="dxa"/>
            <w:tcBorders>
              <w:top w:val="single" w:color="auto" w:sz="8" w:space="0"/>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856" w:type="dxa"/>
            <w:tcBorders>
              <w:top w:val="single" w:color="auto" w:sz="8" w:space="0"/>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85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30240</w:t>
            </w:r>
          </w:p>
        </w:tc>
        <w:tc>
          <w:tcPr>
            <w:tcW w:w="2297"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税金及附加费用</w:t>
            </w:r>
          </w:p>
        </w:tc>
        <w:tc>
          <w:tcPr>
            <w:tcW w:w="85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4394"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1149" w:type="dxa"/>
            <w:tcBorders>
              <w:top w:val="nil"/>
              <w:left w:val="single" w:color="auto" w:sz="8" w:space="0"/>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330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85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1110"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30299</w:t>
            </w:r>
          </w:p>
        </w:tc>
        <w:tc>
          <w:tcPr>
            <w:tcW w:w="2297"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其他商品和服务支出</w:t>
            </w:r>
          </w:p>
        </w:tc>
        <w:tc>
          <w:tcPr>
            <w:tcW w:w="856" w:type="dxa"/>
            <w:tcBorders>
              <w:top w:val="nil"/>
              <w:left w:val="nil"/>
              <w:bottom w:val="single" w:color="auto" w:sz="8" w:space="0"/>
              <w:right w:val="single" w:color="auto" w:sz="8" w:space="0"/>
            </w:tcBorders>
            <w:shd w:val="clear" w:color="auto" w:fill="auto"/>
          </w:tcPr>
          <w:p>
            <w:pPr>
              <w:widowControl/>
              <w:rPr>
                <w:rFonts w:hint="default" w:ascii="Times New Roman" w:hAnsi="Times New Roman" w:eastAsia="宋体" w:cs="Times New Roman"/>
                <w:color w:val="000000"/>
                <w:kern w:val="0"/>
                <w:sz w:val="18"/>
                <w:szCs w:val="18"/>
                <w:lang w:val="en-US" w:eastAsia="zh-CN"/>
              </w:rPr>
            </w:pPr>
            <w:r>
              <w:rPr>
                <w:rFonts w:ascii="Times New Roman" w:hAnsi="Times New Roman" w:eastAsia="宋体" w:cs="Times New Roman"/>
                <w:color w:val="000000"/>
                <w:kern w:val="0"/>
                <w:sz w:val="18"/>
                <w:szCs w:val="18"/>
              </w:rPr>
              <w:t>　</w:t>
            </w:r>
            <w:r>
              <w:rPr>
                <w:rFonts w:hint="eastAsia" w:ascii="Times New Roman" w:hAnsi="Times New Roman" w:eastAsia="宋体" w:cs="Times New Roman"/>
                <w:color w:val="000000"/>
                <w:kern w:val="0"/>
                <w:sz w:val="18"/>
                <w:szCs w:val="18"/>
                <w:lang w:val="en-US" w:eastAsia="zh-CN"/>
              </w:rPr>
              <w:t>49.90</w:t>
            </w:r>
          </w:p>
        </w:tc>
        <w:tc>
          <w:tcPr>
            <w:tcW w:w="1076" w:type="dxa"/>
            <w:tcBorders>
              <w:top w:val="nil"/>
              <w:left w:val="nil"/>
              <w:bottom w:val="single" w:color="auto" w:sz="8" w:space="0"/>
              <w:right w:val="single" w:color="auto" w:sz="8" w:space="0"/>
            </w:tcBorders>
            <w:shd w:val="clear" w:color="auto" w:fill="auto"/>
          </w:tcPr>
          <w:p>
            <w:pPr>
              <w:widowControl/>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4394" w:type="dxa"/>
            <w:tcBorders>
              <w:top w:val="nil"/>
              <w:left w:val="nil"/>
              <w:bottom w:val="single" w:color="auto" w:sz="8" w:space="0"/>
              <w:right w:val="single" w:color="auto" w:sz="8" w:space="0"/>
            </w:tcBorders>
            <w:shd w:val="clear" w:color="auto" w:fill="auto"/>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rPr>
          <w:trHeight w:val="255" w:hRule="exact"/>
        </w:trPr>
        <w:tc>
          <w:tcPr>
            <w:tcW w:w="4455" w:type="dxa"/>
            <w:gridSpan w:val="2"/>
            <w:tcBorders>
              <w:top w:val="nil"/>
              <w:left w:val="single" w:color="auto" w:sz="8" w:space="0"/>
              <w:bottom w:val="single" w:color="auto" w:sz="8" w:space="0"/>
              <w:right w:val="single" w:color="auto" w:sz="8" w:space="0"/>
            </w:tcBorders>
            <w:shd w:val="clear" w:color="auto" w:fill="auto"/>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人员经费合计</w:t>
            </w:r>
          </w:p>
        </w:tc>
        <w:tc>
          <w:tcPr>
            <w:tcW w:w="856" w:type="dxa"/>
            <w:tcBorders>
              <w:top w:val="nil"/>
              <w:left w:val="nil"/>
              <w:bottom w:val="single" w:color="auto" w:sz="8" w:space="0"/>
              <w:right w:val="single" w:color="auto" w:sz="8" w:space="0"/>
            </w:tcBorders>
            <w:shd w:val="clear" w:color="auto" w:fill="auto"/>
            <w:vAlign w:val="center"/>
          </w:tcPr>
          <w:p>
            <w:pPr>
              <w:widowControl/>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303.08</w:t>
            </w:r>
          </w:p>
        </w:tc>
        <w:tc>
          <w:tcPr>
            <w:tcW w:w="9733" w:type="dxa"/>
            <w:gridSpan w:val="5"/>
            <w:tcBorders>
              <w:top w:val="nil"/>
              <w:left w:val="nil"/>
              <w:bottom w:val="single" w:color="auto" w:sz="8" w:space="0"/>
              <w:right w:val="single" w:color="auto" w:sz="8" w:space="0"/>
            </w:tcBorders>
            <w:shd w:val="clear" w:color="auto" w:fill="auto"/>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公用经费合计</w:t>
            </w:r>
          </w:p>
        </w:tc>
        <w:tc>
          <w:tcPr>
            <w:tcW w:w="856" w:type="dxa"/>
            <w:tcBorders>
              <w:top w:val="nil"/>
              <w:left w:val="nil"/>
              <w:bottom w:val="single" w:color="auto" w:sz="8" w:space="0"/>
              <w:right w:val="single" w:color="auto" w:sz="8" w:space="0"/>
            </w:tcBorders>
            <w:shd w:val="clear" w:color="auto" w:fill="auto"/>
            <w:vAlign w:val="center"/>
          </w:tcPr>
          <w:p>
            <w:pPr>
              <w:widowControl/>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205.38</w:t>
            </w:r>
          </w:p>
        </w:tc>
      </w:tr>
    </w:tbl>
    <w:p>
      <w:pPr>
        <w:widowControl/>
        <w:jc w:val="left"/>
        <w:rPr>
          <w:rFonts w:ascii="黑体" w:hAnsi="黑体" w:eastAsia="黑体"/>
          <w:szCs w:val="21"/>
        </w:rPr>
      </w:pPr>
      <w:r>
        <w:rPr>
          <w:rFonts w:hint="eastAsia" w:ascii="黑体" w:hAnsi="黑体" w:eastAsia="黑体"/>
          <w:szCs w:val="21"/>
        </w:rPr>
        <w:t>注：本表反映部门年度一般公共预算财政拨款基本支出明细情况。</w:t>
      </w:r>
      <w:r>
        <w:rPr>
          <w:rFonts w:ascii="黑体" w:hAnsi="黑体" w:eastAsia="黑体"/>
          <w:szCs w:val="21"/>
        </w:rPr>
        <w:br w:type="page"/>
      </w:r>
    </w:p>
    <w:p>
      <w:pPr>
        <w:widowControl/>
        <w:jc w:val="center"/>
        <w:rPr>
          <w:rFonts w:ascii="Times New Roman" w:hAnsi="Times New Roman" w:eastAsia="方正小标宋_GBK" w:cs="Times New Roman"/>
          <w:color w:val="000000"/>
          <w:kern w:val="0"/>
          <w:sz w:val="36"/>
          <w:szCs w:val="36"/>
        </w:rPr>
      </w:pPr>
      <w:r>
        <w:rPr>
          <w:rFonts w:hint="eastAsia" w:ascii="Times New Roman" w:hAnsi="Times New Roman" w:eastAsia="方正小标宋_GBK" w:cs="Times New Roman"/>
          <w:color w:val="000000"/>
          <w:kern w:val="0"/>
          <w:sz w:val="36"/>
          <w:szCs w:val="36"/>
        </w:rPr>
        <w:t>一般公共预算财政拨款“三公”经费支出决算表</w:t>
      </w:r>
    </w:p>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部门：</w:t>
      </w:r>
      <w:r>
        <w:rPr>
          <w:rFonts w:hint="eastAsia" w:ascii="Times New Roman" w:hAnsi="Times New Roman" w:eastAsia="仿宋_GB2312" w:cs="Times New Roman"/>
          <w:color w:val="000000"/>
          <w:kern w:val="0"/>
          <w:szCs w:val="21"/>
          <w:lang w:eastAsia="zh-CN"/>
        </w:rPr>
        <w:t>中共蓝山县委组织部</w:t>
      </w:r>
      <w:r>
        <w:rPr>
          <w:rFonts w:ascii="Times New Roman" w:hAnsi="Times New Roman" w:eastAsia="仿宋_GB2312" w:cs="Times New Roman"/>
          <w:color w:val="000000"/>
          <w:kern w:val="0"/>
          <w:szCs w:val="21"/>
        </w:rPr>
        <w:t xml:space="preserve">                                                                                             </w:t>
      </w:r>
      <w:r>
        <w:rPr>
          <w:rFonts w:hint="eastAsia" w:ascii="Times New Roman" w:hAnsi="Times New Roman" w:eastAsia="仿宋_GB2312" w:cs="Times New Roman"/>
          <w:color w:val="000000"/>
          <w:kern w:val="0"/>
          <w:szCs w:val="21"/>
        </w:rPr>
        <w:t xml:space="preserve">         </w:t>
      </w:r>
      <w:r>
        <w:rPr>
          <w:rFonts w:ascii="Times New Roman" w:hAnsi="Times New Roman" w:eastAsia="仿宋_GB2312" w:cs="Times New Roman"/>
          <w:color w:val="000000"/>
          <w:kern w:val="0"/>
          <w:szCs w:val="21"/>
        </w:rPr>
        <w:t xml:space="preserve">       公开0</w:t>
      </w:r>
      <w:r>
        <w:rPr>
          <w:rFonts w:hint="eastAsia" w:ascii="Times New Roman" w:hAnsi="Times New Roman" w:eastAsia="仿宋_GB2312" w:cs="Times New Roman"/>
          <w:color w:val="000000"/>
          <w:kern w:val="0"/>
          <w:szCs w:val="21"/>
        </w:rPr>
        <w:t>7</w:t>
      </w:r>
      <w:r>
        <w:rPr>
          <w:rFonts w:ascii="Times New Roman" w:hAnsi="Times New Roman" w:eastAsia="仿宋_GB2312" w:cs="Times New Roman"/>
          <w:color w:val="000000"/>
          <w:kern w:val="0"/>
          <w:szCs w:val="21"/>
        </w:rPr>
        <w:t>表</w:t>
      </w:r>
    </w:p>
    <w:p>
      <w:pPr>
        <w:widowControl/>
        <w:ind w:right="420"/>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单位：万元</w:t>
      </w:r>
    </w:p>
    <w:tbl>
      <w:tblPr>
        <w:tblStyle w:val="7"/>
        <w:tblW w:w="14640" w:type="dxa"/>
        <w:jc w:val="center"/>
        <w:tblLayout w:type="fixed"/>
        <w:tblCellMar>
          <w:top w:w="0" w:type="dxa"/>
          <w:left w:w="108" w:type="dxa"/>
          <w:bottom w:w="0" w:type="dxa"/>
          <w:right w:w="108" w:type="dxa"/>
        </w:tblCellMar>
      </w:tblPr>
      <w:tblGrid>
        <w:gridCol w:w="1220"/>
        <w:gridCol w:w="1220"/>
        <w:gridCol w:w="1220"/>
        <w:gridCol w:w="1220"/>
        <w:gridCol w:w="1220"/>
        <w:gridCol w:w="1220"/>
        <w:gridCol w:w="1220"/>
        <w:gridCol w:w="1220"/>
        <w:gridCol w:w="1220"/>
        <w:gridCol w:w="1220"/>
        <w:gridCol w:w="1220"/>
        <w:gridCol w:w="1220"/>
      </w:tblGrid>
      <w:tr>
        <w:trPr>
          <w:trHeight w:val="397" w:hRule="atLeast"/>
          <w:jc w:val="center"/>
        </w:trPr>
        <w:tc>
          <w:tcPr>
            <w:tcW w:w="7320" w:type="dxa"/>
            <w:gridSpan w:val="6"/>
            <w:tcBorders>
              <w:top w:val="single" w:color="auto" w:sz="8" w:space="0"/>
              <w:left w:val="single" w:color="auto" w:sz="8" w:space="0"/>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预算数</w:t>
            </w:r>
          </w:p>
        </w:tc>
        <w:tc>
          <w:tcPr>
            <w:tcW w:w="7320" w:type="dxa"/>
            <w:gridSpan w:val="6"/>
            <w:tcBorders>
              <w:top w:val="single" w:color="auto" w:sz="8" w:space="0"/>
              <w:left w:val="nil"/>
              <w:bottom w:val="single" w:color="auto" w:sz="4" w:space="0"/>
              <w:right w:val="single" w:color="000000"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决算数</w:t>
            </w:r>
          </w:p>
        </w:tc>
      </w:tr>
      <w:tr>
        <w:trPr>
          <w:trHeight w:val="397" w:hRule="atLeast"/>
          <w:jc w:val="center"/>
        </w:trPr>
        <w:tc>
          <w:tcPr>
            <w:tcW w:w="1220" w:type="dxa"/>
            <w:vMerge w:val="restart"/>
            <w:tcBorders>
              <w:top w:val="nil"/>
              <w:left w:val="single" w:color="auto" w:sz="8"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合计</w:t>
            </w:r>
          </w:p>
        </w:tc>
        <w:tc>
          <w:tcPr>
            <w:tcW w:w="122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因公出国（境）费</w:t>
            </w:r>
          </w:p>
        </w:tc>
        <w:tc>
          <w:tcPr>
            <w:tcW w:w="366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公务用车购置及运行费</w:t>
            </w:r>
          </w:p>
        </w:tc>
        <w:tc>
          <w:tcPr>
            <w:tcW w:w="12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w:t>
            </w:r>
          </w:p>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接待费</w:t>
            </w:r>
          </w:p>
        </w:tc>
        <w:tc>
          <w:tcPr>
            <w:tcW w:w="1220" w:type="dxa"/>
            <w:vMerge w:val="restart"/>
            <w:tcBorders>
              <w:top w:val="nil"/>
              <w:left w:val="nil"/>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合计</w:t>
            </w:r>
          </w:p>
        </w:tc>
        <w:tc>
          <w:tcPr>
            <w:tcW w:w="122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因公出国（境）费</w:t>
            </w:r>
          </w:p>
        </w:tc>
        <w:tc>
          <w:tcPr>
            <w:tcW w:w="366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公务用车购置及运行费</w:t>
            </w:r>
          </w:p>
        </w:tc>
        <w:tc>
          <w:tcPr>
            <w:tcW w:w="1220" w:type="dxa"/>
            <w:vMerge w:val="restart"/>
            <w:tcBorders>
              <w:top w:val="nil"/>
              <w:left w:val="single" w:color="auto" w:sz="4" w:space="0"/>
              <w:bottom w:val="single" w:color="000000" w:sz="4" w:space="0"/>
              <w:right w:val="single" w:color="auto"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w:t>
            </w:r>
          </w:p>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接待费</w:t>
            </w:r>
          </w:p>
        </w:tc>
      </w:tr>
      <w:tr>
        <w:trPr>
          <w:trHeight w:val="397" w:hRule="atLeast"/>
          <w:jc w:val="center"/>
        </w:trPr>
        <w:tc>
          <w:tcPr>
            <w:tcW w:w="12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22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小计</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公务用车</w:t>
            </w:r>
            <w:r>
              <w:rPr>
                <w:rFonts w:ascii="Times New Roman" w:hAnsi="Times New Roman" w:eastAsia="仿宋_GB2312" w:cs="Times New Roman"/>
                <w:kern w:val="0"/>
                <w:szCs w:val="21"/>
              </w:rPr>
              <w:br w:type="textWrapping"/>
            </w:r>
            <w:r>
              <w:rPr>
                <w:rFonts w:ascii="Times New Roman" w:hAnsi="Times New Roman" w:eastAsia="仿宋_GB2312" w:cs="Times New Roman"/>
                <w:kern w:val="0"/>
                <w:szCs w:val="21"/>
              </w:rPr>
              <w:t>购置费</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公务用车</w:t>
            </w:r>
            <w:r>
              <w:rPr>
                <w:rFonts w:ascii="Times New Roman" w:hAnsi="Times New Roman" w:eastAsia="仿宋_GB2312" w:cs="Times New Roman"/>
                <w:kern w:val="0"/>
                <w:szCs w:val="21"/>
              </w:rPr>
              <w:br w:type="textWrapping"/>
            </w:r>
            <w:r>
              <w:rPr>
                <w:rFonts w:ascii="Times New Roman" w:hAnsi="Times New Roman" w:eastAsia="仿宋_GB2312" w:cs="Times New Roman"/>
                <w:kern w:val="0"/>
                <w:szCs w:val="21"/>
              </w:rPr>
              <w:t>运行费</w:t>
            </w:r>
          </w:p>
        </w:tc>
        <w:tc>
          <w:tcPr>
            <w:tcW w:w="122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220" w:type="dxa"/>
            <w:vMerge w:val="continue"/>
            <w:tcBorders>
              <w:top w:val="nil"/>
              <w:left w:val="nil"/>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22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kern w:val="0"/>
                <w:szCs w:val="21"/>
              </w:rPr>
            </w:pP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小计</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公务用车</w:t>
            </w:r>
            <w:r>
              <w:rPr>
                <w:rFonts w:ascii="Times New Roman" w:hAnsi="Times New Roman" w:eastAsia="仿宋_GB2312" w:cs="Times New Roman"/>
                <w:kern w:val="0"/>
                <w:szCs w:val="21"/>
              </w:rPr>
              <w:br w:type="textWrapping"/>
            </w:r>
            <w:r>
              <w:rPr>
                <w:rFonts w:ascii="Times New Roman" w:hAnsi="Times New Roman" w:eastAsia="仿宋_GB2312" w:cs="Times New Roman"/>
                <w:kern w:val="0"/>
                <w:szCs w:val="21"/>
              </w:rPr>
              <w:t>购置费</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公务用车</w:t>
            </w:r>
            <w:r>
              <w:rPr>
                <w:rFonts w:ascii="Times New Roman" w:hAnsi="Times New Roman" w:eastAsia="仿宋_GB2312" w:cs="Times New Roman"/>
                <w:kern w:val="0"/>
                <w:szCs w:val="21"/>
              </w:rPr>
              <w:br w:type="textWrapping"/>
            </w:r>
            <w:r>
              <w:rPr>
                <w:rFonts w:ascii="Times New Roman" w:hAnsi="Times New Roman" w:eastAsia="仿宋_GB2312" w:cs="Times New Roman"/>
                <w:kern w:val="0"/>
                <w:szCs w:val="21"/>
              </w:rPr>
              <w:t>运行费</w:t>
            </w:r>
          </w:p>
        </w:tc>
        <w:tc>
          <w:tcPr>
            <w:tcW w:w="1220" w:type="dxa"/>
            <w:vMerge w:val="continue"/>
            <w:tcBorders>
              <w:top w:val="nil"/>
              <w:left w:val="single" w:color="auto" w:sz="4" w:space="0"/>
              <w:bottom w:val="single" w:color="000000" w:sz="4" w:space="0"/>
              <w:right w:val="single" w:color="auto" w:sz="8" w:space="0"/>
            </w:tcBorders>
            <w:vAlign w:val="center"/>
          </w:tcPr>
          <w:p>
            <w:pPr>
              <w:widowControl/>
              <w:jc w:val="left"/>
              <w:rPr>
                <w:rFonts w:ascii="Times New Roman" w:hAnsi="Times New Roman" w:eastAsia="仿宋_GB2312" w:cs="Times New Roman"/>
                <w:kern w:val="0"/>
                <w:szCs w:val="21"/>
              </w:rPr>
            </w:pPr>
          </w:p>
        </w:tc>
      </w:tr>
      <w:tr>
        <w:trPr>
          <w:trHeight w:val="397" w:hRule="atLeast"/>
          <w:jc w:val="center"/>
        </w:trPr>
        <w:tc>
          <w:tcPr>
            <w:tcW w:w="122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5</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6</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7</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8</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9</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10</w:t>
            </w:r>
          </w:p>
        </w:tc>
        <w:tc>
          <w:tcPr>
            <w:tcW w:w="12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11</w:t>
            </w:r>
          </w:p>
        </w:tc>
        <w:tc>
          <w:tcPr>
            <w:tcW w:w="1220"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12</w:t>
            </w:r>
          </w:p>
        </w:tc>
      </w:tr>
      <w:tr>
        <w:trPr>
          <w:trHeight w:val="397" w:hRule="atLeast"/>
          <w:jc w:val="center"/>
        </w:trPr>
        <w:tc>
          <w:tcPr>
            <w:tcW w:w="1220" w:type="dxa"/>
            <w:tcBorders>
              <w:top w:val="nil"/>
              <w:left w:val="single" w:color="auto" w:sz="8" w:space="0"/>
              <w:bottom w:val="single" w:color="auto" w:sz="8" w:space="0"/>
              <w:right w:val="single" w:color="auto" w:sz="4" w:space="0"/>
            </w:tcBorders>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44.1</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0</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11</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0</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11</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33.1</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39.9</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0</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10.43</w:t>
            </w:r>
          </w:p>
        </w:tc>
        <w:tc>
          <w:tcPr>
            <w:tcW w:w="1220" w:type="dxa"/>
            <w:tcBorders>
              <w:top w:val="nil"/>
              <w:left w:val="nil"/>
              <w:bottom w:val="single" w:color="auto" w:sz="8" w:space="0"/>
              <w:right w:val="single" w:color="auto" w:sz="4" w:space="0"/>
            </w:tcBorders>
            <w:shd w:val="clear" w:color="auto" w:fill="auto"/>
            <w:vAlign w:val="center"/>
          </w:tcPr>
          <w:p>
            <w:pPr>
              <w:widowControl/>
              <w:jc w:val="left"/>
              <w:rPr>
                <w:rFonts w:hint="eastAsia"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0</w:t>
            </w:r>
          </w:p>
        </w:tc>
        <w:tc>
          <w:tcPr>
            <w:tcW w:w="1220" w:type="dxa"/>
            <w:tcBorders>
              <w:top w:val="nil"/>
              <w:left w:val="nil"/>
              <w:bottom w:val="single" w:color="auto" w:sz="8" w:space="0"/>
              <w:right w:val="nil"/>
            </w:tcBorders>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10.43</w:t>
            </w:r>
          </w:p>
        </w:tc>
        <w:tc>
          <w:tcPr>
            <w:tcW w:w="1220" w:type="dxa"/>
            <w:tcBorders>
              <w:top w:val="nil"/>
              <w:left w:val="single" w:color="auto" w:sz="4" w:space="0"/>
              <w:bottom w:val="single" w:color="auto" w:sz="8" w:space="0"/>
              <w:right w:val="single" w:color="auto" w:sz="8" w:space="0"/>
            </w:tcBorders>
            <w:shd w:val="clear" w:color="auto" w:fill="auto"/>
            <w:vAlign w:val="center"/>
          </w:tcPr>
          <w:p>
            <w:pPr>
              <w:widowControl/>
              <w:jc w:val="left"/>
              <w:rPr>
                <w:rFonts w:hint="default" w:ascii="Times New Roman" w:hAnsi="Times New Roman" w:eastAsia="仿宋_GB2312" w:cs="Times New Roman"/>
                <w:kern w:val="0"/>
                <w:szCs w:val="21"/>
                <w:lang w:val="en-US" w:eastAsia="zh-CN"/>
              </w:rPr>
            </w:pPr>
            <w:r>
              <w:rPr>
                <w:rFonts w:ascii="Times New Roman" w:hAnsi="Times New Roman" w:eastAsia="仿宋_GB2312" w:cs="Times New Roman"/>
                <w:kern w:val="0"/>
                <w:szCs w:val="21"/>
              </w:rPr>
              <w:t>　</w:t>
            </w:r>
            <w:r>
              <w:rPr>
                <w:rFonts w:hint="eastAsia" w:ascii="Times New Roman" w:hAnsi="Times New Roman" w:eastAsia="仿宋_GB2312" w:cs="Times New Roman"/>
                <w:kern w:val="0"/>
                <w:szCs w:val="21"/>
                <w:lang w:val="en-US" w:eastAsia="zh-CN"/>
              </w:rPr>
              <w:t>29.47</w:t>
            </w:r>
          </w:p>
        </w:tc>
      </w:tr>
    </w:tbl>
    <w:p>
      <w:pPr>
        <w:autoSpaceDE w:val="0"/>
        <w:autoSpaceDN w:val="0"/>
        <w:adjustRightInd w:val="0"/>
        <w:ind w:left="315" w:leftChars="150"/>
        <w:jc w:val="left"/>
        <w:rPr>
          <w:rFonts w:ascii="宋体" w:eastAsia="宋体" w:cs="宋体"/>
          <w:kern w:val="0"/>
          <w:sz w:val="24"/>
          <w:szCs w:val="24"/>
        </w:rPr>
      </w:pPr>
      <w:r>
        <w:rPr>
          <w:rFonts w:hint="eastAsia" w:ascii="宋体" w:eastAsia="宋体" w:cs="宋体"/>
          <w:kern w:val="0"/>
          <w:sz w:val="24"/>
          <w:szCs w:val="24"/>
        </w:rPr>
        <w:t>注：本表反映部门本年度“三公”经费支出预决算情况。其中，预算数为“三公”经费全年预算数，反映按规定程序调整后的预算数；决算数是包括当年一般公共预算财政拨款和以前年度结转资金安排的实际支出。</w:t>
      </w:r>
    </w:p>
    <w:p>
      <w:pPr>
        <w:widowControl/>
        <w:jc w:val="left"/>
        <w:rPr>
          <w:rFonts w:ascii="宋体" w:eastAsia="宋体" w:cs="宋体"/>
          <w:kern w:val="0"/>
          <w:sz w:val="24"/>
          <w:szCs w:val="24"/>
        </w:rPr>
      </w:pPr>
      <w:r>
        <w:rPr>
          <w:rFonts w:ascii="宋体" w:eastAsia="宋体" w:cs="宋体"/>
          <w:kern w:val="0"/>
          <w:sz w:val="24"/>
          <w:szCs w:val="24"/>
        </w:rPr>
        <w:br w:type="page"/>
      </w:r>
    </w:p>
    <w:p>
      <w:pPr>
        <w:autoSpaceDE w:val="0"/>
        <w:autoSpaceDN w:val="0"/>
        <w:adjustRightInd w:val="0"/>
        <w:ind w:left="315" w:leftChars="150"/>
        <w:jc w:val="left"/>
        <w:rPr>
          <w:rFonts w:ascii="宋体" w:eastAsia="宋体" w:cs="宋体"/>
          <w:kern w:val="0"/>
          <w:sz w:val="24"/>
          <w:szCs w:val="24"/>
        </w:rPr>
      </w:pPr>
    </w:p>
    <w:p>
      <w:pPr>
        <w:widowControl/>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政府性基金预算财政拨款收入支出决算表</w:t>
      </w:r>
    </w:p>
    <w:p>
      <w:pPr>
        <w:widowControl/>
        <w:wordWrap w:val="0"/>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部门：</w:t>
      </w:r>
      <w:r>
        <w:rPr>
          <w:rFonts w:hint="eastAsia" w:ascii="Times New Roman" w:hAnsi="Times New Roman" w:eastAsia="仿宋_GB2312" w:cs="Times New Roman"/>
          <w:color w:val="000000"/>
          <w:kern w:val="0"/>
          <w:szCs w:val="21"/>
          <w:lang w:eastAsia="zh-CN"/>
        </w:rPr>
        <w:t>中共蓝山县委组织部</w:t>
      </w:r>
      <w:r>
        <w:rPr>
          <w:rFonts w:ascii="Times New Roman" w:hAnsi="Times New Roman" w:eastAsia="仿宋_GB2312" w:cs="Times New Roman"/>
          <w:color w:val="000000"/>
          <w:kern w:val="0"/>
          <w:szCs w:val="21"/>
        </w:rPr>
        <w:t xml:space="preserve">                                                                                                              公开08表</w:t>
      </w:r>
    </w:p>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单位：万元</w:t>
      </w:r>
    </w:p>
    <w:tbl>
      <w:tblPr>
        <w:tblStyle w:val="7"/>
        <w:tblW w:w="1444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20"/>
        <w:gridCol w:w="1320"/>
        <w:gridCol w:w="2000"/>
        <w:gridCol w:w="2000"/>
        <w:gridCol w:w="2000"/>
        <w:gridCol w:w="2000"/>
        <w:gridCol w:w="2000"/>
        <w:gridCol w:w="2000"/>
      </w:tblGrid>
      <w:tr>
        <w:trPr>
          <w:trHeight w:val="454" w:hRule="atLeast"/>
          <w:jc w:val="center"/>
        </w:trPr>
        <w:tc>
          <w:tcPr>
            <w:tcW w:w="2440" w:type="dxa"/>
            <w:gridSpan w:val="2"/>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 xml:space="preserve">项 </w:t>
            </w:r>
            <w:r>
              <w:rPr>
                <w:rFonts w:ascii="Times New Roman" w:hAnsi="Times New Roman" w:eastAsia="仿宋_GB2312" w:cs="Times New Roman"/>
                <w:b/>
                <w:color w:val="000000"/>
                <w:kern w:val="0"/>
                <w:szCs w:val="21"/>
              </w:rPr>
              <w:t xml:space="preserve">   </w:t>
            </w:r>
            <w:r>
              <w:rPr>
                <w:rFonts w:ascii="Times New Roman" w:hAnsi="Times New Roman" w:eastAsia="仿宋_GB2312" w:cs="Times New Roman"/>
                <w:b/>
                <w:kern w:val="0"/>
                <w:szCs w:val="21"/>
              </w:rPr>
              <w:t>目</w:t>
            </w:r>
          </w:p>
        </w:tc>
        <w:tc>
          <w:tcPr>
            <w:tcW w:w="200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年初结转和结余</w:t>
            </w:r>
          </w:p>
        </w:tc>
        <w:tc>
          <w:tcPr>
            <w:tcW w:w="200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本年收入</w:t>
            </w:r>
          </w:p>
        </w:tc>
        <w:tc>
          <w:tcPr>
            <w:tcW w:w="6000" w:type="dxa"/>
            <w:gridSpan w:val="3"/>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本年支出</w:t>
            </w:r>
          </w:p>
        </w:tc>
        <w:tc>
          <w:tcPr>
            <w:tcW w:w="200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年末结转和结余</w:t>
            </w:r>
          </w:p>
        </w:tc>
      </w:tr>
      <w:tr>
        <w:trPr>
          <w:trHeight w:val="454" w:hRule="atLeast"/>
          <w:jc w:val="center"/>
        </w:trPr>
        <w:tc>
          <w:tcPr>
            <w:tcW w:w="112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功能分类科目编码</w:t>
            </w:r>
          </w:p>
        </w:tc>
        <w:tc>
          <w:tcPr>
            <w:tcW w:w="132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科目名称</w:t>
            </w:r>
          </w:p>
        </w:tc>
        <w:tc>
          <w:tcPr>
            <w:tcW w:w="2000" w:type="dxa"/>
            <w:vMerge w:val="continue"/>
            <w:vAlign w:val="center"/>
          </w:tcPr>
          <w:p>
            <w:pPr>
              <w:widowControl/>
              <w:jc w:val="left"/>
              <w:rPr>
                <w:rFonts w:ascii="Times New Roman" w:hAnsi="Times New Roman" w:eastAsia="仿宋_GB2312" w:cs="Times New Roman"/>
                <w:b/>
                <w:kern w:val="0"/>
                <w:szCs w:val="21"/>
              </w:rPr>
            </w:pPr>
          </w:p>
        </w:tc>
        <w:tc>
          <w:tcPr>
            <w:tcW w:w="2000" w:type="dxa"/>
            <w:vMerge w:val="continue"/>
            <w:vAlign w:val="center"/>
          </w:tcPr>
          <w:p>
            <w:pPr>
              <w:widowControl/>
              <w:jc w:val="left"/>
              <w:rPr>
                <w:rFonts w:ascii="Times New Roman" w:hAnsi="Times New Roman" w:eastAsia="仿宋_GB2312" w:cs="Times New Roman"/>
                <w:b/>
                <w:kern w:val="0"/>
                <w:szCs w:val="21"/>
              </w:rPr>
            </w:pPr>
          </w:p>
        </w:tc>
        <w:tc>
          <w:tcPr>
            <w:tcW w:w="200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小计</w:t>
            </w:r>
          </w:p>
        </w:tc>
        <w:tc>
          <w:tcPr>
            <w:tcW w:w="200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 xml:space="preserve">基本支出  </w:t>
            </w:r>
          </w:p>
        </w:tc>
        <w:tc>
          <w:tcPr>
            <w:tcW w:w="2000" w:type="dxa"/>
            <w:vMerge w:val="restart"/>
            <w:shd w:val="clear" w:color="auto" w:fill="auto"/>
            <w:vAlign w:val="center"/>
          </w:tcPr>
          <w:p>
            <w:pPr>
              <w:widowControl/>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项目支出</w:t>
            </w:r>
          </w:p>
        </w:tc>
        <w:tc>
          <w:tcPr>
            <w:tcW w:w="2000" w:type="dxa"/>
            <w:vMerge w:val="continue"/>
            <w:vAlign w:val="center"/>
          </w:tcPr>
          <w:p>
            <w:pPr>
              <w:widowControl/>
              <w:jc w:val="left"/>
              <w:rPr>
                <w:rFonts w:ascii="Times New Roman" w:hAnsi="Times New Roman" w:eastAsia="仿宋_GB2312" w:cs="Times New Roman"/>
                <w:b/>
                <w:kern w:val="0"/>
                <w:szCs w:val="21"/>
              </w:rPr>
            </w:pPr>
          </w:p>
        </w:tc>
      </w:tr>
      <w:tr>
        <w:trPr>
          <w:trHeight w:val="454" w:hRule="atLeast"/>
          <w:jc w:val="center"/>
        </w:trPr>
        <w:tc>
          <w:tcPr>
            <w:tcW w:w="1120" w:type="dxa"/>
            <w:vMerge w:val="continue"/>
            <w:vAlign w:val="center"/>
          </w:tcPr>
          <w:p>
            <w:pPr>
              <w:widowControl/>
              <w:jc w:val="left"/>
              <w:rPr>
                <w:rFonts w:ascii="Times New Roman" w:hAnsi="Times New Roman" w:eastAsia="仿宋_GB2312" w:cs="Times New Roman"/>
                <w:kern w:val="0"/>
                <w:szCs w:val="21"/>
              </w:rPr>
            </w:pPr>
          </w:p>
        </w:tc>
        <w:tc>
          <w:tcPr>
            <w:tcW w:w="132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r>
      <w:tr>
        <w:trPr>
          <w:trHeight w:val="454" w:hRule="atLeast"/>
          <w:jc w:val="center"/>
        </w:trPr>
        <w:tc>
          <w:tcPr>
            <w:tcW w:w="1120" w:type="dxa"/>
            <w:vMerge w:val="continue"/>
            <w:vAlign w:val="center"/>
          </w:tcPr>
          <w:p>
            <w:pPr>
              <w:widowControl/>
              <w:jc w:val="left"/>
              <w:rPr>
                <w:rFonts w:ascii="Times New Roman" w:hAnsi="Times New Roman" w:eastAsia="仿宋_GB2312" w:cs="Times New Roman"/>
                <w:kern w:val="0"/>
                <w:szCs w:val="21"/>
              </w:rPr>
            </w:pPr>
          </w:p>
        </w:tc>
        <w:tc>
          <w:tcPr>
            <w:tcW w:w="132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c>
          <w:tcPr>
            <w:tcW w:w="2000" w:type="dxa"/>
            <w:vMerge w:val="continue"/>
            <w:vAlign w:val="center"/>
          </w:tcPr>
          <w:p>
            <w:pPr>
              <w:widowControl/>
              <w:jc w:val="left"/>
              <w:rPr>
                <w:rFonts w:ascii="Times New Roman" w:hAnsi="Times New Roman" w:eastAsia="仿宋_GB2312" w:cs="Times New Roman"/>
                <w:kern w:val="0"/>
                <w:szCs w:val="21"/>
              </w:rPr>
            </w:pPr>
          </w:p>
        </w:tc>
      </w:tr>
      <w:tr>
        <w:trPr>
          <w:trHeight w:val="454" w:hRule="atLeast"/>
          <w:jc w:val="center"/>
        </w:trPr>
        <w:tc>
          <w:tcPr>
            <w:tcW w:w="2440" w:type="dxa"/>
            <w:gridSpan w:val="2"/>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栏次</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2</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4</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5</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6</w:t>
            </w:r>
          </w:p>
        </w:tc>
      </w:tr>
      <w:tr>
        <w:trPr>
          <w:trHeight w:val="454" w:hRule="atLeast"/>
          <w:jc w:val="center"/>
        </w:trPr>
        <w:tc>
          <w:tcPr>
            <w:tcW w:w="2440" w:type="dxa"/>
            <w:gridSpan w:val="2"/>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合计</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4" w:hRule="atLeast"/>
          <w:jc w:val="center"/>
        </w:trPr>
        <w:tc>
          <w:tcPr>
            <w:tcW w:w="2440" w:type="dxa"/>
            <w:gridSpan w:val="2"/>
            <w:shd w:val="clear" w:color="auto" w:fill="auto"/>
            <w:vAlign w:val="center"/>
          </w:tcPr>
          <w:p>
            <w:pPr>
              <w:widowControl/>
              <w:jc w:val="both"/>
              <w:rPr>
                <w:rFonts w:ascii="Times New Roman" w:hAnsi="Times New Roman" w:eastAsia="仿宋_GB2312" w:cs="Times New Roman"/>
                <w:kern w:val="0"/>
                <w:szCs w:val="21"/>
              </w:rPr>
            </w:pPr>
            <w:r>
              <w:rPr>
                <w:rFonts w:hint="eastAsia" w:ascii="Times New Roman" w:hAnsi="Times New Roman" w:eastAsia="仿宋_GB2312" w:cs="Times New Roman"/>
                <w:kern w:val="0"/>
                <w:szCs w:val="21"/>
                <w:lang w:eastAsia="zh-CN"/>
              </w:rPr>
              <w:t>中共蓝山县委组织部</w:t>
            </w:r>
            <w:r>
              <w:rPr>
                <w:rFonts w:hint="eastAsia" w:ascii="Times New Roman" w:hAnsi="Times New Roman" w:eastAsia="仿宋_GB2312" w:cs="Times New Roman"/>
                <w:kern w:val="0"/>
                <w:szCs w:val="21"/>
              </w:rPr>
              <w:t>没有政府性基金收入，也没有使用政府性基金安排的支出，故本表无数据</w:t>
            </w: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4" w:hRule="atLeast"/>
          <w:jc w:val="center"/>
        </w:trPr>
        <w:tc>
          <w:tcPr>
            <w:tcW w:w="112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2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4" w:hRule="atLeast"/>
          <w:jc w:val="center"/>
        </w:trPr>
        <w:tc>
          <w:tcPr>
            <w:tcW w:w="112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2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4" w:hRule="atLeast"/>
          <w:jc w:val="center"/>
        </w:trPr>
        <w:tc>
          <w:tcPr>
            <w:tcW w:w="112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2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4" w:hRule="atLeast"/>
          <w:jc w:val="center"/>
        </w:trPr>
        <w:tc>
          <w:tcPr>
            <w:tcW w:w="112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2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r>
        <w:trPr>
          <w:trHeight w:val="454" w:hRule="atLeast"/>
          <w:jc w:val="center"/>
        </w:trPr>
        <w:tc>
          <w:tcPr>
            <w:tcW w:w="1120" w:type="dxa"/>
            <w:shd w:val="clear" w:color="auto" w:fill="auto"/>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132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c>
          <w:tcPr>
            <w:tcW w:w="2000" w:type="dxa"/>
            <w:shd w:val="clear" w:color="auto" w:fill="auto"/>
            <w:vAlign w:val="center"/>
          </w:tcPr>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　</w:t>
            </w:r>
          </w:p>
        </w:tc>
      </w:tr>
    </w:tbl>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注：本表反映部门本年度政府性基金预算财政拨款收入、支出及结转和结余情况</w:t>
      </w:r>
    </w:p>
    <w:p>
      <w:pPr>
        <w:widowControl/>
        <w:jc w:val="left"/>
        <w:rPr>
          <w:rFonts w:ascii="Times New Roman" w:hAnsi="Times New Roman" w:eastAsia="仿宋_GB2312" w:cs="Times New Roman"/>
          <w:kern w:val="0"/>
          <w:szCs w:val="21"/>
        </w:rPr>
      </w:pPr>
      <w:r>
        <w:rPr>
          <w:rFonts w:ascii="Times New Roman" w:hAnsi="Times New Roman" w:eastAsia="仿宋_GB2312" w:cs="Times New Roman"/>
          <w:kern w:val="0"/>
          <w:szCs w:val="21"/>
        </w:rPr>
        <w:t>(若本单位无政府性基金收支</w:t>
      </w:r>
      <w:r>
        <w:rPr>
          <w:rFonts w:hint="eastAsia" w:ascii="Times New Roman" w:hAnsi="Times New Roman" w:eastAsia="仿宋_GB2312" w:cs="Times New Roman"/>
          <w:kern w:val="0"/>
          <w:szCs w:val="21"/>
        </w:rPr>
        <w:t>,请说明：XX单位没有政府性基金收入，也没有使用政府性基金安排的支出，故本表无数据</w:t>
      </w:r>
      <w:r>
        <w:rPr>
          <w:rFonts w:ascii="Times New Roman" w:hAnsi="Times New Roman" w:eastAsia="仿宋_GB2312" w:cs="Times New Roman"/>
          <w:kern w:val="0"/>
          <w:szCs w:val="21"/>
        </w:rPr>
        <w:t>)。</w:t>
      </w:r>
    </w:p>
    <w:p>
      <w:pPr>
        <w:widowControl/>
        <w:jc w:val="left"/>
        <w:rPr>
          <w:sz w:val="72"/>
          <w:szCs w:val="72"/>
        </w:rPr>
        <w:sectPr>
          <w:pgSz w:w="16838" w:h="11906" w:orient="landscape"/>
          <w:pgMar w:top="720" w:right="720" w:bottom="720" w:left="720" w:header="851" w:footer="992" w:gutter="0"/>
          <w:cols w:space="425" w:num="1"/>
          <w:docGrid w:type="lines" w:linePitch="312" w:charSpace="0"/>
        </w:sectPr>
      </w:pPr>
      <w:r>
        <w:rPr>
          <w:rFonts w:ascii="黑体" w:hAnsi="黑体" w:eastAsia="黑体"/>
          <w:szCs w:val="21"/>
        </w:rPr>
        <w:br w:type="page"/>
      </w:r>
    </w:p>
    <w:p>
      <w:pPr>
        <w:pStyle w:val="10"/>
        <w:keepNext w:val="0"/>
        <w:keepLines w:val="0"/>
        <w:pageBreakBefore w:val="0"/>
        <w:kinsoku/>
        <w:wordWrap/>
        <w:overflowPunct/>
        <w:topLinePunct w:val="0"/>
        <w:bidi w:val="0"/>
        <w:snapToGrid/>
        <w:spacing w:beforeAutospacing="0" w:afterAutospacing="0" w:line="560" w:lineRule="atLeas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第三部分2019年度部门决算情况说明</w:t>
      </w:r>
    </w:p>
    <w:p>
      <w:pPr>
        <w:keepNext w:val="0"/>
        <w:keepLines w:val="0"/>
        <w:pageBreakBefore w:val="0"/>
        <w:widowControl/>
        <w:numPr>
          <w:ilvl w:val="0"/>
          <w:numId w:val="2"/>
        </w:numPr>
        <w:kinsoku/>
        <w:wordWrap/>
        <w:overflowPunct/>
        <w:topLinePunct w:val="0"/>
        <w:bidi w:val="0"/>
        <w:snapToGrid/>
        <w:spacing w:beforeAutospacing="0" w:afterAutospacing="0" w:line="560" w:lineRule="atLeast"/>
        <w:jc w:val="lef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收入支出决算总体情况说明</w:t>
      </w:r>
    </w:p>
    <w:p>
      <w:pPr>
        <w:pStyle w:val="10"/>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2019年度</w:t>
      </w:r>
      <w:r>
        <w:rPr>
          <w:rFonts w:hint="eastAsia" w:ascii="仿宋_GB2312" w:hAnsi="仿宋_GB2312" w:eastAsia="仿宋_GB2312" w:cs="仿宋_GB2312"/>
          <w:sz w:val="32"/>
          <w:szCs w:val="32"/>
          <w:lang w:val="en-US" w:eastAsia="zh-CN"/>
        </w:rPr>
        <w:t>收、支</w:t>
      </w:r>
      <w:r>
        <w:rPr>
          <w:rFonts w:hint="eastAsia" w:ascii="仿宋_GB2312" w:hAnsi="仿宋_GB2312" w:eastAsia="仿宋_GB2312" w:cs="仿宋_GB2312"/>
          <w:sz w:val="32"/>
          <w:szCs w:val="32"/>
        </w:rPr>
        <w:t>总计</w:t>
      </w:r>
      <w:r>
        <w:rPr>
          <w:rFonts w:hint="eastAsia" w:ascii="仿宋_GB2312" w:hAnsi="仿宋_GB2312" w:eastAsia="仿宋_GB2312" w:cs="仿宋_GB2312"/>
          <w:sz w:val="32"/>
          <w:szCs w:val="32"/>
          <w:lang w:val="en-US" w:eastAsia="zh-CN"/>
        </w:rPr>
        <w:t>508.47</w:t>
      </w:r>
      <w:r>
        <w:rPr>
          <w:rFonts w:hint="eastAsia" w:ascii="仿宋_GB2312" w:hAnsi="仿宋_GB2312" w:eastAsia="仿宋_GB2312" w:cs="仿宋_GB2312"/>
          <w:sz w:val="32"/>
          <w:szCs w:val="32"/>
        </w:rPr>
        <w:t>万元。与2018年相比，增加</w:t>
      </w:r>
      <w:r>
        <w:rPr>
          <w:rFonts w:hint="eastAsia" w:ascii="仿宋_GB2312" w:hAnsi="仿宋_GB2312" w:eastAsia="仿宋_GB2312" w:cs="仿宋_GB2312"/>
          <w:sz w:val="32"/>
          <w:szCs w:val="32"/>
          <w:lang w:val="en-US" w:eastAsia="zh-CN"/>
        </w:rPr>
        <w:t>43.5</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9.3</w:t>
      </w:r>
      <w:r>
        <w:rPr>
          <w:rFonts w:hint="eastAsia" w:ascii="仿宋_GB2312" w:hAnsi="仿宋_GB2312" w:eastAsia="仿宋_GB2312" w:cs="仿宋_GB2312"/>
          <w:sz w:val="32"/>
          <w:szCs w:val="32"/>
        </w:rPr>
        <w:t>%，主要是因为</w:t>
      </w:r>
      <w:r>
        <w:rPr>
          <w:rFonts w:hint="eastAsia" w:ascii="仿宋_GB2312" w:hAnsi="仿宋_GB2312" w:eastAsia="仿宋_GB2312" w:cs="仿宋_GB2312"/>
          <w:sz w:val="32"/>
          <w:szCs w:val="32"/>
          <w:lang w:val="en-US" w:eastAsia="zh-CN"/>
        </w:rPr>
        <w:t>增加了两新组织党建经费、机关党员学习教育费、追加了党员教育工作竞赛及微电影拍摄等支出，以及机构改革人员转隶，人员增加。</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二、收入决算情况说明</w:t>
      </w:r>
    </w:p>
    <w:p>
      <w:pPr>
        <w:pStyle w:val="10"/>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本年收入合计</w:t>
      </w:r>
      <w:r>
        <w:rPr>
          <w:rFonts w:hint="eastAsia" w:ascii="仿宋_GB2312" w:hAnsi="仿宋_GB2312" w:eastAsia="仿宋_GB2312" w:cs="仿宋_GB2312"/>
          <w:sz w:val="32"/>
          <w:szCs w:val="32"/>
          <w:lang w:val="en-US" w:eastAsia="zh-CN"/>
        </w:rPr>
        <w:t>508.47</w:t>
      </w:r>
      <w:r>
        <w:rPr>
          <w:rFonts w:hint="eastAsia" w:ascii="仿宋_GB2312" w:hAnsi="仿宋_GB2312" w:eastAsia="仿宋_GB2312" w:cs="仿宋_GB2312"/>
          <w:sz w:val="32"/>
          <w:szCs w:val="32"/>
        </w:rPr>
        <w:t>万元，其中：财政拨款收入</w:t>
      </w:r>
      <w:r>
        <w:rPr>
          <w:rFonts w:hint="eastAsia" w:ascii="仿宋_GB2312" w:hAnsi="仿宋_GB2312" w:eastAsia="仿宋_GB2312" w:cs="仿宋_GB2312"/>
          <w:sz w:val="32"/>
          <w:szCs w:val="32"/>
          <w:lang w:val="en-US" w:eastAsia="zh-CN"/>
        </w:rPr>
        <w:t>508.47</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三、支出决算情况说明</w:t>
      </w:r>
    </w:p>
    <w:p>
      <w:pPr>
        <w:pStyle w:val="10"/>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本年支出合计</w:t>
      </w:r>
      <w:r>
        <w:rPr>
          <w:rFonts w:hint="eastAsia" w:ascii="仿宋_GB2312" w:hAnsi="仿宋_GB2312" w:eastAsia="仿宋_GB2312" w:cs="仿宋_GB2312"/>
          <w:sz w:val="32"/>
          <w:szCs w:val="32"/>
          <w:lang w:val="en-US" w:eastAsia="zh-CN"/>
        </w:rPr>
        <w:t>508.47</w:t>
      </w:r>
      <w:r>
        <w:rPr>
          <w:rFonts w:hint="eastAsia" w:ascii="仿宋_GB2312" w:hAnsi="仿宋_GB2312" w:eastAsia="仿宋_GB2312" w:cs="仿宋_GB2312"/>
          <w:sz w:val="32"/>
          <w:szCs w:val="32"/>
        </w:rPr>
        <w:t>万元，其中：基本支出</w:t>
      </w:r>
      <w:r>
        <w:rPr>
          <w:rFonts w:hint="eastAsia" w:ascii="仿宋_GB2312" w:hAnsi="仿宋_GB2312" w:eastAsia="仿宋_GB2312" w:cs="仿宋_GB2312"/>
          <w:sz w:val="32"/>
          <w:szCs w:val="32"/>
          <w:lang w:val="en-US" w:eastAsia="zh-CN"/>
        </w:rPr>
        <w:t>508.47</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四、财政拨款收入支出决算总体情况说明</w:t>
      </w:r>
    </w:p>
    <w:p>
      <w:pPr>
        <w:pStyle w:val="10"/>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2019年度财政拨款</w:t>
      </w:r>
      <w:r>
        <w:rPr>
          <w:rFonts w:hint="eastAsia" w:ascii="仿宋_GB2312" w:hAnsi="仿宋_GB2312" w:eastAsia="仿宋_GB2312" w:cs="仿宋_GB2312"/>
          <w:sz w:val="32"/>
          <w:szCs w:val="32"/>
          <w:lang w:val="en-US" w:eastAsia="zh-CN"/>
        </w:rPr>
        <w:t>收、支</w:t>
      </w:r>
      <w:r>
        <w:rPr>
          <w:rFonts w:hint="eastAsia" w:ascii="仿宋_GB2312" w:hAnsi="仿宋_GB2312" w:eastAsia="仿宋_GB2312" w:cs="仿宋_GB2312"/>
          <w:sz w:val="32"/>
          <w:szCs w:val="32"/>
        </w:rPr>
        <w:t>总计</w:t>
      </w:r>
      <w:r>
        <w:rPr>
          <w:rFonts w:hint="eastAsia" w:ascii="仿宋_GB2312" w:hAnsi="仿宋_GB2312" w:eastAsia="仿宋_GB2312" w:cs="仿宋_GB2312"/>
          <w:sz w:val="32"/>
          <w:szCs w:val="32"/>
          <w:lang w:val="en-US" w:eastAsia="zh-CN"/>
        </w:rPr>
        <w:t>508.47</w:t>
      </w:r>
      <w:r>
        <w:rPr>
          <w:rFonts w:hint="eastAsia" w:ascii="仿宋_GB2312" w:hAnsi="仿宋_GB2312" w:eastAsia="仿宋_GB2312" w:cs="仿宋_GB2312"/>
          <w:sz w:val="32"/>
          <w:szCs w:val="32"/>
        </w:rPr>
        <w:t>万元，与2018年相比，增加</w:t>
      </w:r>
      <w:r>
        <w:rPr>
          <w:rFonts w:hint="eastAsia" w:ascii="仿宋_GB2312" w:hAnsi="仿宋_GB2312" w:eastAsia="仿宋_GB2312" w:cs="仿宋_GB2312"/>
          <w:sz w:val="32"/>
          <w:szCs w:val="32"/>
          <w:lang w:val="en-US" w:eastAsia="zh-CN"/>
        </w:rPr>
        <w:t>43.5</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9.3</w:t>
      </w:r>
      <w:r>
        <w:rPr>
          <w:rFonts w:hint="eastAsia" w:ascii="仿宋_GB2312" w:hAnsi="仿宋_GB2312" w:eastAsia="仿宋_GB2312" w:cs="仿宋_GB2312"/>
          <w:sz w:val="32"/>
          <w:szCs w:val="32"/>
        </w:rPr>
        <w:t>%，主要是因为</w:t>
      </w:r>
      <w:r>
        <w:rPr>
          <w:rFonts w:hint="eastAsia" w:ascii="仿宋_GB2312" w:hAnsi="仿宋_GB2312" w:eastAsia="仿宋_GB2312" w:cs="仿宋_GB2312"/>
          <w:sz w:val="32"/>
          <w:szCs w:val="32"/>
          <w:lang w:val="en-US" w:eastAsia="zh-CN"/>
        </w:rPr>
        <w:t>增加了两新组织党建经费、机关党员学习教育费、追加了党员教育工作竞赛及微电影拍摄等经费，以及机构改革人员转隶，人员增加。</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五、一般公共预算财政拨款支出决算情况说明</w:t>
      </w:r>
    </w:p>
    <w:p>
      <w:pPr>
        <w:pStyle w:val="10"/>
        <w:keepNext w:val="0"/>
        <w:keepLines w:val="0"/>
        <w:pageBreakBefore w:val="0"/>
        <w:widowControl w:val="0"/>
        <w:kinsoku/>
        <w:wordWrap/>
        <w:overflowPunct/>
        <w:topLinePunct w:val="0"/>
        <w:autoSpaceDE w:val="0"/>
        <w:autoSpaceDN w:val="0"/>
        <w:bidi w:val="0"/>
        <w:adjustRightInd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（一）财政拨款支出决算总体情况</w:t>
      </w:r>
    </w:p>
    <w:p>
      <w:pPr>
        <w:pStyle w:val="10"/>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2019年度财政拨款支出</w:t>
      </w:r>
      <w:r>
        <w:rPr>
          <w:rFonts w:hint="eastAsia" w:ascii="仿宋_GB2312" w:hAnsi="仿宋_GB2312" w:eastAsia="仿宋_GB2312" w:cs="仿宋_GB2312"/>
          <w:sz w:val="32"/>
          <w:szCs w:val="32"/>
          <w:lang w:val="en-US" w:eastAsia="zh-CN"/>
        </w:rPr>
        <w:t>508.47</w:t>
      </w:r>
      <w:r>
        <w:rPr>
          <w:rFonts w:hint="eastAsia" w:ascii="仿宋_GB2312" w:hAnsi="仿宋_GB2312" w:eastAsia="仿宋_GB2312" w:cs="仿宋_GB2312"/>
          <w:sz w:val="32"/>
          <w:szCs w:val="32"/>
        </w:rPr>
        <w:t>万元，占本年支出合计的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%，与2018年相比，财政拨款支出增加</w:t>
      </w:r>
      <w:r>
        <w:rPr>
          <w:rFonts w:hint="eastAsia" w:ascii="仿宋_GB2312" w:hAnsi="仿宋_GB2312" w:eastAsia="仿宋_GB2312" w:cs="仿宋_GB2312"/>
          <w:sz w:val="32"/>
          <w:szCs w:val="32"/>
          <w:lang w:val="en-US" w:eastAsia="zh-CN"/>
        </w:rPr>
        <w:t>43.5</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9.3</w:t>
      </w:r>
      <w:r>
        <w:rPr>
          <w:rFonts w:hint="eastAsia" w:ascii="仿宋_GB2312" w:hAnsi="仿宋_GB2312" w:eastAsia="仿宋_GB2312" w:cs="仿宋_GB2312"/>
          <w:sz w:val="32"/>
          <w:szCs w:val="32"/>
        </w:rPr>
        <w:t>%，主要是因为</w:t>
      </w:r>
      <w:r>
        <w:rPr>
          <w:rFonts w:hint="eastAsia" w:ascii="仿宋_GB2312" w:hAnsi="仿宋_GB2312" w:eastAsia="仿宋_GB2312" w:cs="仿宋_GB2312"/>
          <w:sz w:val="32"/>
          <w:szCs w:val="32"/>
          <w:lang w:val="en-US" w:eastAsia="zh-CN"/>
        </w:rPr>
        <w:t>增加了两新组织党建经费、机关党员学习教育费、追加了党员教育工作竞赛及微电影拍摄等支出，以及机构改革人员转隶，人员增加。</w:t>
      </w:r>
    </w:p>
    <w:p>
      <w:pPr>
        <w:pStyle w:val="10"/>
        <w:keepNext w:val="0"/>
        <w:keepLines w:val="0"/>
        <w:pageBreakBefore w:val="0"/>
        <w:widowControl w:val="0"/>
        <w:kinsoku/>
        <w:wordWrap/>
        <w:overflowPunct/>
        <w:topLinePunct w:val="0"/>
        <w:autoSpaceDE w:val="0"/>
        <w:autoSpaceDN w:val="0"/>
        <w:bidi w:val="0"/>
        <w:adjustRightInd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（二）财政拨款支出决算结构情况</w:t>
      </w:r>
    </w:p>
    <w:p>
      <w:pPr>
        <w:pStyle w:val="10"/>
        <w:keepNext w:val="0"/>
        <w:keepLines w:val="0"/>
        <w:pageBreakBefore w:val="0"/>
        <w:widowControl w:val="0"/>
        <w:kinsoku/>
        <w:wordWrap/>
        <w:overflowPunct/>
        <w:topLinePunct w:val="0"/>
        <w:autoSpaceDE w:val="0"/>
        <w:autoSpaceDN w:val="0"/>
        <w:bidi w:val="0"/>
        <w:adjustRightInd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2019年度财政拨款支出</w:t>
      </w:r>
      <w:r>
        <w:rPr>
          <w:rFonts w:hint="eastAsia" w:ascii="仿宋_GB2312" w:hAnsi="仿宋_GB2312" w:eastAsia="仿宋_GB2312" w:cs="仿宋_GB2312"/>
          <w:sz w:val="32"/>
          <w:szCs w:val="32"/>
          <w:lang w:val="en-US" w:eastAsia="zh-CN"/>
        </w:rPr>
        <w:t>508.47</w:t>
      </w:r>
      <w:r>
        <w:rPr>
          <w:rFonts w:hint="eastAsia" w:ascii="仿宋_GB2312" w:hAnsi="仿宋_GB2312" w:eastAsia="仿宋_GB2312" w:cs="仿宋_GB2312"/>
          <w:sz w:val="32"/>
          <w:szCs w:val="32"/>
        </w:rPr>
        <w:t>万元，主要用于以下方面：一般公共服务支出</w:t>
      </w:r>
      <w:r>
        <w:rPr>
          <w:rFonts w:hint="eastAsia" w:ascii="仿宋_GB2312" w:hAnsi="仿宋_GB2312" w:eastAsia="仿宋_GB2312" w:cs="仿宋_GB2312"/>
          <w:sz w:val="32"/>
          <w:szCs w:val="32"/>
          <w:lang w:val="en-US" w:eastAsia="zh-CN"/>
        </w:rPr>
        <w:t>508.47</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pPr>
        <w:pStyle w:val="10"/>
        <w:keepNext w:val="0"/>
        <w:keepLines w:val="0"/>
        <w:pageBreakBefore w:val="0"/>
        <w:kinsoku/>
        <w:wordWrap/>
        <w:overflowPunct/>
        <w:topLinePunct w:val="0"/>
        <w:bidi w:val="0"/>
        <w:snapToGrid/>
        <w:spacing w:beforeAutospacing="0" w:afterAutospacing="0" w:line="560" w:lineRule="atLeast"/>
        <w:ind w:firstLine="800" w:firstLineChars="25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（三）财政拨款支出决算具体情况</w:t>
      </w:r>
    </w:p>
    <w:p>
      <w:pPr>
        <w:pStyle w:val="10"/>
        <w:keepNext w:val="0"/>
        <w:keepLines w:val="0"/>
        <w:pageBreakBefore w:val="0"/>
        <w:kinsoku/>
        <w:wordWrap/>
        <w:overflowPunct/>
        <w:topLinePunct w:val="0"/>
        <w:bidi w:val="0"/>
        <w:snapToGrid/>
        <w:spacing w:beforeAutospacing="0" w:afterAutospacing="0" w:line="560" w:lineRule="atLeast"/>
        <w:ind w:firstLine="800" w:firstLineChars="2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2019年度财政拨款支出年初预算数为</w:t>
      </w:r>
      <w:r>
        <w:rPr>
          <w:rFonts w:hint="eastAsia" w:ascii="仿宋_GB2312" w:hAnsi="仿宋_GB2312" w:eastAsia="仿宋_GB2312" w:cs="仿宋_GB2312"/>
          <w:sz w:val="32"/>
          <w:szCs w:val="32"/>
          <w:lang w:val="en-US" w:eastAsia="zh-CN"/>
        </w:rPr>
        <w:t>508.47</w:t>
      </w:r>
      <w:r>
        <w:rPr>
          <w:rFonts w:hint="eastAsia" w:ascii="仿宋_GB2312" w:hAnsi="仿宋_GB2312" w:eastAsia="仿宋_GB2312" w:cs="仿宋_GB2312"/>
          <w:sz w:val="32"/>
          <w:szCs w:val="32"/>
        </w:rPr>
        <w:t>万元，支出决算数为</w:t>
      </w:r>
      <w:r>
        <w:rPr>
          <w:rFonts w:hint="eastAsia" w:ascii="仿宋_GB2312" w:hAnsi="仿宋_GB2312" w:eastAsia="仿宋_GB2312" w:cs="仿宋_GB2312"/>
          <w:sz w:val="32"/>
          <w:szCs w:val="32"/>
          <w:lang w:val="en-US" w:eastAsia="zh-CN"/>
        </w:rPr>
        <w:t>508.47</w:t>
      </w:r>
      <w:r>
        <w:rPr>
          <w:rFonts w:hint="eastAsia" w:ascii="仿宋_GB2312" w:hAnsi="仿宋_GB2312" w:eastAsia="仿宋_GB2312" w:cs="仿宋_GB2312"/>
          <w:sz w:val="32"/>
          <w:szCs w:val="32"/>
        </w:rPr>
        <w:t>万元，完成年初预算的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%，其中：</w:t>
      </w:r>
    </w:p>
    <w:p>
      <w:pPr>
        <w:pStyle w:val="10"/>
        <w:keepNext w:val="0"/>
        <w:keepLines w:val="0"/>
        <w:pageBreakBefore w:val="0"/>
        <w:kinsoku/>
        <w:wordWrap/>
        <w:overflowPunct/>
        <w:topLinePunct w:val="0"/>
        <w:bidi w:val="0"/>
        <w:snapToGrid/>
        <w:spacing w:beforeAutospacing="0" w:afterAutospacing="0" w:line="560" w:lineRule="atLeast"/>
        <w:ind w:firstLine="800" w:firstLineChars="2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1、一般公共服务（类）XXXX（款）XXXX（项）。</w:t>
      </w:r>
    </w:p>
    <w:p>
      <w:pPr>
        <w:pStyle w:val="10"/>
        <w:keepNext w:val="0"/>
        <w:keepLines w:val="0"/>
        <w:pageBreakBefore w:val="0"/>
        <w:kinsoku/>
        <w:wordWrap/>
        <w:overflowPunct/>
        <w:topLinePunct w:val="0"/>
        <w:bidi w:val="0"/>
        <w:snapToGrid/>
        <w:spacing w:beforeAutospacing="0" w:afterAutospacing="0" w:line="560" w:lineRule="atLeast"/>
        <w:ind w:firstLine="800" w:firstLineChars="25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年初预算为</w:t>
      </w:r>
      <w:r>
        <w:rPr>
          <w:rFonts w:hint="eastAsia" w:ascii="仿宋_GB2312" w:hAnsi="仿宋_GB2312" w:eastAsia="仿宋_GB2312" w:cs="仿宋_GB2312"/>
          <w:sz w:val="32"/>
          <w:szCs w:val="32"/>
          <w:lang w:val="en-US" w:eastAsia="zh-CN"/>
        </w:rPr>
        <w:t>508.47</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508.47</w:t>
      </w:r>
      <w:r>
        <w:rPr>
          <w:rFonts w:hint="eastAsia" w:ascii="仿宋_GB2312" w:hAnsi="仿宋_GB2312" w:eastAsia="仿宋_GB2312" w:cs="仿宋_GB2312"/>
          <w:sz w:val="32"/>
          <w:szCs w:val="32"/>
        </w:rPr>
        <w:t>万元，完成年初预算的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六、一般公共预算财政拨款基本支出决算情况说明</w:t>
      </w:r>
    </w:p>
    <w:p>
      <w:pPr>
        <w:pStyle w:val="10"/>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2019年度财政拨款基本支出</w:t>
      </w:r>
      <w:r>
        <w:rPr>
          <w:rFonts w:hint="eastAsia" w:ascii="仿宋_GB2312" w:hAnsi="仿宋_GB2312" w:eastAsia="仿宋_GB2312" w:cs="仿宋_GB2312"/>
          <w:sz w:val="32"/>
          <w:szCs w:val="32"/>
          <w:lang w:val="en-US" w:eastAsia="zh-CN"/>
        </w:rPr>
        <w:t>508.47</w:t>
      </w:r>
      <w:r>
        <w:rPr>
          <w:rFonts w:hint="eastAsia" w:ascii="仿宋_GB2312" w:hAnsi="仿宋_GB2312" w:eastAsia="仿宋_GB2312" w:cs="仿宋_GB2312"/>
          <w:sz w:val="32"/>
          <w:szCs w:val="32"/>
        </w:rPr>
        <w:t>万元，其中：人员经费</w:t>
      </w:r>
      <w:r>
        <w:rPr>
          <w:rFonts w:hint="eastAsia" w:ascii="仿宋_GB2312" w:hAnsi="仿宋_GB2312" w:eastAsia="仿宋_GB2312" w:cs="仿宋_GB2312"/>
          <w:sz w:val="32"/>
          <w:szCs w:val="32"/>
          <w:lang w:val="en-US" w:eastAsia="zh-CN"/>
        </w:rPr>
        <w:t>303.08</w:t>
      </w:r>
      <w:r>
        <w:rPr>
          <w:rFonts w:hint="eastAsia" w:ascii="仿宋_GB2312" w:hAnsi="仿宋_GB2312" w:eastAsia="仿宋_GB2312" w:cs="仿宋_GB2312"/>
          <w:sz w:val="32"/>
          <w:szCs w:val="32"/>
        </w:rPr>
        <w:t>万元，占基本支出的</w:t>
      </w: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rPr>
        <w:t>%,主要包括基本工资、津贴补贴、奖金、伙食补助费</w:t>
      </w:r>
      <w:r>
        <w:rPr>
          <w:rFonts w:hint="eastAsia" w:ascii="仿宋_GB2312" w:hAnsi="仿宋_GB2312" w:eastAsia="仿宋_GB2312" w:cs="仿宋_GB2312"/>
          <w:sz w:val="32"/>
          <w:szCs w:val="32"/>
          <w:lang w:eastAsia="zh-CN"/>
        </w:rPr>
        <w:t>、绩效工资、机关事业单位基本养老保险、职业年金缴费、职工基本医疗保险缴费、其他社会保障缴费、其他工资福利支出、对个人和家庭的补助、生活补助、对其他个人和家庭的补助支出</w:t>
      </w:r>
      <w:r>
        <w:rPr>
          <w:rFonts w:hint="eastAsia" w:ascii="仿宋_GB2312" w:hAnsi="仿宋_GB2312" w:eastAsia="仿宋_GB2312" w:cs="仿宋_GB2312"/>
          <w:sz w:val="32"/>
          <w:szCs w:val="32"/>
        </w:rPr>
        <w:t>；公用经费</w:t>
      </w:r>
      <w:r>
        <w:rPr>
          <w:rFonts w:hint="eastAsia" w:ascii="仿宋_GB2312" w:hAnsi="仿宋_GB2312" w:eastAsia="仿宋_GB2312" w:cs="仿宋_GB2312"/>
          <w:sz w:val="32"/>
          <w:szCs w:val="32"/>
          <w:lang w:val="en-US" w:eastAsia="zh-CN"/>
        </w:rPr>
        <w:t>205.38</w:t>
      </w:r>
      <w:r>
        <w:rPr>
          <w:rFonts w:hint="eastAsia" w:ascii="仿宋_GB2312" w:hAnsi="仿宋_GB2312" w:eastAsia="仿宋_GB2312" w:cs="仿宋_GB2312"/>
          <w:sz w:val="32"/>
          <w:szCs w:val="32"/>
        </w:rPr>
        <w:t>万元，占基本支出的</w:t>
      </w: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rPr>
        <w:t>%，包括单位办公费、印刷费、水电费、邮电费、取暖费、交通费、差旅费、会议费、维修费、</w:t>
      </w:r>
      <w:r>
        <w:rPr>
          <w:rFonts w:hint="eastAsia" w:ascii="仿宋_GB2312" w:hAnsi="仿宋_GB2312" w:eastAsia="仿宋_GB2312" w:cs="仿宋_GB2312"/>
          <w:sz w:val="32"/>
          <w:szCs w:val="32"/>
          <w:lang w:eastAsia="zh-CN"/>
        </w:rPr>
        <w:t>培训费、公务接待会费、劳务费、工会经费</w:t>
      </w:r>
      <w:r>
        <w:rPr>
          <w:rFonts w:hint="eastAsia" w:ascii="仿宋_GB2312" w:hAnsi="仿宋_GB2312" w:eastAsia="仿宋_GB2312" w:cs="仿宋_GB2312"/>
          <w:sz w:val="32"/>
          <w:szCs w:val="32"/>
        </w:rPr>
        <w:t>等开支。</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七、一般公共预算财政拨款三公经费支出决算情况说明</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（一）“三公”经费财政拨款支出决算总体情况说明</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“三公”经费财政拨款支出预算为</w:t>
      </w:r>
      <w:r>
        <w:rPr>
          <w:rFonts w:hint="eastAsia" w:ascii="仿宋_GB2312" w:hAnsi="仿宋_GB2312" w:eastAsia="仿宋_GB2312" w:cs="仿宋_GB2312"/>
          <w:sz w:val="32"/>
          <w:szCs w:val="32"/>
          <w:lang w:val="en-US" w:eastAsia="zh-CN"/>
        </w:rPr>
        <w:t>44.1</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39.9</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90.5</w:t>
      </w:r>
      <w:r>
        <w:rPr>
          <w:rFonts w:hint="eastAsia" w:ascii="仿宋_GB2312" w:hAnsi="仿宋_GB2312" w:eastAsia="仿宋_GB2312" w:cs="仿宋_GB2312"/>
          <w:sz w:val="32"/>
          <w:szCs w:val="32"/>
        </w:rPr>
        <w:t>%，其中：</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因公出国（境）费支出预算为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公务接待费支出预算为</w:t>
      </w:r>
      <w:r>
        <w:rPr>
          <w:rFonts w:hint="eastAsia" w:ascii="仿宋_GB2312" w:hAnsi="仿宋_GB2312" w:eastAsia="仿宋_GB2312" w:cs="仿宋_GB2312"/>
          <w:sz w:val="32"/>
          <w:szCs w:val="32"/>
          <w:lang w:val="en-US" w:eastAsia="zh-CN"/>
        </w:rPr>
        <w:t>33.1</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29.49</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89.1</w:t>
      </w:r>
      <w:r>
        <w:rPr>
          <w:rFonts w:hint="eastAsia" w:ascii="仿宋_GB2312" w:hAnsi="仿宋_GB2312" w:eastAsia="仿宋_GB2312" w:cs="仿宋_GB2312"/>
          <w:sz w:val="32"/>
          <w:szCs w:val="32"/>
        </w:rPr>
        <w:t>%，决算数小于初预算数的主要原因是</w:t>
      </w:r>
      <w:r>
        <w:rPr>
          <w:rFonts w:hint="eastAsia" w:ascii="仿宋_GB2312" w:hAnsi="仿宋_GB2312" w:eastAsia="仿宋_GB2312" w:cs="仿宋_GB2312"/>
          <w:sz w:val="32"/>
          <w:szCs w:val="32"/>
          <w:lang w:eastAsia="zh-CN"/>
        </w:rPr>
        <w:t>从简从节约出发，减少了接待费用</w:t>
      </w:r>
      <w:r>
        <w:rPr>
          <w:rFonts w:hint="eastAsia" w:ascii="仿宋_GB2312" w:hAnsi="仿宋_GB2312" w:eastAsia="仿宋_GB2312" w:cs="仿宋_GB2312"/>
          <w:sz w:val="32"/>
          <w:szCs w:val="32"/>
        </w:rPr>
        <w:t>，与上年相比减少</w:t>
      </w:r>
      <w:r>
        <w:rPr>
          <w:rFonts w:hint="eastAsia" w:ascii="仿宋_GB2312" w:hAnsi="仿宋_GB2312" w:eastAsia="仿宋_GB2312" w:cs="仿宋_GB2312"/>
          <w:sz w:val="32"/>
          <w:szCs w:val="32"/>
          <w:lang w:val="en-US" w:eastAsia="zh-CN"/>
        </w:rPr>
        <w:t>3.61</w:t>
      </w:r>
      <w:r>
        <w:rPr>
          <w:rFonts w:hint="eastAsia" w:ascii="仿宋_GB2312" w:hAnsi="仿宋_GB2312" w:eastAsia="仿宋_GB2312" w:cs="仿宋_GB2312"/>
          <w:sz w:val="32"/>
          <w:szCs w:val="32"/>
        </w:rPr>
        <w:t>万元，减少</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公务用车购置费及运行维护费支出预算为</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10.43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94.8</w:t>
      </w:r>
      <w:r>
        <w:rPr>
          <w:rFonts w:hint="eastAsia" w:ascii="仿宋_GB2312" w:hAnsi="仿宋_GB2312" w:eastAsia="仿宋_GB2312" w:cs="仿宋_GB2312"/>
          <w:sz w:val="32"/>
          <w:szCs w:val="32"/>
        </w:rPr>
        <w:t>%，决算数小于年初预算数的主要原因是</w:t>
      </w:r>
      <w:r>
        <w:rPr>
          <w:rFonts w:hint="eastAsia" w:ascii="仿宋_GB2312" w:hAnsi="仿宋_GB2312" w:eastAsia="仿宋_GB2312" w:cs="仿宋_GB2312"/>
          <w:sz w:val="32"/>
          <w:szCs w:val="32"/>
          <w:lang w:eastAsia="zh-CN"/>
        </w:rPr>
        <w:t>公务用车管理规范了</w:t>
      </w:r>
      <w:r>
        <w:rPr>
          <w:rFonts w:hint="eastAsia" w:ascii="仿宋_GB2312" w:hAnsi="仿宋_GB2312" w:eastAsia="仿宋_GB2312" w:cs="仿宋_GB2312"/>
          <w:sz w:val="32"/>
          <w:szCs w:val="32"/>
        </w:rPr>
        <w:t>，与上年相比减少</w:t>
      </w:r>
      <w:r>
        <w:rPr>
          <w:rFonts w:hint="eastAsia" w:ascii="仿宋_GB2312" w:hAnsi="仿宋_GB2312" w:eastAsia="仿宋_GB2312" w:cs="仿宋_GB2312"/>
          <w:sz w:val="32"/>
          <w:szCs w:val="32"/>
          <w:lang w:val="en-US" w:eastAsia="zh-CN"/>
        </w:rPr>
        <w:t>0.57</w:t>
      </w:r>
      <w:r>
        <w:rPr>
          <w:rFonts w:hint="eastAsia" w:ascii="仿宋_GB2312" w:hAnsi="仿宋_GB2312" w:eastAsia="仿宋_GB2312" w:cs="仿宋_GB2312"/>
          <w:sz w:val="32"/>
          <w:szCs w:val="32"/>
        </w:rPr>
        <w:t>万元，减少</w:t>
      </w:r>
      <w:r>
        <w:rPr>
          <w:rFonts w:hint="eastAsia" w:ascii="仿宋_GB2312" w:hAnsi="仿宋_GB2312" w:eastAsia="仿宋_GB2312" w:cs="仿宋_GB2312"/>
          <w:sz w:val="32"/>
          <w:szCs w:val="32"/>
          <w:lang w:val="en-US" w:eastAsia="zh-CN"/>
        </w:rPr>
        <w:t>5.18</w:t>
      </w:r>
      <w:r>
        <w:rPr>
          <w:rFonts w:hint="eastAsia" w:ascii="仿宋_GB2312" w:hAnsi="仿宋_GB2312" w:eastAsia="仿宋_GB2312" w:cs="仿宋_GB2312"/>
          <w:sz w:val="32"/>
          <w:szCs w:val="32"/>
        </w:rPr>
        <w:t>%。</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（二）“三公”经费财政拨款支出决算具体情况说明</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2019年度“三公”经费财政拨款支出决算中，公务接待费支出决算</w:t>
      </w:r>
      <w:r>
        <w:rPr>
          <w:rFonts w:hint="eastAsia" w:ascii="仿宋_GB2312" w:hAnsi="仿宋_GB2312" w:eastAsia="仿宋_GB2312" w:cs="仿宋_GB2312"/>
          <w:sz w:val="32"/>
          <w:szCs w:val="32"/>
          <w:lang w:val="en-US" w:eastAsia="zh-CN"/>
        </w:rPr>
        <w:t>29.47</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74</w:t>
      </w:r>
      <w:r>
        <w:rPr>
          <w:rFonts w:hint="eastAsia" w:ascii="仿宋_GB2312" w:hAnsi="仿宋_GB2312" w:eastAsia="仿宋_GB2312" w:cs="仿宋_GB2312"/>
          <w:sz w:val="32"/>
          <w:szCs w:val="32"/>
        </w:rPr>
        <w:t>%,因公出国（境）费支出决算</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%,公务用车购置费及运行维护费支出决算</w:t>
      </w:r>
      <w:r>
        <w:rPr>
          <w:rFonts w:hint="eastAsia" w:ascii="仿宋_GB2312" w:hAnsi="仿宋_GB2312" w:eastAsia="仿宋_GB2312" w:cs="仿宋_GB2312"/>
          <w:sz w:val="32"/>
          <w:szCs w:val="32"/>
          <w:lang w:val="en-US" w:eastAsia="zh-CN"/>
        </w:rPr>
        <w:t>10.43</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%。其中：</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1、因公出国（境）费支出决算为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p>
    <w:p>
      <w:pPr>
        <w:pStyle w:val="10"/>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2、公务接待费支出决算为</w:t>
      </w:r>
      <w:r>
        <w:rPr>
          <w:rFonts w:hint="eastAsia" w:ascii="仿宋_GB2312" w:hAnsi="仿宋_GB2312" w:eastAsia="仿宋_GB2312" w:cs="仿宋_GB2312"/>
          <w:sz w:val="32"/>
          <w:szCs w:val="32"/>
          <w:lang w:val="en-US" w:eastAsia="zh-CN"/>
        </w:rPr>
        <w:t>29.47</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snapToGrid/>
        <w:spacing w:beforeAutospacing="0" w:afterAutospacing="0" w:line="560" w:lineRule="atLeast"/>
        <w:ind w:firstLine="640" w:firstLineChars="200"/>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z w:val="32"/>
          <w:szCs w:val="32"/>
        </w:rPr>
        <w:t>3、公务用车购置费及运行维护费支出决算为</w:t>
      </w:r>
      <w:r>
        <w:rPr>
          <w:rFonts w:hint="eastAsia" w:ascii="仿宋_GB2312" w:hAnsi="仿宋_GB2312" w:eastAsia="仿宋_GB2312" w:cs="仿宋_GB2312"/>
          <w:sz w:val="32"/>
          <w:szCs w:val="32"/>
          <w:lang w:val="en-US" w:eastAsia="zh-CN"/>
        </w:rPr>
        <w:t>10.43</w:t>
      </w:r>
      <w:r>
        <w:rPr>
          <w:rFonts w:hint="eastAsia" w:ascii="仿宋_GB2312" w:hAnsi="仿宋_GB2312" w:eastAsia="仿宋_GB2312" w:cs="仿宋_GB2312"/>
          <w:sz w:val="32"/>
          <w:szCs w:val="32"/>
        </w:rPr>
        <w:t>万元，其中：公务用车购置费</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sz w:val="32"/>
          <w:szCs w:val="32"/>
        </w:rPr>
        <w:t>公务用车运行维护费</w:t>
      </w:r>
      <w:r>
        <w:rPr>
          <w:rFonts w:hint="eastAsia" w:ascii="仿宋_GB2312" w:hAnsi="仿宋_GB2312" w:eastAsia="仿宋_GB2312" w:cs="仿宋_GB2312"/>
          <w:sz w:val="32"/>
          <w:szCs w:val="32"/>
          <w:lang w:val="en-US" w:eastAsia="zh-CN"/>
        </w:rPr>
        <w:t>10.43</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截止2019年12月31日，我单位开支财政拨款的公务用车保有量为</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八、政府性基金预算收入支出决算情况</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 xml:space="preserve">    本单位无政府性基金收支</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480" w:lineRule="exact"/>
        <w:jc w:val="left"/>
        <w:textAlignment w:val="auto"/>
        <w:outlineLvl w:val="9"/>
        <w:rPr>
          <w:rFonts w:hint="eastAsia" w:ascii="仿宋_GB2312" w:hAnsi="仿宋_GB2312" w:eastAsia="仿宋_GB2312" w:cs="仿宋_GB2312"/>
          <w:b/>
          <w:color w:val="000000"/>
          <w:kern w:val="0"/>
          <w:sz w:val="32"/>
          <w:szCs w:val="32"/>
          <w:lang w:val="en-US" w:eastAsia="zh-CN" w:bidi="ar-SA"/>
        </w:rPr>
      </w:pPr>
      <w:r>
        <w:rPr>
          <w:rFonts w:hint="eastAsia" w:ascii="仿宋_GB2312" w:hAnsi="仿宋_GB2312" w:eastAsia="仿宋_GB2312" w:cs="仿宋_GB2312"/>
          <w:b/>
          <w:color w:val="000000"/>
          <w:kern w:val="0"/>
          <w:sz w:val="32"/>
          <w:szCs w:val="32"/>
          <w:lang w:val="en-US" w:eastAsia="zh-CN" w:bidi="ar-SA"/>
        </w:rPr>
        <w:t>预算绩效情况说明</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jc w:val="left"/>
        <w:textAlignment w:val="auto"/>
        <w:outlineLvl w:val="9"/>
        <w:rPr>
          <w:rFonts w:hint="default" w:ascii="仿宋_GB2312" w:hAnsi="仿宋_GB2312" w:eastAsia="仿宋_GB2312" w:cs="仿宋_GB2312"/>
          <w:b/>
          <w:color w:val="000000"/>
          <w:kern w:val="0"/>
          <w:sz w:val="32"/>
          <w:szCs w:val="32"/>
          <w:lang w:val="en-US" w:eastAsia="zh-CN" w:bidi="ar-SA"/>
        </w:rPr>
      </w:pPr>
      <w:r>
        <w:rPr>
          <w:rFonts w:hint="eastAsia" w:ascii="仿宋_GB2312" w:hAnsi="仿宋_GB2312" w:eastAsia="仿宋_GB2312" w:cs="仿宋_GB2312"/>
          <w:b/>
          <w:color w:val="000000"/>
          <w:kern w:val="0"/>
          <w:sz w:val="32"/>
          <w:szCs w:val="32"/>
          <w:lang w:val="en-US" w:eastAsia="zh-CN" w:bidi="ar-SA"/>
        </w:rPr>
        <w:t xml:space="preserve">   </w:t>
      </w:r>
      <w:r>
        <w:rPr>
          <w:rFonts w:hint="eastAsia" w:ascii="仿宋_GB2312" w:hAnsi="仿宋_GB2312" w:eastAsia="仿宋_GB2312" w:cs="仿宋_GB2312"/>
          <w:color w:val="000000"/>
          <w:kern w:val="0"/>
          <w:sz w:val="32"/>
          <w:szCs w:val="32"/>
          <w:lang w:val="en-US" w:eastAsia="zh-CN" w:bidi="ar-SA"/>
        </w:rPr>
        <w:t xml:space="preserve"> 本单位无重点项目</w:t>
      </w:r>
      <w:r>
        <w:rPr>
          <w:rFonts w:hint="eastAsia" w:ascii="仿宋_GB2312" w:hAnsi="仿宋_GB2312" w:eastAsia="仿宋_GB2312" w:cs="仿宋_GB2312"/>
          <w:b/>
          <w:color w:val="000000"/>
          <w:kern w:val="0"/>
          <w:sz w:val="32"/>
          <w:szCs w:val="32"/>
          <w:lang w:val="en-US" w:eastAsia="zh-CN" w:bidi="ar-SA"/>
        </w:rPr>
        <w:t>。</w:t>
      </w:r>
    </w:p>
    <w:p>
      <w:pPr>
        <w:pStyle w:val="10"/>
        <w:keepNext w:val="0"/>
        <w:keepLines w:val="0"/>
        <w:pageBreakBefore w:val="0"/>
        <w:kinsoku/>
        <w:wordWrap/>
        <w:overflowPunct/>
        <w:topLinePunct w:val="0"/>
        <w:bidi w:val="0"/>
        <w:snapToGrid/>
        <w:spacing w:beforeAutospacing="0" w:afterAutospacing="0" w:line="560" w:lineRule="atLeas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十、其他重要事项情况说明</w:t>
      </w:r>
    </w:p>
    <w:p>
      <w:pPr>
        <w:keepNext w:val="0"/>
        <w:keepLines w:val="0"/>
        <w:pageBreakBefore w:val="0"/>
        <w:kinsoku/>
        <w:wordWrap/>
        <w:overflowPunct/>
        <w:topLinePunct w:val="0"/>
        <w:bidi w:val="0"/>
        <w:snapToGrid/>
        <w:spacing w:beforeAutospacing="0" w:afterAutospacing="0" w:line="560" w:lineRule="atLeast"/>
        <w:ind w:firstLine="480" w:firstLineChars="150"/>
        <w:textAlignment w:val="auto"/>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（一）机关运行经费支出情况</w:t>
      </w:r>
    </w:p>
    <w:p>
      <w:pPr>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本部门2019 年度机关运行经费支出</w:t>
      </w:r>
      <w:r>
        <w:rPr>
          <w:rFonts w:hint="eastAsia" w:ascii="仿宋_GB2312" w:hAnsi="仿宋_GB2312" w:eastAsia="仿宋_GB2312" w:cs="仿宋_GB2312"/>
          <w:color w:val="000000"/>
          <w:kern w:val="0"/>
          <w:sz w:val="32"/>
          <w:szCs w:val="32"/>
          <w:lang w:val="en-US" w:eastAsia="zh-CN"/>
        </w:rPr>
        <w:t>205.38</w:t>
      </w:r>
      <w:r>
        <w:rPr>
          <w:rFonts w:hint="eastAsia" w:ascii="仿宋_GB2312" w:hAnsi="仿宋_GB2312" w:eastAsia="仿宋_GB2312" w:cs="仿宋_GB2312"/>
          <w:color w:val="000000"/>
          <w:kern w:val="0"/>
          <w:sz w:val="32"/>
          <w:szCs w:val="32"/>
        </w:rPr>
        <w:t>万元</w:t>
      </w:r>
      <w:r>
        <w:rPr>
          <w:rFonts w:hint="eastAsia" w:ascii="仿宋_GB2312" w:hAnsi="仿宋_GB2312" w:eastAsia="仿宋_GB2312" w:cs="仿宋_GB2312"/>
          <w:color w:val="000000"/>
          <w:kern w:val="0"/>
          <w:sz w:val="32"/>
          <w:szCs w:val="32"/>
          <w:lang w:eastAsia="zh-CN"/>
        </w:rPr>
        <w:t>。</w:t>
      </w:r>
    </w:p>
    <w:p>
      <w:pPr>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b/>
          <w:color w:val="000000"/>
          <w:kern w:val="0"/>
          <w:sz w:val="32"/>
          <w:szCs w:val="32"/>
        </w:rPr>
      </w:pPr>
      <w:r>
        <w:rPr>
          <w:rFonts w:hint="eastAsia" w:ascii="仿宋_GB2312" w:hAnsi="仿宋_GB2312" w:eastAsia="仿宋_GB2312" w:cs="仿宋_GB2312"/>
          <w:b/>
          <w:color w:val="000000"/>
          <w:kern w:val="0"/>
          <w:sz w:val="32"/>
          <w:szCs w:val="32"/>
        </w:rPr>
        <w:t>（二）一般性支出情况</w:t>
      </w:r>
    </w:p>
    <w:p>
      <w:pPr>
        <w:keepNext w:val="0"/>
        <w:keepLines w:val="0"/>
        <w:pageBreakBefore w:val="0"/>
        <w:kinsoku/>
        <w:wordWrap/>
        <w:overflowPunct/>
        <w:topLinePunct w:val="0"/>
        <w:bidi w:val="0"/>
        <w:snapToGrid/>
        <w:spacing w:beforeAutospacing="0" w:afterAutospacing="0" w:line="560" w:lineRule="atLeast"/>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2019年本部门开支会议费</w:t>
      </w:r>
      <w:r>
        <w:rPr>
          <w:rFonts w:hint="eastAsia" w:ascii="仿宋_GB2312" w:hAnsi="仿宋_GB2312" w:eastAsia="仿宋_GB2312" w:cs="仿宋_GB2312"/>
          <w:color w:val="000000"/>
          <w:kern w:val="0"/>
          <w:sz w:val="32"/>
          <w:szCs w:val="32"/>
          <w:lang w:val="en-US" w:eastAsia="zh-CN"/>
        </w:rPr>
        <w:t>2.65</w:t>
      </w:r>
      <w:r>
        <w:rPr>
          <w:rFonts w:hint="eastAsia" w:ascii="仿宋_GB2312" w:hAnsi="仿宋_GB2312" w:eastAsia="仿宋_GB2312" w:cs="仿宋_GB2312"/>
          <w:color w:val="000000"/>
          <w:kern w:val="0"/>
          <w:sz w:val="32"/>
          <w:szCs w:val="32"/>
        </w:rPr>
        <w:t>万元；开支培训费</w:t>
      </w:r>
      <w:r>
        <w:rPr>
          <w:rFonts w:hint="eastAsia" w:ascii="仿宋_GB2312" w:hAnsi="仿宋_GB2312" w:eastAsia="仿宋_GB2312" w:cs="仿宋_GB2312"/>
          <w:color w:val="000000"/>
          <w:kern w:val="0"/>
          <w:sz w:val="32"/>
          <w:szCs w:val="32"/>
          <w:lang w:val="en-US" w:eastAsia="zh-CN"/>
        </w:rPr>
        <w:t>13.75</w:t>
      </w:r>
      <w:r>
        <w:rPr>
          <w:rFonts w:hint="eastAsia" w:ascii="仿宋_GB2312" w:hAnsi="仿宋_GB2312" w:eastAsia="仿宋_GB2312" w:cs="仿宋_GB2312"/>
          <w:color w:val="000000"/>
          <w:kern w:val="0"/>
          <w:sz w:val="32"/>
          <w:szCs w:val="32"/>
        </w:rPr>
        <w:t>万元</w:t>
      </w:r>
      <w:r>
        <w:rPr>
          <w:rFonts w:hint="eastAsia" w:ascii="仿宋_GB2312" w:hAnsi="仿宋_GB2312" w:eastAsia="仿宋_GB2312" w:cs="仿宋_GB2312"/>
          <w:color w:val="000000"/>
          <w:kern w:val="0"/>
          <w:sz w:val="32"/>
          <w:szCs w:val="32"/>
          <w:lang w:eastAsia="zh-CN"/>
        </w:rPr>
        <w:t>。</w:t>
      </w:r>
    </w:p>
    <w:p>
      <w:pPr>
        <w:pStyle w:val="10"/>
        <w:keepNext w:val="0"/>
        <w:keepLines w:val="0"/>
        <w:pageBreakBefore w:val="0"/>
        <w:kinsoku/>
        <w:wordWrap/>
        <w:overflowPunct/>
        <w:topLinePunct w:val="0"/>
        <w:bidi w:val="0"/>
        <w:snapToGrid/>
        <w:spacing w:beforeAutospacing="0" w:afterAutospacing="0" w:line="560" w:lineRule="atLeas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第四部分名词解释</w:t>
      </w:r>
    </w:p>
    <w:p>
      <w:pPr>
        <w:spacing w:line="560" w:lineRule="atLeast"/>
        <w:ind w:firstLine="600" w:firstLineChars="200"/>
        <w:rPr>
          <w:rFonts w:ascii="仿宋" w:hAnsi="仿宋" w:eastAsia="仿宋" w:cs="仿宋_GB2312"/>
          <w:color w:val="000000"/>
          <w:sz w:val="30"/>
          <w:szCs w:val="30"/>
          <w:shd w:val="clear" w:color="auto" w:fill="FFFFFF"/>
        </w:rPr>
      </w:pPr>
      <w:r>
        <w:rPr>
          <w:rFonts w:hint="eastAsia" w:ascii="仿宋" w:hAnsi="仿宋" w:eastAsia="仿宋" w:cs="楷体_GB2312"/>
          <w:b/>
          <w:bCs/>
          <w:color w:val="000000"/>
          <w:sz w:val="30"/>
          <w:szCs w:val="30"/>
          <w:shd w:val="clear" w:color="auto" w:fill="FFFFFF"/>
        </w:rPr>
        <w:t>（一）机关运行经费</w:t>
      </w:r>
      <w:r>
        <w:rPr>
          <w:rFonts w:hint="eastAsia" w:ascii="仿宋" w:hAnsi="仿宋" w:eastAsia="仿宋" w:cs="仿宋_GB2312"/>
          <w:color w:val="000000"/>
          <w:sz w:val="30"/>
          <w:szCs w:val="30"/>
          <w:shd w:val="clear" w:color="auto" w:fill="FFFFFF"/>
        </w:rPr>
        <w:t>。是指各部门的公用经费，包括办公及印刷费、邮电费、差旅费、会议费、福利费、日常维修费、专用资料及一般设备购置费、办公用房水电费、办公用房取暖费、办公用房物业管理费、公务用车运行维护费以及其他费用。</w:t>
      </w:r>
    </w:p>
    <w:p>
      <w:pPr>
        <w:spacing w:line="560" w:lineRule="atLeast"/>
        <w:ind w:firstLine="600" w:firstLineChars="200"/>
        <w:rPr>
          <w:rFonts w:ascii="仿宋" w:hAnsi="仿宋" w:eastAsia="仿宋" w:cs="仿宋_GB2312"/>
          <w:color w:val="000000"/>
          <w:sz w:val="30"/>
          <w:szCs w:val="30"/>
          <w:shd w:val="clear" w:color="auto" w:fill="FFFFFF"/>
        </w:rPr>
      </w:pPr>
      <w:r>
        <w:rPr>
          <w:rFonts w:hint="eastAsia" w:ascii="仿宋" w:hAnsi="仿宋" w:eastAsia="仿宋" w:cs="楷体_GB2312"/>
          <w:b/>
          <w:bCs/>
          <w:color w:val="000000"/>
          <w:sz w:val="30"/>
          <w:szCs w:val="30"/>
          <w:shd w:val="clear" w:color="auto" w:fill="FFFFFF"/>
        </w:rPr>
        <w:t>（二）“三公”经费。</w:t>
      </w:r>
      <w:r>
        <w:rPr>
          <w:rFonts w:hint="eastAsia" w:ascii="仿宋" w:hAnsi="仿宋" w:eastAsia="仿宋" w:cs="仿宋_GB2312"/>
          <w:color w:val="000000"/>
          <w:sz w:val="30"/>
          <w:szCs w:val="30"/>
          <w:shd w:val="clear" w:color="auto" w:fill="FFFFFF"/>
        </w:rPr>
        <w:t>一般公共预算“三公”经费，是指用一般公共预算拨款安排的公务接待费、公务用车购置及运行维护费和因公出国（境）费。其中，公务接待费反映单位按规定开支的各类公务接待支出；公务用车购置及运行费反映单位公务用车车辆购置支出（含车辆购置税），以及燃料费、维修费、保险费等支出；因公出国（境）费反映单位公务出国（境）的国际旅费、国外城市间交通费、食宿费等支出。</w:t>
      </w:r>
      <w:r>
        <w:rPr>
          <w:rFonts w:hint="eastAsia" w:ascii="宋体" w:hAnsi="宋体" w:eastAsia="宋体" w:cs="宋体"/>
          <w:color w:val="000000"/>
          <w:sz w:val="30"/>
          <w:szCs w:val="30"/>
          <w:shd w:val="clear" w:color="auto" w:fill="FFFFFF"/>
        </w:rPr>
        <w:t> </w:t>
      </w:r>
    </w:p>
    <w:p>
      <w:pPr>
        <w:spacing w:line="560" w:lineRule="atLeast"/>
        <w:ind w:firstLine="600" w:firstLineChars="200"/>
        <w:rPr>
          <w:rFonts w:hint="eastAsia" w:ascii="仿宋" w:hAnsi="仿宋" w:eastAsia="仿宋" w:cs="仿宋_GB2312"/>
          <w:color w:val="000000"/>
          <w:sz w:val="30"/>
          <w:szCs w:val="30"/>
          <w:shd w:val="clear" w:color="auto" w:fill="FFFFFF"/>
        </w:rPr>
      </w:pPr>
      <w:r>
        <w:rPr>
          <w:rFonts w:hint="eastAsia" w:ascii="仿宋" w:hAnsi="仿宋" w:eastAsia="仿宋" w:cs="楷体_GB2312"/>
          <w:b/>
          <w:bCs/>
          <w:color w:val="000000"/>
          <w:sz w:val="30"/>
          <w:szCs w:val="30"/>
          <w:shd w:val="clear" w:color="auto" w:fill="FFFFFF"/>
        </w:rPr>
        <w:t>（三）基本支出。</w:t>
      </w:r>
      <w:r>
        <w:rPr>
          <w:rFonts w:hint="eastAsia" w:ascii="仿宋" w:hAnsi="仿宋" w:eastAsia="仿宋" w:cs="仿宋_GB2312"/>
          <w:color w:val="000000"/>
          <w:sz w:val="30"/>
          <w:szCs w:val="30"/>
          <w:shd w:val="clear" w:color="auto" w:fill="FFFFFF"/>
        </w:rPr>
        <w:t>指为保障机构正常运转、完成日常工作任务而发生的人员支出和公用支出。</w:t>
      </w:r>
    </w:p>
    <w:p>
      <w:pPr>
        <w:pStyle w:val="10"/>
        <w:keepNext w:val="0"/>
        <w:keepLines w:val="0"/>
        <w:pageBreakBefore w:val="0"/>
        <w:kinsoku/>
        <w:wordWrap/>
        <w:overflowPunct/>
        <w:topLinePunct w:val="0"/>
        <w:bidi w:val="0"/>
        <w:snapToGrid/>
        <w:spacing w:beforeAutospacing="0" w:afterAutospacing="0" w:line="560" w:lineRule="atLeas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第五部分附件</w:t>
      </w:r>
    </w:p>
    <w:p>
      <w:pPr>
        <w:spacing w:line="560" w:lineRule="atLeast"/>
        <w:ind w:firstLine="600" w:firstLineChars="200"/>
        <w:rPr>
          <w:rFonts w:hint="eastAsia" w:ascii="仿宋" w:hAnsi="仿宋" w:eastAsia="仿宋" w:cs="仿宋_GB2312"/>
          <w:color w:val="000000"/>
          <w:sz w:val="30"/>
          <w:szCs w:val="30"/>
          <w:shd w:val="clear" w:color="auto" w:fill="FFFFFF"/>
          <w:lang w:eastAsia="zh-CN"/>
        </w:rPr>
      </w:pPr>
      <w:r>
        <w:rPr>
          <w:rFonts w:hint="eastAsia" w:ascii="仿宋" w:hAnsi="仿宋" w:eastAsia="仿宋" w:cs="仿宋_GB2312"/>
          <w:color w:val="000000"/>
          <w:sz w:val="30"/>
          <w:szCs w:val="30"/>
          <w:shd w:val="clear" w:color="auto" w:fill="FFFFFF"/>
          <w:lang w:eastAsia="zh-CN"/>
        </w:rPr>
        <w:t>无</w:t>
      </w:r>
    </w:p>
    <w:p>
      <w:pPr>
        <w:ind w:firstLine="640" w:firstLineChars="200"/>
        <w:jc w:val="left"/>
        <w:rPr>
          <w:rFonts w:hint="eastAsia" w:ascii="仿宋_GB2312" w:hAnsi="仿宋_GB2312" w:eastAsia="仿宋_GB2312" w:cs="仿宋_GB2312"/>
          <w:b/>
          <w:bCs/>
          <w:color w:val="000000"/>
          <w:kern w:val="0"/>
          <w:sz w:val="32"/>
          <w:szCs w:val="32"/>
        </w:rPr>
      </w:pPr>
    </w:p>
    <w:sectPr>
      <w:pgSz w:w="11906" w:h="16838"/>
      <w:pgMar w:top="720" w:right="720" w:bottom="720" w:left="72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8"/>
    <w:family w:val="auto"/>
    <w:pitch w:val="default"/>
    <w:sig w:usb0="E0000AFF" w:usb1="00007843" w:usb2="00000001" w:usb3="00000000" w:csb0="400001BF" w:csb1="DFF70000"/>
    <w:embedRegular r:id="rId1" w:fontKey="{B8863ED6-80B5-3B78-D08B-9B606DA9049D}"/>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embedRegular r:id="rId2" w:fontKey="{2EBD85C3-C7DF-B6BE-D08B-9B6074B91AD2}"/>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embedRegular r:id="rId3" w:fontKey="{B273F7C7-BD73-AF7A-D08B-9B607D5985B3}"/>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方正小标宋简体">
    <w:panose1 w:val="02000000000000000000"/>
    <w:charset w:val="86"/>
    <w:family w:val="auto"/>
    <w:pitch w:val="default"/>
    <w:sig w:usb0="00000001" w:usb1="08000000" w:usb2="00000000" w:usb3="00000000" w:csb0="00040000" w:csb1="00000000"/>
    <w:embedRegular r:id="rId4" w:fontKey="{29242B73-7A09-A333-D08B-9B603B22BF3E}"/>
  </w:font>
  <w:font w:name="仿宋_GB2312">
    <w:panose1 w:val="02010609030101010101"/>
    <w:charset w:val="86"/>
    <w:family w:val="modern"/>
    <w:pitch w:val="default"/>
    <w:sig w:usb0="00000001" w:usb1="080E0000" w:usb2="00000000" w:usb3="00000000" w:csb0="00040000" w:csb1="00000000"/>
    <w:embedRegular r:id="rId5" w:fontKey="{80D0C97F-C5F4-2BB6-D08B-9B6027C7551F}"/>
  </w:font>
  <w:font w:name="方正小标宋_GBK">
    <w:panose1 w:val="02000000000000000000"/>
    <w:charset w:val="86"/>
    <w:family w:val="script"/>
    <w:pitch w:val="default"/>
    <w:sig w:usb0="A00002BF" w:usb1="38CF7CFA" w:usb2="00082016" w:usb3="00000000" w:csb0="00040001" w:csb1="00000000"/>
    <w:embedRegular r:id="rId6" w:fontKey="{04D1267A-550C-83DD-D08B-9B601244CDAA}"/>
  </w:font>
  <w:font w:name="仿宋">
    <w:panose1 w:val="02010609060101010101"/>
    <w:charset w:val="86"/>
    <w:family w:val="modern"/>
    <w:pitch w:val="default"/>
    <w:sig w:usb0="800002BF" w:usb1="38CF7CFA" w:usb2="00000016" w:usb3="00000000" w:csb0="00040001" w:csb1="00000000"/>
    <w:embedRegular r:id="rId7" w:fontKey="{742194F5-ECAE-A366-D08B-9B60F81EDBDF}"/>
  </w:font>
  <w:font w:name="楷体_GB2312">
    <w:panose1 w:val="02010609030101010101"/>
    <w:charset w:val="86"/>
    <w:family w:val="auto"/>
    <w:pitch w:val="default"/>
    <w:sig w:usb0="00000001" w:usb1="080E0000" w:usb2="00000000" w:usb3="00000000" w:csb0="00040000" w:csb1="00000000"/>
    <w:embedRegular r:id="rId8" w:fontKey="{5CB04FB6-67CE-4FD6-D08B-9B60821CF618}"/>
  </w:font>
  <w:font w:name="宋体-简">
    <w:panose1 w:val="02010800040101010101"/>
    <w:charset w:val="86"/>
    <w:family w:val="auto"/>
    <w:pitch w:val="default"/>
    <w:sig w:usb0="00000001" w:usb1="080F0000" w:usb2="00000000" w:usb3="00000000" w:csb0="00040000"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LNJWO7Q&#10;AAAABQEAAA8AAAAAAAAAAQAgAAAAOAAAAGRycy9kb3ducmV2LnhtbFBLAQIUABQAAAAIAIdO4kBK&#10;283/EgIAABMEAAAOAAAAAAAAAAEAIAAAADUBAABkcnMvZTJvRG9jLnhtbFBLBQYAAAAABgAGAFkB&#10;AAC5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8B33EB"/>
    <w:multiLevelType w:val="singleLevel"/>
    <w:tmpl w:val="E28B33EB"/>
    <w:lvl w:ilvl="0" w:tentative="0">
      <w:start w:val="9"/>
      <w:numFmt w:val="chineseCounting"/>
      <w:suff w:val="nothing"/>
      <w:lvlText w:val="%1、"/>
      <w:lvlJc w:val="left"/>
      <w:rPr>
        <w:rFonts w:hint="eastAsia"/>
      </w:rPr>
    </w:lvl>
  </w:abstractNum>
  <w:abstractNum w:abstractNumId="1">
    <w:nsid w:val="F3952B33"/>
    <w:multiLevelType w:val="singleLevel"/>
    <w:tmpl w:val="F3952B33"/>
    <w:lvl w:ilvl="0" w:tentative="0">
      <w:start w:val="1"/>
      <w:numFmt w:val="chineseCounting"/>
      <w:suff w:val="nothing"/>
      <w:lvlText w:val="%1、"/>
      <w:lvlJc w:val="left"/>
      <w:rPr>
        <w:rFonts w:hint="eastAsia"/>
      </w:rPr>
    </w:lvl>
  </w:abstractNum>
  <w:abstractNum w:abstractNumId="2">
    <w:nsid w:val="373518C1"/>
    <w:multiLevelType w:val="multilevel"/>
    <w:tmpl w:val="373518C1"/>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6F9"/>
    <w:rsid w:val="0002229B"/>
    <w:rsid w:val="000273BD"/>
    <w:rsid w:val="000415B7"/>
    <w:rsid w:val="000658A3"/>
    <w:rsid w:val="00074155"/>
    <w:rsid w:val="000A3F69"/>
    <w:rsid w:val="00152C6D"/>
    <w:rsid w:val="00162D39"/>
    <w:rsid w:val="001A67DB"/>
    <w:rsid w:val="001D51E5"/>
    <w:rsid w:val="001F0C3B"/>
    <w:rsid w:val="00214427"/>
    <w:rsid w:val="00265724"/>
    <w:rsid w:val="0027426B"/>
    <w:rsid w:val="003479BD"/>
    <w:rsid w:val="003768D5"/>
    <w:rsid w:val="004506F9"/>
    <w:rsid w:val="004717A2"/>
    <w:rsid w:val="00491741"/>
    <w:rsid w:val="00500E5F"/>
    <w:rsid w:val="005122EF"/>
    <w:rsid w:val="00517C33"/>
    <w:rsid w:val="00523644"/>
    <w:rsid w:val="0054069E"/>
    <w:rsid w:val="005767CC"/>
    <w:rsid w:val="00590D9F"/>
    <w:rsid w:val="00595D26"/>
    <w:rsid w:val="005A74E6"/>
    <w:rsid w:val="005D4D55"/>
    <w:rsid w:val="005E2CFB"/>
    <w:rsid w:val="0062378F"/>
    <w:rsid w:val="00651EEC"/>
    <w:rsid w:val="006A351B"/>
    <w:rsid w:val="006B0422"/>
    <w:rsid w:val="006C1B53"/>
    <w:rsid w:val="006D7730"/>
    <w:rsid w:val="006E5284"/>
    <w:rsid w:val="006F3EB5"/>
    <w:rsid w:val="00702E34"/>
    <w:rsid w:val="00704395"/>
    <w:rsid w:val="00720FF1"/>
    <w:rsid w:val="00812ED5"/>
    <w:rsid w:val="008277D9"/>
    <w:rsid w:val="008A3E8D"/>
    <w:rsid w:val="009237C4"/>
    <w:rsid w:val="00950252"/>
    <w:rsid w:val="00967F5D"/>
    <w:rsid w:val="009A0F95"/>
    <w:rsid w:val="009B3ADF"/>
    <w:rsid w:val="009C3B52"/>
    <w:rsid w:val="00A42218"/>
    <w:rsid w:val="00A70249"/>
    <w:rsid w:val="00B33BEA"/>
    <w:rsid w:val="00B57C9F"/>
    <w:rsid w:val="00B845B3"/>
    <w:rsid w:val="00B85D8B"/>
    <w:rsid w:val="00BE3674"/>
    <w:rsid w:val="00C3049A"/>
    <w:rsid w:val="00C31B1E"/>
    <w:rsid w:val="00C77645"/>
    <w:rsid w:val="00CE04C3"/>
    <w:rsid w:val="00CE76A0"/>
    <w:rsid w:val="00D148C6"/>
    <w:rsid w:val="00DD06FF"/>
    <w:rsid w:val="00DD5FE9"/>
    <w:rsid w:val="00E00C7A"/>
    <w:rsid w:val="00E55B68"/>
    <w:rsid w:val="00F24AF4"/>
    <w:rsid w:val="00F74360"/>
    <w:rsid w:val="00FB462F"/>
    <w:rsid w:val="00FE16FA"/>
    <w:rsid w:val="00FE328A"/>
    <w:rsid w:val="015D1953"/>
    <w:rsid w:val="05FA3FB2"/>
    <w:rsid w:val="069B6B14"/>
    <w:rsid w:val="06EB7A55"/>
    <w:rsid w:val="0A411DD2"/>
    <w:rsid w:val="0BF00653"/>
    <w:rsid w:val="0E345641"/>
    <w:rsid w:val="11221309"/>
    <w:rsid w:val="11A20679"/>
    <w:rsid w:val="11BF230C"/>
    <w:rsid w:val="13504993"/>
    <w:rsid w:val="14030170"/>
    <w:rsid w:val="14C179F5"/>
    <w:rsid w:val="15F65201"/>
    <w:rsid w:val="171B2A09"/>
    <w:rsid w:val="18067889"/>
    <w:rsid w:val="18D41F1C"/>
    <w:rsid w:val="19066A66"/>
    <w:rsid w:val="19626121"/>
    <w:rsid w:val="1CAC2531"/>
    <w:rsid w:val="1CB5210B"/>
    <w:rsid w:val="1E955E76"/>
    <w:rsid w:val="20596A3F"/>
    <w:rsid w:val="20B85736"/>
    <w:rsid w:val="21C05901"/>
    <w:rsid w:val="230607CE"/>
    <w:rsid w:val="23FD38E1"/>
    <w:rsid w:val="25D14936"/>
    <w:rsid w:val="26B84B96"/>
    <w:rsid w:val="28605033"/>
    <w:rsid w:val="2A9C44F6"/>
    <w:rsid w:val="2B78551E"/>
    <w:rsid w:val="2E0E2546"/>
    <w:rsid w:val="2FEB53E6"/>
    <w:rsid w:val="30302C29"/>
    <w:rsid w:val="326B0DE2"/>
    <w:rsid w:val="33CF6A55"/>
    <w:rsid w:val="35A6307A"/>
    <w:rsid w:val="36212B96"/>
    <w:rsid w:val="36561D38"/>
    <w:rsid w:val="388C682A"/>
    <w:rsid w:val="3D4E378B"/>
    <w:rsid w:val="40902F7E"/>
    <w:rsid w:val="4096707B"/>
    <w:rsid w:val="40C65454"/>
    <w:rsid w:val="426575DE"/>
    <w:rsid w:val="45EA132F"/>
    <w:rsid w:val="46950BE8"/>
    <w:rsid w:val="46C2771A"/>
    <w:rsid w:val="47A61E8B"/>
    <w:rsid w:val="4B791C0B"/>
    <w:rsid w:val="4CD361EF"/>
    <w:rsid w:val="4CD418B9"/>
    <w:rsid w:val="4E0374AA"/>
    <w:rsid w:val="4EDD03DE"/>
    <w:rsid w:val="4FE33C01"/>
    <w:rsid w:val="5104602A"/>
    <w:rsid w:val="53013A6F"/>
    <w:rsid w:val="533A0718"/>
    <w:rsid w:val="539F3B8E"/>
    <w:rsid w:val="57E22807"/>
    <w:rsid w:val="584D6926"/>
    <w:rsid w:val="59563905"/>
    <w:rsid w:val="59945DBD"/>
    <w:rsid w:val="5C0F714A"/>
    <w:rsid w:val="5D7E58D3"/>
    <w:rsid w:val="5D9D90E6"/>
    <w:rsid w:val="5DF71F82"/>
    <w:rsid w:val="5F244426"/>
    <w:rsid w:val="63B173A2"/>
    <w:rsid w:val="63FF656F"/>
    <w:rsid w:val="66FC05BE"/>
    <w:rsid w:val="67170BBD"/>
    <w:rsid w:val="6A5A6E8B"/>
    <w:rsid w:val="6B2A4DD1"/>
    <w:rsid w:val="73586C10"/>
    <w:rsid w:val="757F3C06"/>
    <w:rsid w:val="76C848B9"/>
    <w:rsid w:val="770E7C04"/>
    <w:rsid w:val="79F97410"/>
    <w:rsid w:val="7B0651AA"/>
    <w:rsid w:val="7D61134E"/>
    <w:rsid w:val="7E2731FF"/>
    <w:rsid w:val="7EE95C57"/>
    <w:rsid w:val="7F4C660C"/>
    <w:rsid w:val="7FC75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alloon Text"/>
    <w:basedOn w:val="1"/>
    <w:link w:val="12"/>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paragraph" w:customStyle="1" w:styleId="10">
    <w:name w:val="Default"/>
    <w:qFormat/>
    <w:uiPriority w:val="0"/>
    <w:pPr>
      <w:widowControl w:val="0"/>
      <w:autoSpaceDE w:val="0"/>
      <w:autoSpaceDN w:val="0"/>
      <w:adjustRightInd w:val="0"/>
    </w:pPr>
    <w:rPr>
      <w:rFonts w:ascii="黑体" w:eastAsia="黑体" w:cs="黑体" w:hAnsiTheme="minorHAnsi"/>
      <w:color w:val="000000"/>
      <w:kern w:val="0"/>
      <w:sz w:val="24"/>
      <w:szCs w:val="24"/>
      <w:lang w:val="en-US" w:eastAsia="zh-CN" w:bidi="ar-SA"/>
    </w:rPr>
  </w:style>
  <w:style w:type="paragraph" w:customStyle="1" w:styleId="11">
    <w:name w:val="List Paragraph"/>
    <w:basedOn w:val="1"/>
    <w:qFormat/>
    <w:uiPriority w:val="34"/>
    <w:pPr>
      <w:ind w:firstLine="420" w:firstLineChars="200"/>
    </w:pPr>
  </w:style>
  <w:style w:type="character" w:customStyle="1" w:styleId="12">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1258</Words>
  <Characters>7176</Characters>
  <Lines>59</Lines>
  <Paragraphs>16</Paragraphs>
  <ScaleCrop>false</ScaleCrop>
  <LinksUpToDate>false</LinksUpToDate>
  <CharactersWithSpaces>8418</CharactersWithSpaces>
  <Application>WPS Office_3.6.0.5672_F1E327BC-269C-435d-A152-05C5408002CA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2020-07-02T10:32:00Z</dcterms:created>
  <dc:creator>李航 null</dc:creator>
  <cp:lastModifiedBy>silverwu</cp:lastModifiedBy>
  <cp:lastPrinted>2020-11-26T10:00:00Z</cp:lastPrinted>
  <dcterms:modified xsi:type="dcterms:W3CDTF">2021-05-12T16:03:28Z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y fmtid="{D5CDD505-2E9C-101B-9397-08002B2CF9AE}" pid="3" name="ICV">
    <vt:lpwstr>03AE8AA1A13F47559E3E5C2312812820</vt:lpwstr>
  </property>
</Properties>
</file>