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r>
        <w:rPr>
          <w:rFonts w:hint="eastAsia" w:hAnsi="黑体"/>
          <w:sz w:val="36"/>
          <w:szCs w:val="36"/>
        </w:rPr>
        <w:t>附件1</w:t>
      </w: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5"/>
        <w:jc w:val="center"/>
        <w:sectPr>
          <w:footerReference r:id="rId3" w:type="default"/>
          <w:pgSz w:w="11906" w:h="16838"/>
          <w:pgMar w:top="1417" w:right="1588" w:bottom="1417" w:left="1588" w:header="851" w:footer="992" w:gutter="0"/>
          <w:pgNumType w:start="1"/>
          <w:cols w:space="425" w:num="1"/>
          <w:docGrid w:type="lines" w:linePitch="312" w:charSpace="0"/>
        </w:sectPr>
      </w:pPr>
      <w:r>
        <w:rPr>
          <w:rFonts w:ascii="Times New Roman" w:hAnsi="Times New Roman" w:eastAsia="方正小标宋简体" w:cs="Times New Roman"/>
          <w:sz w:val="72"/>
          <w:szCs w:val="72"/>
        </w:rPr>
        <w:t>（</w:t>
      </w:r>
      <w:r>
        <w:rPr>
          <w:rFonts w:hint="eastAsia" w:ascii="Times New Roman" w:hAnsi="Times New Roman" w:eastAsia="方正小标宋简体" w:cs="Times New Roman"/>
          <w:sz w:val="72"/>
          <w:szCs w:val="72"/>
          <w:lang w:val="en-US" w:eastAsia="zh-CN"/>
        </w:rPr>
        <w:t xml:space="preserve">蓝山县新圩中心幼儿园 </w:t>
      </w:r>
      <w:r>
        <w:rPr>
          <w:rFonts w:ascii="Times New Roman" w:hAnsi="Times New Roman" w:eastAsia="方正小标宋简体" w:cs="Times New Roman"/>
          <w:sz w:val="72"/>
          <w:szCs w:val="72"/>
        </w:rPr>
        <w:t>）部门决算</w:t>
      </w: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蓝山县新圩中心幼儿园</w:t>
      </w:r>
      <w:r>
        <w:rPr>
          <w:rFonts w:ascii="Times New Roman" w:hAnsi="Times New Roman" w:cs="Times New Roman"/>
          <w:bCs/>
          <w:sz w:val="32"/>
          <w:szCs w:val="32"/>
        </w:rPr>
        <w:t>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蓝山县新圩中心幼儿园</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主要职能：实施学前教育，促进幼儿教育的发展，搞好幼小衔接教育。 </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宋体" w:eastAsia="楷体_GB2312"/>
          <w:b/>
          <w:bCs/>
          <w:kern w:val="0"/>
          <w:sz w:val="32"/>
          <w:szCs w:val="32"/>
        </w:rPr>
        <w:t>（一）内设机构设置。</w:t>
      </w:r>
      <w:r>
        <w:rPr>
          <w:rFonts w:hint="eastAsia" w:ascii="Times New Roman" w:hAnsi="Times New Roman" w:eastAsia="仿宋_GB2312" w:cs="Times New Roman"/>
          <w:bCs/>
          <w:kern w:val="0"/>
          <w:sz w:val="32"/>
          <w:szCs w:val="32"/>
          <w:lang w:eastAsia="zh-CN"/>
        </w:rPr>
        <w:t>蓝山县新圩中心幼儿园内设机构包括：园长办公室、教师办公室。蓝山县新圩中心幼儿园</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年学生</w:t>
      </w:r>
      <w:r>
        <w:rPr>
          <w:rFonts w:hint="eastAsia" w:ascii="Times New Roman" w:hAnsi="Times New Roman" w:eastAsia="仿宋_GB2312" w:cs="Times New Roman"/>
          <w:sz w:val="32"/>
          <w:szCs w:val="32"/>
          <w:lang w:val="en-US" w:eastAsia="zh-CN"/>
        </w:rPr>
        <w:t>276</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幼儿园</w:t>
      </w:r>
      <w:r>
        <w:rPr>
          <w:rFonts w:hint="default" w:ascii="Times New Roman" w:hAnsi="Times New Roman" w:eastAsia="仿宋_GB2312" w:cs="Times New Roman"/>
          <w:sz w:val="32"/>
          <w:szCs w:val="32"/>
        </w:rPr>
        <w:t>班级</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现有教职工</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（包括临聘教职工）</w:t>
      </w:r>
      <w:r>
        <w:rPr>
          <w:rFonts w:hint="eastAsia"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Cs/>
          <w:kern w:val="0"/>
          <w:sz w:val="32"/>
          <w:szCs w:val="32"/>
        </w:rPr>
      </w:pPr>
      <w:r>
        <w:rPr>
          <w:rFonts w:hint="eastAsia" w:ascii="楷体_GB2312" w:hAnsi="宋体" w:eastAsia="楷体_GB2312"/>
          <w:b/>
          <w:bCs/>
          <w:kern w:val="0"/>
          <w:sz w:val="32"/>
          <w:szCs w:val="32"/>
        </w:rPr>
        <w:t>（二）决算单位构成。</w:t>
      </w:r>
      <w:r>
        <w:rPr>
          <w:rFonts w:hint="default" w:ascii="Times New Roman" w:hAnsi="Times New Roman" w:eastAsia="仿宋_GB2312" w:cs="Times New Roman"/>
          <w:bCs/>
          <w:kern w:val="0"/>
          <w:sz w:val="32"/>
          <w:szCs w:val="32"/>
        </w:rPr>
        <w:t>蓝山县</w:t>
      </w:r>
      <w:r>
        <w:rPr>
          <w:rFonts w:hint="default" w:ascii="Times New Roman" w:hAnsi="Times New Roman" w:eastAsia="仿宋_GB2312" w:cs="Times New Roman"/>
          <w:bCs/>
          <w:kern w:val="0"/>
          <w:sz w:val="32"/>
          <w:szCs w:val="32"/>
          <w:lang w:eastAsia="zh-CN"/>
        </w:rPr>
        <w:t>新圩中心幼儿园</w:t>
      </w:r>
      <w:r>
        <w:rPr>
          <w:rFonts w:hint="default"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年部门决算汇总公开单位构成包括：蓝山县</w:t>
      </w:r>
      <w:r>
        <w:rPr>
          <w:rFonts w:hint="default" w:ascii="Times New Roman" w:hAnsi="Times New Roman" w:eastAsia="仿宋_GB2312" w:cs="Times New Roman"/>
          <w:bCs/>
          <w:kern w:val="0"/>
          <w:sz w:val="32"/>
          <w:szCs w:val="32"/>
          <w:lang w:eastAsia="zh-CN"/>
        </w:rPr>
        <w:t>新圩中心幼儿园</w:t>
      </w:r>
      <w:r>
        <w:rPr>
          <w:rFonts w:hint="default" w:ascii="Times New Roman" w:hAnsi="Times New Roman" w:eastAsia="仿宋_GB2312" w:cs="Times New Roman"/>
          <w:bCs/>
          <w:kern w:val="0"/>
          <w:sz w:val="32"/>
          <w:szCs w:val="32"/>
        </w:rPr>
        <w:t>本级。</w:t>
      </w:r>
    </w:p>
    <w:p>
      <w:pPr>
        <w:jc w:val="center"/>
        <w:rPr>
          <w:rFonts w:ascii="Times New Roman" w:hAnsi="Times New Roman" w:eastAsia="黑体" w:cs="Times New Roman"/>
          <w:sz w:val="28"/>
          <w:szCs w:val="28"/>
        </w:rPr>
      </w:pPr>
    </w:p>
    <w:p>
      <w:pPr>
        <w:jc w:val="center"/>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14896" w:type="dxa"/>
        <w:jc w:val="center"/>
        <w:tblInd w:w="0" w:type="dxa"/>
        <w:tblLayout w:type="fixed"/>
        <w:tblCellMar>
          <w:top w:w="0" w:type="dxa"/>
          <w:left w:w="108" w:type="dxa"/>
          <w:bottom w:w="0" w:type="dxa"/>
          <w:right w:w="108" w:type="dxa"/>
        </w:tblCellMar>
      </w:tblPr>
      <w:tblGrid>
        <w:gridCol w:w="5425"/>
        <w:gridCol w:w="800"/>
        <w:gridCol w:w="1678"/>
        <w:gridCol w:w="5298"/>
        <w:gridCol w:w="673"/>
        <w:gridCol w:w="102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69.84</w:t>
            </w: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68.84</w:t>
            </w:r>
          </w:p>
        </w:tc>
      </w:tr>
      <w:tr>
        <w:tblPrEx>
          <w:tblLayout w:type="fixed"/>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69.84</w:t>
            </w:r>
          </w:p>
        </w:tc>
        <w:tc>
          <w:tcPr>
            <w:tcW w:w="5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69.84</w:t>
            </w: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69.84</w:t>
            </w: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69.84</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4666" w:type="dxa"/>
        <w:jc w:val="center"/>
        <w:tblInd w:w="0" w:type="dxa"/>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rPr>
              <w:t>205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rPr>
              <w:t>教育支出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kern w:val="0"/>
                <w:szCs w:val="21"/>
                <w:lang w:val="en-US" w:eastAsia="zh-CN"/>
              </w:rPr>
              <w:t>69.84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kern w:val="0"/>
                <w:szCs w:val="21"/>
                <w:lang w:val="en-US" w:eastAsia="zh-CN"/>
              </w:rPr>
              <w:t>69.84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rPr>
              <w:t>2050</w:t>
            </w:r>
            <w:r>
              <w:rPr>
                <w:rFonts w:hint="eastAsia" w:ascii="宋体" w:hAnsi="宋体"/>
                <w:color w:val="000000"/>
                <w:sz w:val="22"/>
                <w:szCs w:val="24"/>
                <w:lang w:val="en-US" w:eastAsia="zh-CN"/>
              </w:rPr>
              <w:t>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lang w:val="en-US" w:eastAsia="zh-CN"/>
              </w:rPr>
              <w:t>普通教育</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Times New Roman" w:hAnsi="Times New Roman" w:eastAsia="仿宋_GB2312" w:cs="Times New Roman"/>
                <w:kern w:val="0"/>
                <w:szCs w:val="21"/>
                <w:lang w:val="en-US" w:eastAsia="zh-CN"/>
              </w:rPr>
              <w:t>69.84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kern w:val="0"/>
                <w:szCs w:val="21"/>
                <w:lang w:val="en-US" w:eastAsia="zh-CN"/>
              </w:rPr>
              <w:t>69.84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rPr>
              <w:t>2050</w:t>
            </w:r>
            <w:r>
              <w:rPr>
                <w:rFonts w:hint="eastAsia" w:ascii="宋体" w:hAnsi="宋体"/>
                <w:color w:val="000000"/>
                <w:sz w:val="22"/>
                <w:szCs w:val="24"/>
                <w:lang w:val="en-US" w:eastAsia="zh-CN"/>
              </w:rPr>
              <w:t>201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lang w:val="en-US" w:eastAsia="zh-CN"/>
              </w:rPr>
              <w:t>学前</w:t>
            </w:r>
            <w:r>
              <w:rPr>
                <w:rFonts w:hint="eastAsia" w:ascii="宋体" w:hAnsi="宋体"/>
                <w:color w:val="000000"/>
                <w:sz w:val="22"/>
                <w:szCs w:val="24"/>
              </w:rPr>
              <w:t>教育</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ascii="Times New Roman" w:hAnsi="Times New Roman" w:eastAsia="仿宋_GB2312" w:cs="Times New Roman"/>
                <w:kern w:val="0"/>
                <w:szCs w:val="21"/>
                <w:lang w:val="en-US" w:eastAsia="zh-CN"/>
              </w:rPr>
              <w:t>69.84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kern w:val="0"/>
                <w:szCs w:val="21"/>
                <w:lang w:val="en-US" w:eastAsia="zh-CN"/>
              </w:rPr>
              <w:t>69.84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rPr>
              <w:t>205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rPr>
              <w:t>教育支出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Times New Roman" w:hAnsi="Times New Roman" w:eastAsia="仿宋_GB2312" w:cs="Times New Roman"/>
                <w:kern w:val="0"/>
                <w:szCs w:val="21"/>
                <w:lang w:val="en-US" w:eastAsia="zh-CN"/>
              </w:rPr>
              <w:t>69.84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kern w:val="0"/>
                <w:szCs w:val="21"/>
                <w:lang w:val="en-US" w:eastAsia="zh-CN"/>
              </w:rPr>
              <w:t>69.84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14214" w:type="dxa"/>
        <w:jc w:val="center"/>
        <w:tblInd w:w="0" w:type="dxa"/>
        <w:tblLayout w:type="fixed"/>
        <w:tblCellMar>
          <w:top w:w="0" w:type="dxa"/>
          <w:left w:w="108" w:type="dxa"/>
          <w:bottom w:w="0" w:type="dxa"/>
          <w:right w:w="108" w:type="dxa"/>
        </w:tblCellMar>
      </w:tblPr>
      <w:tblGrid>
        <w:gridCol w:w="2426"/>
        <w:gridCol w:w="1337"/>
        <w:gridCol w:w="1877"/>
        <w:gridCol w:w="1334"/>
        <w:gridCol w:w="1333"/>
        <w:gridCol w:w="1876"/>
        <w:gridCol w:w="1334"/>
        <w:gridCol w:w="2697"/>
      </w:tblGrid>
      <w:tr>
        <w:tblPrEx>
          <w:tblLayout w:type="fixed"/>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2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87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33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7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3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rPr>
              <w:t>205</w:t>
            </w:r>
          </w:p>
        </w:tc>
        <w:tc>
          <w:tcPr>
            <w:tcW w:w="1337" w:type="dxa"/>
            <w:tcBorders>
              <w:top w:val="nil"/>
              <w:left w:val="nil"/>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rPr>
              <w:t>教育支出</w:t>
            </w:r>
          </w:p>
        </w:tc>
        <w:tc>
          <w:tcPr>
            <w:tcW w:w="18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69.84</w:t>
            </w:r>
          </w:p>
        </w:tc>
        <w:tc>
          <w:tcPr>
            <w:tcW w:w="13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69.84</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rPr>
              <w:t>2050</w:t>
            </w:r>
            <w:r>
              <w:rPr>
                <w:rFonts w:hint="eastAsia" w:ascii="宋体" w:hAnsi="宋体"/>
                <w:color w:val="000000"/>
                <w:sz w:val="22"/>
                <w:szCs w:val="24"/>
                <w:lang w:val="en-US" w:eastAsia="zh-CN"/>
              </w:rPr>
              <w:t>2</w:t>
            </w:r>
          </w:p>
        </w:tc>
        <w:tc>
          <w:tcPr>
            <w:tcW w:w="1337" w:type="dxa"/>
            <w:tcBorders>
              <w:top w:val="nil"/>
              <w:left w:val="nil"/>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lang w:val="en-US" w:eastAsia="zh-CN"/>
              </w:rPr>
              <w:t>普通教育</w:t>
            </w:r>
          </w:p>
        </w:tc>
        <w:tc>
          <w:tcPr>
            <w:tcW w:w="18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69.84</w:t>
            </w:r>
          </w:p>
        </w:tc>
        <w:tc>
          <w:tcPr>
            <w:tcW w:w="13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69.84</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rPr>
              <w:t>2050</w:t>
            </w:r>
            <w:r>
              <w:rPr>
                <w:rFonts w:hint="eastAsia" w:ascii="宋体" w:hAnsi="宋体"/>
                <w:color w:val="000000"/>
                <w:sz w:val="22"/>
                <w:szCs w:val="24"/>
                <w:lang w:val="en-US" w:eastAsia="zh-CN"/>
              </w:rPr>
              <w:t>201</w:t>
            </w:r>
          </w:p>
        </w:tc>
        <w:tc>
          <w:tcPr>
            <w:tcW w:w="1337" w:type="dxa"/>
            <w:tcBorders>
              <w:top w:val="nil"/>
              <w:left w:val="nil"/>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lang w:val="en-US" w:eastAsia="zh-CN"/>
              </w:rPr>
              <w:t>学前</w:t>
            </w:r>
            <w:r>
              <w:rPr>
                <w:rFonts w:hint="eastAsia" w:ascii="宋体" w:hAnsi="宋体"/>
                <w:color w:val="000000"/>
                <w:sz w:val="22"/>
                <w:szCs w:val="24"/>
              </w:rPr>
              <w:t>教育</w:t>
            </w:r>
          </w:p>
        </w:tc>
        <w:tc>
          <w:tcPr>
            <w:tcW w:w="187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69.84</w:t>
            </w:r>
          </w:p>
        </w:tc>
        <w:tc>
          <w:tcPr>
            <w:tcW w:w="13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69.84</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rPr>
              <w:t>205</w:t>
            </w:r>
          </w:p>
        </w:tc>
        <w:tc>
          <w:tcPr>
            <w:tcW w:w="1337" w:type="dxa"/>
            <w:tcBorders>
              <w:top w:val="nil"/>
              <w:left w:val="nil"/>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rPr>
              <w:t>教育支出</w:t>
            </w:r>
          </w:p>
        </w:tc>
        <w:tc>
          <w:tcPr>
            <w:tcW w:w="18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69.84</w:t>
            </w:r>
          </w:p>
        </w:tc>
        <w:tc>
          <w:tcPr>
            <w:tcW w:w="13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69.84</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7"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7"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14220" w:type="dxa"/>
        <w:jc w:val="center"/>
        <w:tblInd w:w="0" w:type="dxa"/>
        <w:tblLayout w:type="fixed"/>
        <w:tblCellMar>
          <w:top w:w="0" w:type="dxa"/>
          <w:left w:w="108" w:type="dxa"/>
          <w:bottom w:w="0" w:type="dxa"/>
          <w:right w:w="108" w:type="dxa"/>
        </w:tblCellMar>
      </w:tblPr>
      <w:tblGrid>
        <w:gridCol w:w="3516"/>
        <w:gridCol w:w="616"/>
        <w:gridCol w:w="711"/>
        <w:gridCol w:w="2636"/>
        <w:gridCol w:w="616"/>
        <w:gridCol w:w="711"/>
        <w:gridCol w:w="1826"/>
        <w:gridCol w:w="1730"/>
        <w:gridCol w:w="1858"/>
      </w:tblGrid>
      <w:tr>
        <w:tblPrEx>
          <w:tblLayout w:type="fixed"/>
          <w:tblCellMar>
            <w:top w:w="0" w:type="dxa"/>
            <w:left w:w="108" w:type="dxa"/>
            <w:bottom w:w="0" w:type="dxa"/>
            <w:right w:w="108" w:type="dxa"/>
          </w:tblCellMar>
        </w:tblPrEx>
        <w:trPr>
          <w:trHeight w:val="402" w:hRule="atLeast"/>
          <w:jc w:val="center"/>
        </w:trPr>
        <w:tc>
          <w:tcPr>
            <w:tcW w:w="484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7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69.84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69.84</w:t>
            </w:r>
            <w:r>
              <w:rPr>
                <w:rFonts w:ascii="Times New Roman" w:hAnsi="Times New Roman" w:eastAsia="仿宋_GB2312" w:cs="Times New Roman"/>
                <w:kern w:val="0"/>
                <w:sz w:val="22"/>
              </w:rPr>
              <w:t>　</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69.84</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71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69.84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69.84</w:t>
            </w:r>
            <w:r>
              <w:rPr>
                <w:rFonts w:ascii="Times New Roman" w:hAnsi="Times New Roman" w:eastAsia="仿宋_GB2312" w:cs="Times New Roman"/>
                <w:kern w:val="0"/>
                <w:sz w:val="22"/>
              </w:rPr>
              <w:t>　</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69.84</w:t>
            </w: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69.84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71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69.84</w:t>
            </w:r>
            <w:r>
              <w:rPr>
                <w:rFonts w:ascii="Times New Roman" w:hAnsi="Times New Roman" w:eastAsia="仿宋_GB2312" w:cs="Times New Roman"/>
                <w:kern w:val="0"/>
                <w:sz w:val="22"/>
              </w:rPr>
              <w:t>　</w:t>
            </w:r>
          </w:p>
        </w:tc>
        <w:tc>
          <w:tcPr>
            <w:tcW w:w="182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69.84</w:t>
            </w: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rPr>
              <w:t>205</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rPr>
              <w:t>教育支出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69.84</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69.84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rPr>
              <w:t>2050</w:t>
            </w:r>
            <w:r>
              <w:rPr>
                <w:rFonts w:hint="eastAsia" w:ascii="宋体" w:hAnsi="宋体"/>
                <w:color w:val="000000"/>
                <w:sz w:val="22"/>
                <w:szCs w:val="24"/>
                <w:lang w:val="en-US" w:eastAsia="zh-CN"/>
              </w:rPr>
              <w:t>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lang w:val="en-US" w:eastAsia="zh-CN"/>
              </w:rPr>
              <w:t>普通教育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69.84</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69.84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rPr>
              <w:t>2050</w:t>
            </w:r>
            <w:r>
              <w:rPr>
                <w:rFonts w:hint="eastAsia" w:ascii="宋体" w:hAnsi="宋体"/>
                <w:color w:val="000000"/>
                <w:sz w:val="22"/>
                <w:szCs w:val="24"/>
                <w:lang w:val="en-US" w:eastAsia="zh-CN"/>
              </w:rPr>
              <w:t>201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lang w:val="en-US" w:eastAsia="zh-CN"/>
              </w:rPr>
              <w:t>学前</w:t>
            </w:r>
            <w:r>
              <w:rPr>
                <w:rFonts w:hint="eastAsia" w:ascii="宋体" w:hAnsi="宋体"/>
                <w:color w:val="000000"/>
                <w:sz w:val="22"/>
                <w:szCs w:val="24"/>
              </w:rPr>
              <w:t>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69.84</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69.84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rPr>
              <w:t>205</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rPr>
              <w:t>教育支出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69.84</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69.84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2"/>
        <w:tblW w:w="14627" w:type="dxa"/>
        <w:jc w:val="center"/>
        <w:tblInd w:w="0" w:type="dxa"/>
        <w:tblLayout w:type="fixed"/>
        <w:tblCellMar>
          <w:top w:w="0" w:type="dxa"/>
          <w:left w:w="108" w:type="dxa"/>
          <w:bottom w:w="0" w:type="dxa"/>
          <w:right w:w="108" w:type="dxa"/>
        </w:tblCellMar>
      </w:tblPr>
      <w:tblGrid>
        <w:gridCol w:w="1081"/>
        <w:gridCol w:w="2850"/>
        <w:gridCol w:w="966"/>
        <w:gridCol w:w="566"/>
        <w:gridCol w:w="256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5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38.25</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31.59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027"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25.71</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20.06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0.31</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0.98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9.23</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2.93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38.25</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31.59</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2"/>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3" w:firstLineChars="0"/>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hint="eastAsia" w:ascii="Times New Roman" w:hAnsi="Times New Roman" w:eastAsia="仿宋_GB2312" w:cs="Times New Roman"/>
          <w:bCs/>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万元。与上年相比，增</w:t>
      </w:r>
      <w:r>
        <w:rPr>
          <w:rFonts w:hint="eastAsia" w:ascii="Times New Roman" w:hAnsi="Times New Roman" w:eastAsia="仿宋_GB2312" w:cs="Times New Roman"/>
          <w:sz w:val="32"/>
          <w:szCs w:val="32"/>
          <w:lang w:val="en-US" w:eastAsia="zh-CN"/>
        </w:rPr>
        <w:t>加7.24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教师增多，</w:t>
      </w:r>
      <w:r>
        <w:rPr>
          <w:rFonts w:hint="eastAsia" w:ascii="Times New Roman" w:hAnsi="Times New Roman" w:eastAsia="仿宋_GB2312" w:cs="Times New Roman"/>
          <w:bCs/>
          <w:sz w:val="32"/>
          <w:szCs w:val="32"/>
          <w:lang w:val="en-US" w:eastAsia="zh-CN"/>
        </w:rPr>
        <w:t>基本工资开支有所增多。</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万元，与上年相比，增</w:t>
      </w:r>
      <w:r>
        <w:rPr>
          <w:rFonts w:hint="eastAsia" w:ascii="Times New Roman" w:hAnsi="Times New Roman" w:eastAsia="仿宋_GB2312" w:cs="Times New Roman"/>
          <w:sz w:val="32"/>
          <w:szCs w:val="32"/>
          <w:lang w:val="en-US" w:eastAsia="zh-CN"/>
        </w:rPr>
        <w:t>加7.24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教师增多，</w:t>
      </w:r>
      <w:r>
        <w:rPr>
          <w:rFonts w:hint="eastAsia" w:ascii="Times New Roman" w:hAnsi="Times New Roman" w:eastAsia="仿宋_GB2312" w:cs="Times New Roman"/>
          <w:bCs/>
          <w:sz w:val="32"/>
          <w:szCs w:val="32"/>
          <w:lang w:val="en-US" w:eastAsia="zh-CN"/>
        </w:rPr>
        <w:t>基本工资开支有所增多。</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w:t>
      </w:r>
      <w:r>
        <w:rPr>
          <w:rFonts w:hint="eastAsia" w:ascii="Times New Roman" w:hAnsi="Times New Roman" w:eastAsia="仿宋_GB2312" w:cs="Times New Roman"/>
          <w:sz w:val="32"/>
          <w:szCs w:val="32"/>
          <w:lang w:val="en-US" w:eastAsia="zh-CN"/>
        </w:rPr>
        <w:t>加7.24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教师增多，</w:t>
      </w:r>
      <w:r>
        <w:rPr>
          <w:rFonts w:hint="eastAsia" w:ascii="Times New Roman" w:hAnsi="Times New Roman" w:eastAsia="仿宋_GB2312" w:cs="Times New Roman"/>
          <w:bCs/>
          <w:sz w:val="32"/>
          <w:szCs w:val="32"/>
          <w:lang w:val="en-US" w:eastAsia="zh-CN"/>
        </w:rPr>
        <w:t>基本工资开支有所增多。</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万元，完成年初预算</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color w:val="auto"/>
          <w:sz w:val="32"/>
          <w:szCs w:val="32"/>
          <w:highlight w:val="none"/>
          <w:u w:val="none"/>
          <w:lang w:val="en-US" w:eastAsia="zh-CN"/>
        </w:rPr>
        <w:t>教育</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普通教育（款）学前教育（项</w:t>
      </w:r>
      <w:r>
        <w:rPr>
          <w:rFonts w:ascii="Times New Roman" w:hAnsi="Times New Roman" w:eastAsia="仿宋_GB2312" w:cs="Times New Roman"/>
          <w:sz w:val="32"/>
          <w:szCs w:val="32"/>
        </w:rPr>
        <w:t>）。</w:t>
      </w:r>
    </w:p>
    <w:p>
      <w:pPr>
        <w:pStyle w:val="15"/>
        <w:numPr>
          <w:ilvl w:val="0"/>
          <w:numId w:val="0"/>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highlight w:val="none"/>
          <w:u w:val="none"/>
          <w:lang w:val="en-US" w:eastAsia="zh-CN"/>
        </w:rPr>
        <w:t>决算数等于</w:t>
      </w:r>
      <w:r>
        <w:rPr>
          <w:rFonts w:ascii="Times New Roman" w:hAnsi="Times New Roman" w:eastAsia="仿宋_GB2312" w:cs="Times New Roman"/>
          <w:color w:val="auto"/>
          <w:sz w:val="32"/>
          <w:szCs w:val="32"/>
          <w:highlight w:val="none"/>
          <w:u w:val="none"/>
        </w:rPr>
        <w:t>年初预算的</w:t>
      </w:r>
      <w:r>
        <w:rPr>
          <w:rFonts w:hint="eastAsia" w:ascii="Times New Roman" w:hAnsi="Times New Roman" w:eastAsia="仿宋_GB2312" w:cs="Times New Roman"/>
          <w:color w:val="auto"/>
          <w:sz w:val="32"/>
          <w:szCs w:val="32"/>
          <w:highlight w:val="none"/>
          <w:u w:val="none"/>
          <w:lang w:val="en-US" w:eastAsia="zh-CN"/>
        </w:rPr>
        <w:t>原因是：在制定预算时，对收支情况进行了全面、准确的预测和规划，使得实际开支与预算相符。</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38.25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54.77</w:t>
      </w:r>
      <w:r>
        <w:rPr>
          <w:rFonts w:ascii="Times New Roman" w:hAnsi="Times New Roman" w:eastAsia="仿宋_GB2312" w:cs="Times New Roman"/>
          <w:sz w:val="32"/>
          <w:szCs w:val="32"/>
        </w:rPr>
        <w:t>%,主要包括基本工资、津贴补贴、奖金、伙食补助费</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31.59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45.23</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水费、电费、邮电费、差旅费、维修费、会议费、培训费、公务接待费、专用材料费、劳务费、工会经费、福利费、其他商品和服务支出</w:t>
      </w:r>
      <w:r>
        <w:rPr>
          <w:rFonts w:ascii="Times New Roman" w:hAnsi="Times New Roman" w:eastAsia="仿宋_GB2312" w:cs="Times New Roman"/>
          <w:color w:val="auto"/>
          <w:sz w:val="32"/>
          <w:szCs w:val="32"/>
          <w:u w:val="none"/>
        </w:rPr>
        <w:t>。</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w:t>
      </w:r>
      <w:r>
        <w:rPr>
          <w:rFonts w:hint="eastAsia" w:ascii="Times New Roman" w:hAnsi="Times New Roman" w:eastAsia="仿宋_GB2312" w:cs="Times New Roman"/>
          <w:sz w:val="32"/>
          <w:szCs w:val="32"/>
        </w:rPr>
        <w:t>单位不再安排公务接待餐，</w:t>
      </w:r>
      <w:r>
        <w:rPr>
          <w:rFonts w:hint="eastAsia" w:ascii="Times New Roman" w:hAnsi="Times New Roman" w:eastAsia="仿宋_GB2312" w:cs="Times New Roman"/>
          <w:sz w:val="32"/>
          <w:szCs w:val="32"/>
          <w:lang w:val="en-US" w:eastAsia="zh-CN"/>
        </w:rPr>
        <w:t>公务</w:t>
      </w:r>
      <w:r>
        <w:rPr>
          <w:rFonts w:hint="eastAsia" w:ascii="Times New Roman" w:hAnsi="Times New Roman" w:eastAsia="仿宋_GB2312" w:cs="Times New Roman"/>
          <w:sz w:val="32"/>
          <w:szCs w:val="32"/>
        </w:rPr>
        <w:t>接待费用不再产生 。</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w:t>
      </w:r>
      <w:r>
        <w:rPr>
          <w:rFonts w:hint="eastAsia" w:ascii="Times New Roman" w:hAnsi="Times New Roman" w:eastAsia="仿宋_GB2312" w:cs="Times New Roman"/>
          <w:sz w:val="32"/>
          <w:szCs w:val="32"/>
        </w:rPr>
        <w:t>单位不再安排公务接待餐，</w:t>
      </w:r>
      <w:r>
        <w:rPr>
          <w:rFonts w:hint="eastAsia" w:ascii="Times New Roman" w:hAnsi="Times New Roman" w:eastAsia="仿宋_GB2312" w:cs="Times New Roman"/>
          <w:sz w:val="32"/>
          <w:szCs w:val="32"/>
          <w:lang w:val="en-US" w:eastAsia="zh-CN"/>
        </w:rPr>
        <w:t>公务</w:t>
      </w:r>
      <w:r>
        <w:rPr>
          <w:rFonts w:hint="eastAsia" w:ascii="Times New Roman" w:hAnsi="Times New Roman" w:eastAsia="仿宋_GB2312" w:cs="Times New Roman"/>
          <w:sz w:val="32"/>
          <w:szCs w:val="32"/>
        </w:rPr>
        <w:t>接待费用不再产生</w:t>
      </w:r>
      <w:r>
        <w:rPr>
          <w:rFonts w:ascii="Times New Roman" w:hAnsi="Times New Roman" w:eastAsia="仿宋_GB2312" w:cs="Times New Roman"/>
          <w:sz w:val="32"/>
          <w:szCs w:val="32"/>
        </w:rPr>
        <w:t>。</w:t>
      </w:r>
    </w:p>
    <w:p>
      <w:pPr>
        <w:pStyle w:val="15"/>
        <w:overflowPunct w:val="0"/>
        <w:autoSpaceDE/>
        <w:autoSpaceDN/>
        <w:spacing w:afterAutospacing="0"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spacing w:before="93" w:beforeLines="29" w:beforeAutospacing="0" w:line="600" w:lineRule="exact"/>
        <w:ind w:firstLine="640" w:firstLineChars="200"/>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因公出国（境）费，与上年相比</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本单位无相关支出</w:t>
      </w:r>
      <w:r>
        <w:rPr>
          <w:rFonts w:ascii="Times New Roman" w:hAnsi="Times New Roman" w:eastAsia="仿宋_GB2312" w:cs="Times New Roman"/>
          <w:color w:val="auto"/>
          <w:sz w:val="32"/>
          <w:szCs w:val="32"/>
          <w:u w:val="none"/>
        </w:rPr>
        <w:t>。</w:t>
      </w:r>
    </w:p>
    <w:p>
      <w:pPr>
        <w:pStyle w:val="15"/>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年初预算数的主要原因公务用车购置费及运行维护费</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持平，持平的主要原因是本单位无相关支出</w:t>
      </w:r>
      <w:r>
        <w:rPr>
          <w:rFonts w:ascii="Times New Roman" w:hAnsi="Times New Roman" w:eastAsia="仿宋_GB2312" w:cs="Times New Roman"/>
          <w:color w:val="auto"/>
          <w:sz w:val="32"/>
          <w:szCs w:val="32"/>
          <w:u w:val="none"/>
        </w:rPr>
        <w:t>。</w:t>
      </w:r>
    </w:p>
    <w:p>
      <w:pPr>
        <w:pStyle w:val="15"/>
        <w:overflowPunct w:val="0"/>
        <w:autoSpaceDE/>
        <w:autoSpaceDN/>
        <w:spacing w:line="600" w:lineRule="exact"/>
        <w:ind w:firstLine="640" w:firstLineChars="200"/>
        <w:jc w:val="both"/>
        <w:rPr>
          <w:rFonts w:hint="eastAsia" w:ascii="Times New Roman" w:hAnsi="Times New Roman" w:eastAsia="仿宋_GB2312" w:cs="Times New Roman"/>
          <w:b/>
          <w:bCs/>
          <w:i/>
          <w:sz w:val="32"/>
          <w:szCs w:val="32"/>
          <w:lang w:val="en-US" w:eastAsia="zh-CN"/>
        </w:rPr>
      </w:pP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%。决算数小于预算数的主要原因是决算数小于上年数的主要原因是</w:t>
      </w:r>
      <w:r>
        <w:rPr>
          <w:rFonts w:hint="eastAsia" w:ascii="Times New Roman" w:hAnsi="Times New Roman" w:eastAsia="仿宋_GB2312" w:cs="Times New Roman"/>
          <w:sz w:val="32"/>
          <w:szCs w:val="32"/>
          <w:lang w:val="en-US" w:eastAsia="zh-CN"/>
        </w:rPr>
        <w:t>本</w:t>
      </w:r>
      <w:r>
        <w:rPr>
          <w:rFonts w:hint="eastAsia" w:ascii="Times New Roman" w:hAnsi="Times New Roman" w:eastAsia="仿宋_GB2312" w:cs="Times New Roman"/>
          <w:sz w:val="32"/>
          <w:szCs w:val="32"/>
        </w:rPr>
        <w:t>单位不再安排公务接待餐，</w:t>
      </w:r>
      <w:r>
        <w:rPr>
          <w:rFonts w:hint="eastAsia" w:ascii="Times New Roman" w:hAnsi="Times New Roman" w:eastAsia="仿宋_GB2312" w:cs="Times New Roman"/>
          <w:sz w:val="32"/>
          <w:szCs w:val="32"/>
          <w:lang w:val="en-US" w:eastAsia="zh-CN"/>
        </w:rPr>
        <w:t>公务</w:t>
      </w:r>
      <w:r>
        <w:rPr>
          <w:rFonts w:hint="eastAsia" w:ascii="Times New Roman" w:hAnsi="Times New Roman" w:eastAsia="仿宋_GB2312" w:cs="Times New Roman"/>
          <w:sz w:val="32"/>
          <w:szCs w:val="32"/>
        </w:rPr>
        <w:t>接待费用不再产生</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2024年</w:t>
      </w:r>
      <w:r>
        <w:rPr>
          <w:rFonts w:hint="eastAsia" w:ascii="Times New Roman" w:hAnsi="Times New Roman" w:eastAsia="仿宋_GB2312" w:cs="Times New Roman"/>
          <w:color w:val="auto"/>
          <w:sz w:val="32"/>
          <w:szCs w:val="32"/>
          <w:u w:val="none"/>
        </w:rPr>
        <w:t>本单位无政府性基金收支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38.59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比上年决算数增加</w:t>
      </w:r>
      <w:r>
        <w:rPr>
          <w:rFonts w:hint="eastAsia" w:ascii="Times New Roman" w:hAnsi="Times New Roman" w:eastAsia="仿宋_GB2312" w:cs="Times New Roman"/>
          <w:sz w:val="32"/>
          <w:szCs w:val="32"/>
          <w:lang w:val="en-US" w:eastAsia="zh-CN"/>
        </w:rPr>
        <w:t>12.88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49.56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 xml:space="preserve"> 经费开支较多。</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本年度</w:t>
      </w:r>
      <w:r>
        <w:rPr>
          <w:rFonts w:hint="eastAsia" w:ascii="Times New Roman" w:hAnsi="Times New Roman" w:eastAsia="仿宋_GB2312" w:cs="Times New Roman"/>
          <w:sz w:val="32"/>
          <w:szCs w:val="32"/>
        </w:rPr>
        <w:t>无需承担场地租赁、布置、参会人员交通食宿等费用，直接导致会议费</w:t>
      </w:r>
      <w:r>
        <w:rPr>
          <w:rFonts w:hint="eastAsia" w:ascii="Times New Roman" w:hAnsi="Times New Roman" w:eastAsia="仿宋_GB2312" w:cs="Times New Roman"/>
          <w:sz w:val="32"/>
          <w:szCs w:val="32"/>
          <w:lang w:val="en-US" w:eastAsia="zh-CN"/>
        </w:rPr>
        <w:t>为0元</w:t>
      </w:r>
      <w:r>
        <w:rPr>
          <w:rFonts w:hint="eastAsia"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28.56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 xml:space="preserve">28.56 </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28.56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28.56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 xml:space="preserve">100 </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spacing w:line="600" w:lineRule="exact"/>
        <w:ind w:firstLine="640" w:firstLineChars="200"/>
        <w:rPr>
          <w:rFonts w:hint="eastAsia" w:eastAsia="仿宋_GB2312"/>
          <w:color w:val="000000"/>
          <w:kern w:val="0"/>
          <w:sz w:val="32"/>
          <w:szCs w:val="32"/>
          <w:u w:val="none"/>
        </w:rPr>
      </w:pPr>
      <w:r>
        <w:rPr>
          <w:rFonts w:eastAsia="仿宋_GB2312"/>
          <w:kern w:val="0"/>
          <w:sz w:val="32"/>
          <w:szCs w:val="32"/>
          <w:u w:val="none"/>
        </w:rPr>
        <w:t>截至</w:t>
      </w:r>
      <w:r>
        <w:rPr>
          <w:rFonts w:hint="eastAsia" w:eastAsia="仿宋_GB2312"/>
          <w:kern w:val="0"/>
          <w:sz w:val="32"/>
          <w:szCs w:val="32"/>
          <w:u w:val="none"/>
          <w:lang w:val="en-US" w:eastAsia="zh-CN"/>
        </w:rPr>
        <w:t>2024</w:t>
      </w:r>
      <w:r>
        <w:rPr>
          <w:rFonts w:eastAsia="仿宋_GB2312"/>
          <w:kern w:val="0"/>
          <w:sz w:val="32"/>
          <w:szCs w:val="32"/>
          <w:u w:val="none"/>
        </w:rPr>
        <w:t>年12月31日，本单位共有车辆</w:t>
      </w:r>
      <w:r>
        <w:rPr>
          <w:rFonts w:hint="eastAsia" w:eastAsia="仿宋_GB2312"/>
          <w:sz w:val="32"/>
          <w:szCs w:val="32"/>
          <w:u w:val="none"/>
          <w:lang w:val="en-US" w:eastAsia="zh-CN"/>
        </w:rPr>
        <w:t>0</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sz w:val="32"/>
          <w:szCs w:val="32"/>
          <w:u w:val="none"/>
        </w:rPr>
        <w:t xml:space="preserve"> </w:t>
      </w:r>
      <w:r>
        <w:rPr>
          <w:rFonts w:eastAsia="仿宋_GB2312"/>
          <w:kern w:val="0"/>
          <w:sz w:val="32"/>
          <w:szCs w:val="32"/>
          <w:u w:val="none"/>
        </w:rPr>
        <w:t>辆、应急保障用车</w:t>
      </w:r>
      <w:r>
        <w:rPr>
          <w:rFonts w:hint="eastAsia" w:eastAsia="仿宋_GB2312"/>
          <w:sz w:val="32"/>
          <w:szCs w:val="32"/>
          <w:u w:val="none"/>
          <w:lang w:val="en-US" w:eastAsia="zh-CN"/>
        </w:rPr>
        <w:t>0</w:t>
      </w:r>
      <w:r>
        <w:rPr>
          <w:rFonts w:eastAsia="仿宋_GB2312"/>
          <w:kern w:val="0"/>
          <w:sz w:val="32"/>
          <w:szCs w:val="32"/>
          <w:u w:val="none"/>
        </w:rPr>
        <w:t>辆、执法执勤用车</w:t>
      </w:r>
      <w:r>
        <w:rPr>
          <w:rFonts w:hint="eastAsia" w:eastAsia="仿宋_GB2312"/>
          <w:sz w:val="32"/>
          <w:szCs w:val="32"/>
          <w:u w:val="none"/>
          <w:lang w:val="en-US" w:eastAsia="zh-CN"/>
        </w:rPr>
        <w:t>0</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69.84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69.84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pStyle w:val="10"/>
        <w:spacing w:line="33" w:lineRule="atLeast"/>
        <w:ind w:firstLine="640" w:firstLineChars="200"/>
        <w:jc w:val="both"/>
        <w:rPr>
          <w:rFonts w:hint="eastAsia" w:ascii="仿宋_GB2312" w:hAnsi="仿宋_GB2312" w:eastAsia="仿宋_GB2312" w:cs="仿宋_GB2312"/>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kern w:val="0"/>
          <w:sz w:val="32"/>
          <w:szCs w:val="32"/>
          <w:lang w:val="en-US" w:eastAsia="zh-CN"/>
        </w:rPr>
        <w:t xml:space="preserve">69.84 </w:t>
      </w:r>
      <w:r>
        <w:rPr>
          <w:rFonts w:ascii="Times New Roman" w:hAnsi="Times New Roman" w:eastAsia="仿宋_GB2312" w:cs="Times New Roman"/>
          <w:sz w:val="32"/>
          <w:szCs w:val="32"/>
        </w:rPr>
        <w:t>万元，执行数</w:t>
      </w:r>
      <w:r>
        <w:rPr>
          <w:rFonts w:hint="eastAsia" w:ascii="Times New Roman" w:hAnsi="Times New Roman" w:eastAsia="仿宋_GB2312" w:cs="Times New Roman"/>
          <w:kern w:val="0"/>
          <w:sz w:val="32"/>
          <w:szCs w:val="32"/>
          <w:lang w:val="en-US" w:eastAsia="zh-CN"/>
        </w:rPr>
        <w:t>69.84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一般公共预算支出，执行100%</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社会保险基金预算支出，执行100%</w:t>
      </w:r>
      <w:r>
        <w:rPr>
          <w:rFonts w:ascii="Times New Roman" w:hAnsi="Times New Roman" w:eastAsia="仿宋_GB2312" w:cs="Times New Roman"/>
          <w:sz w:val="32"/>
          <w:szCs w:val="32"/>
        </w:rPr>
        <w:t>。发现的主要问题及原因：一是</w:t>
      </w:r>
      <w:r>
        <w:rPr>
          <w:rFonts w:hint="eastAsia" w:ascii="仿宋_GB2312" w:hAnsi="仿宋_GB2312" w:eastAsia="仿宋_GB2312" w:cs="仿宋_GB2312"/>
          <w:sz w:val="32"/>
          <w:szCs w:val="32"/>
        </w:rPr>
        <w:t>预算编制前瞻性不够</w:t>
      </w:r>
      <w:r>
        <w:rPr>
          <w:rFonts w:ascii="Times New Roman" w:hAnsi="Times New Roman" w:eastAsia="仿宋_GB2312" w:cs="Times New Roman"/>
          <w:sz w:val="32"/>
          <w:szCs w:val="32"/>
        </w:rPr>
        <w:t>；二是</w:t>
      </w:r>
      <w:r>
        <w:rPr>
          <w:rFonts w:hint="eastAsia" w:ascii="仿宋_GB2312" w:hAnsi="仿宋_GB2312" w:eastAsia="仿宋_GB2312" w:cs="仿宋_GB2312"/>
          <w:sz w:val="32"/>
          <w:szCs w:val="32"/>
        </w:rPr>
        <w:t>政府采购预算依然没有摆脱求多求全的心态，编制精细度不高</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rPr>
        <w:t>1、进一步细化预算编制。注重加强收支预测，提高预算质量，科学合理编制部门预算，推进预算编制科学性、准确性，处理好财力可能与支出需求的关系，聚力优结构，严控非刚性、非重点项目等一般性支出。2、进一步优化绩效管理。优化预算绩效指标的设置，设置总体绩效目标时，要突出单位重点任务，同时要根据工作计划，结合项目具体内容分项设置数量指标、质量指标、成本指标等，确保数据可测，分值合理、结果客观，持续推进预算绩效管理与内部管理制度相融合，进一步提升管理效能。</w:t>
      </w:r>
    </w:p>
    <w:p>
      <w:pPr>
        <w:overflowPunct w:val="0"/>
        <w:spacing w:line="600" w:lineRule="exact"/>
        <w:ind w:firstLine="640" w:firstLineChars="200"/>
        <w:rPr>
          <w:rFonts w:ascii="Times New Roman" w:hAnsi="Times New Roman" w:eastAsia="仿宋_GB2312" w:cs="Times New Roman"/>
          <w:bCs/>
          <w:sz w:val="32"/>
          <w:szCs w:val="32"/>
        </w:rPr>
      </w:pPr>
    </w:p>
    <w:p>
      <w:pPr>
        <w:pStyle w:val="15"/>
        <w:numPr>
          <w:ilvl w:val="0"/>
          <w:numId w:val="1"/>
        </w:numPr>
        <w:jc w:val="center"/>
        <w:rPr>
          <w:rFonts w:hint="default" w:ascii="仿宋_GB2312" w:hAnsi="仿宋_GB2312" w:eastAsia="仿宋_GB2312" w:cs="仿宋_GB2312"/>
          <w:sz w:val="32"/>
          <w:szCs w:val="32"/>
          <w:lang w:val="en-US" w:eastAsia="zh-CN"/>
        </w:rPr>
      </w:pPr>
      <w:r>
        <w:rPr>
          <w:rFonts w:ascii="Times New Roman" w:hAnsi="Times New Roman" w:eastAsia="楷体_GB2312" w:cs="Times New Roman"/>
          <w:b/>
          <w:bCs/>
          <w:color w:val="auto"/>
          <w:kern w:val="2"/>
          <w:sz w:val="32"/>
          <w:szCs w:val="32"/>
        </w:rPr>
        <w:t>评价结果应用情况</w:t>
      </w:r>
      <w:r>
        <w:rPr>
          <w:rFonts w:hint="eastAsia" w:ascii="Times New Roman" w:hAnsi="Times New Roman" w:eastAsia="楷体_GB2312" w:cs="Times New Roman"/>
          <w:b/>
          <w:bCs/>
          <w:color w:val="auto"/>
          <w:kern w:val="2"/>
          <w:sz w:val="32"/>
          <w:szCs w:val="32"/>
          <w:lang w:eastAsia="zh-CN"/>
        </w:rPr>
        <w:t>。</w:t>
      </w:r>
      <w:r>
        <w:rPr>
          <w:rFonts w:hint="eastAsia" w:ascii="仿宋_GB2312" w:hAnsi="仿宋_GB2312" w:eastAsia="仿宋_GB2312" w:cs="仿宋_GB2312"/>
          <w:sz w:val="32"/>
          <w:szCs w:val="32"/>
          <w:lang w:val="en-US" w:eastAsia="zh-CN"/>
        </w:rPr>
        <w:t>要注重绩效评价结果的运用，对照绩效评价工作中发现的问题，结合绩效评价报告中提出的整改意见，进一步完善预算管理机制，结合绩效评价报告中提出的整改意见，进一步完善预算管理机制，增强支出责任，规范资金使用，强化监督检查，强化财政资金管理水平，提高财政资金使用效益，为预算资金使用效益的提高提供基础保障。</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pPr>
        <w:pStyle w:val="15"/>
        <w:jc w:val="center"/>
        <w:rPr>
          <w:rFonts w:hint="eastAsia" w:ascii="Times New Roman" w:hAnsi="Times New Roman" w:cs="Times New Roman"/>
          <w:color w:val="000000"/>
          <w:kern w:val="0"/>
          <w:sz w:val="32"/>
          <w:szCs w:val="32"/>
          <w:lang w:val="en-US" w:eastAsia="zh-CN"/>
        </w:rPr>
      </w:pPr>
    </w:p>
    <w:p>
      <w:pPr>
        <w:pStyle w:val="15"/>
        <w:jc w:val="center"/>
        <w:rPr>
          <w:rFonts w:hint="eastAsia" w:ascii="Times New Roman" w:hAnsi="Times New Roman" w:cs="Times New Roman"/>
          <w:color w:val="000000"/>
          <w:kern w:val="0"/>
          <w:sz w:val="32"/>
          <w:szCs w:val="32"/>
          <w:lang w:val="en-US" w:eastAsia="zh-CN"/>
        </w:rPr>
      </w:pPr>
      <w:bookmarkStart w:id="3" w:name="_GoBack"/>
      <w:bookmarkEnd w:id="3"/>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rPr>
          <w:rFonts w:ascii="仿宋" w:hAnsi="仿宋" w:eastAsia="仿宋" w:cs="仿宋"/>
          <w:bCs/>
          <w:sz w:val="32"/>
          <w:szCs w:val="32"/>
        </w:rPr>
      </w:pPr>
      <w:r>
        <w:rPr>
          <w:rFonts w:hint="eastAsia" w:ascii="仿宋" w:hAnsi="仿宋" w:eastAsia="仿宋" w:cs="仿宋"/>
          <w:bCs/>
          <w:sz w:val="32"/>
          <w:szCs w:val="32"/>
        </w:rPr>
        <w:t>根据《《中华人民共和国预算法》、中共湖南省委办公厅 湖南省人民政府办公厅《关于全面实施预算绩效管理的实施意见》（湘办发[2022]10号）、《蓝山县财政局关于开展2023年度财政支出绩效自评工作的通知》（蓝财绩[2023]1号）精神，我单位领导高度重视，认真组织，对2024年部门整体支出进行了绩效自评，现将我单位部门整体支出绩效自评情况报告如下：           </w:t>
      </w:r>
    </w:p>
    <w:p>
      <w:pPr>
        <w:ind w:firstLine="640" w:firstLineChars="200"/>
        <w:rPr>
          <w:rFonts w:ascii="仿宋" w:hAnsi="仿宋" w:eastAsia="仿宋" w:cs="仿宋"/>
          <w:b/>
          <w:sz w:val="32"/>
          <w:szCs w:val="32"/>
        </w:rPr>
      </w:pPr>
      <w:r>
        <w:rPr>
          <w:rFonts w:hint="eastAsia" w:ascii="仿宋" w:hAnsi="仿宋" w:eastAsia="仿宋" w:cs="仿宋"/>
          <w:b/>
          <w:sz w:val="32"/>
          <w:szCs w:val="32"/>
        </w:rPr>
        <w:t>一、部门概况</w:t>
      </w:r>
    </w:p>
    <w:p>
      <w:pPr>
        <w:widowControl w:val="0"/>
        <w:adjustRightInd/>
        <w:snapToGrid/>
        <w:spacing w:after="0" w:line="600" w:lineRule="exact"/>
        <w:ind w:firstLine="640" w:firstLineChars="200"/>
        <w:jc w:val="both"/>
        <w:rPr>
          <w:rFonts w:ascii="仿宋_GB2312" w:hAnsi="仿宋_GB2312" w:eastAsia="仿宋_GB2312" w:cs="仿宋_GB2312"/>
          <w:bCs/>
          <w:spacing w:val="-20"/>
          <w:sz w:val="32"/>
          <w:szCs w:val="32"/>
        </w:rPr>
      </w:pPr>
      <w:r>
        <w:rPr>
          <w:rFonts w:hint="eastAsia" w:ascii="仿宋_GB2312" w:hAnsi="仿宋" w:eastAsia="仿宋_GB2312"/>
          <w:sz w:val="32"/>
          <w:szCs w:val="32"/>
        </w:rPr>
        <w:t>1．主要职能。</w:t>
      </w:r>
      <w:r>
        <w:rPr>
          <w:rFonts w:ascii="Times New Roman" w:hAnsi="Times New Roman" w:eastAsia="仿宋_GB2312" w:cs="Times New Roman"/>
          <w:kern w:val="2"/>
          <w:sz w:val="32"/>
          <w:szCs w:val="32"/>
        </w:rPr>
        <w:t xml:space="preserve">主要职能：实施学前教育，促进幼儿教育的发展，搞好幼小衔接教育。 </w:t>
      </w:r>
    </w:p>
    <w:p>
      <w:pPr>
        <w:ind w:firstLine="640" w:firstLineChars="200"/>
        <w:rPr>
          <w:rFonts w:ascii="仿宋" w:hAnsi="仿宋" w:eastAsia="仿宋" w:cs="仿宋"/>
          <w:bCs/>
          <w:sz w:val="32"/>
          <w:szCs w:val="32"/>
        </w:rPr>
      </w:pPr>
      <w:r>
        <w:rPr>
          <w:rFonts w:hint="eastAsia" w:ascii="仿宋" w:hAnsi="仿宋" w:eastAsia="仿宋" w:cs="仿宋"/>
          <w:bCs/>
          <w:sz w:val="32"/>
          <w:szCs w:val="32"/>
        </w:rPr>
        <w:t>（二）人员情况</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Cs/>
          <w:kern w:val="0"/>
          <w:sz w:val="32"/>
          <w:szCs w:val="32"/>
          <w:lang w:eastAsia="zh-CN"/>
        </w:rPr>
        <w:t>蓝山县新圩中心幼儿园内设机构包括：园长办公室、教师办公室。蓝山县新圩中心幼儿园</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年学生</w:t>
      </w:r>
      <w:r>
        <w:rPr>
          <w:rFonts w:hint="eastAsia" w:ascii="Times New Roman" w:hAnsi="Times New Roman" w:eastAsia="仿宋_GB2312" w:cs="Times New Roman"/>
          <w:sz w:val="32"/>
          <w:szCs w:val="32"/>
          <w:lang w:val="en-US" w:eastAsia="zh-CN"/>
        </w:rPr>
        <w:t>276</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幼儿园</w:t>
      </w:r>
      <w:r>
        <w:rPr>
          <w:rFonts w:hint="default" w:ascii="Times New Roman" w:hAnsi="Times New Roman" w:eastAsia="仿宋_GB2312" w:cs="Times New Roman"/>
          <w:sz w:val="32"/>
          <w:szCs w:val="32"/>
        </w:rPr>
        <w:t>班级</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现有教职工</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（包括临聘教职工）</w:t>
      </w:r>
      <w:r>
        <w:rPr>
          <w:rFonts w:hint="eastAsia" w:ascii="Times New Roman" w:hAnsi="Times New Roman" w:eastAsia="仿宋_GB2312" w:cs="Times New Roman"/>
          <w:sz w:val="32"/>
          <w:szCs w:val="32"/>
          <w:lang w:val="en-US" w:eastAsia="zh-CN"/>
        </w:rPr>
        <w:t>。</w:t>
      </w:r>
    </w:p>
    <w:p>
      <w:pPr>
        <w:ind w:firstLine="640" w:firstLineChars="200"/>
        <w:rPr>
          <w:rFonts w:ascii="仿宋" w:hAnsi="仿宋" w:eastAsia="仿宋" w:cs="仿宋"/>
          <w:b/>
          <w:sz w:val="32"/>
          <w:szCs w:val="32"/>
        </w:rPr>
      </w:pPr>
      <w:r>
        <w:rPr>
          <w:rFonts w:hint="eastAsia" w:ascii="仿宋" w:hAnsi="仿宋" w:eastAsia="仿宋" w:cs="仿宋"/>
          <w:b/>
          <w:sz w:val="32"/>
          <w:szCs w:val="32"/>
        </w:rPr>
        <w:t>二、部门整体收支结余情况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本年收入合计</w:t>
      </w:r>
      <w:r>
        <w:rPr>
          <w:rFonts w:hint="eastAsia" w:ascii="Times New Roman" w:hAnsi="Times New Roman" w:eastAsia="仿宋_GB2312" w:cs="Times New Roman"/>
          <w:kern w:val="0"/>
          <w:sz w:val="32"/>
          <w:szCs w:val="32"/>
          <w:lang w:val="en-US" w:eastAsia="zh-CN"/>
        </w:rPr>
        <w:t>69.84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lang w:val="en-US" w:eastAsia="zh-CN"/>
        </w:rPr>
        <w:t>69.84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p>
    <w:p>
      <w:pPr>
        <w:ind w:firstLine="640" w:firstLineChars="200"/>
        <w:rPr>
          <w:rFonts w:ascii="仿宋" w:hAnsi="仿宋" w:eastAsia="仿宋" w:cs="仿宋"/>
          <w:bCs/>
          <w:sz w:val="32"/>
          <w:szCs w:val="32"/>
        </w:rPr>
      </w:pPr>
      <w:r>
        <w:rPr>
          <w:rFonts w:hint="eastAsia" w:ascii="Times New Roman" w:hAnsi="Times New Roman" w:eastAsia="仿宋_GB2312" w:cs="Times New Roman"/>
          <w:sz w:val="32"/>
          <w:szCs w:val="32"/>
        </w:rPr>
        <w:t>本年支出</w:t>
      </w:r>
      <w:r>
        <w:rPr>
          <w:rFonts w:hint="eastAsia" w:ascii="Times New Roman" w:hAnsi="Times New Roman" w:eastAsia="仿宋_GB2312" w:cs="Times New Roman"/>
          <w:kern w:val="0"/>
          <w:sz w:val="32"/>
          <w:szCs w:val="32"/>
          <w:lang w:val="en-US" w:eastAsia="zh-CN"/>
        </w:rPr>
        <w:t>69.84</w:t>
      </w:r>
      <w:r>
        <w:rPr>
          <w:rFonts w:hint="eastAsia" w:ascii="Times New Roman" w:hAnsi="Times New Roman" w:eastAsia="仿宋_GB2312" w:cs="Times New Roman"/>
          <w:sz w:val="32"/>
          <w:szCs w:val="32"/>
        </w:rPr>
        <w:t>万元，其中工资福利支出</w:t>
      </w:r>
      <w:r>
        <w:rPr>
          <w:rFonts w:hint="eastAsia" w:ascii="Times New Roman" w:hAnsi="Times New Roman" w:eastAsia="仿宋_GB2312" w:cs="Times New Roman"/>
          <w:sz w:val="32"/>
          <w:szCs w:val="32"/>
          <w:lang w:val="en-US" w:eastAsia="zh-CN"/>
        </w:rPr>
        <w:t>38.25</w:t>
      </w:r>
      <w:r>
        <w:rPr>
          <w:rFonts w:hint="eastAsia" w:ascii="Times New Roman" w:hAnsi="Times New Roman" w:eastAsia="仿宋_GB2312" w:cs="Times New Roman"/>
          <w:sz w:val="32"/>
          <w:szCs w:val="32"/>
        </w:rPr>
        <w:t>万元，其他商品服务支出</w:t>
      </w:r>
      <w:r>
        <w:rPr>
          <w:rFonts w:hint="eastAsia" w:ascii="Times New Roman" w:hAnsi="Times New Roman" w:eastAsia="仿宋_GB2312" w:cs="Times New Roman"/>
          <w:sz w:val="32"/>
          <w:szCs w:val="32"/>
          <w:lang w:val="en-US" w:eastAsia="zh-CN"/>
        </w:rPr>
        <w:t>31.59</w:t>
      </w:r>
      <w:r>
        <w:rPr>
          <w:rFonts w:hint="eastAsia" w:ascii="Times New Roman" w:hAnsi="Times New Roman" w:eastAsia="仿宋_GB2312" w:cs="Times New Roman"/>
          <w:sz w:val="32"/>
          <w:szCs w:val="32"/>
        </w:rPr>
        <w:t>万元，对个人和家庭的补助0万元，项目支出0万元</w:t>
      </w:r>
      <w:r>
        <w:rPr>
          <w:rFonts w:hint="eastAsia" w:ascii="仿宋" w:hAnsi="仿宋" w:eastAsia="仿宋" w:cs="仿宋"/>
          <w:bCs/>
          <w:sz w:val="32"/>
          <w:szCs w:val="32"/>
        </w:rPr>
        <w:t>；</w:t>
      </w:r>
    </w:p>
    <w:p>
      <w:pPr>
        <w:ind w:firstLine="640" w:firstLineChars="200"/>
        <w:rPr>
          <w:rFonts w:ascii="仿宋" w:hAnsi="仿宋" w:eastAsia="仿宋" w:cs="仿宋"/>
          <w:b/>
          <w:sz w:val="32"/>
          <w:szCs w:val="32"/>
        </w:rPr>
      </w:pPr>
      <w:r>
        <w:rPr>
          <w:rFonts w:hint="eastAsia" w:ascii="仿宋" w:hAnsi="仿宋" w:eastAsia="仿宋" w:cs="仿宋"/>
          <w:b/>
          <w:sz w:val="32"/>
          <w:szCs w:val="32"/>
        </w:rPr>
        <w:t>三、预算执行与管理情况</w:t>
      </w:r>
    </w:p>
    <w:p>
      <w:pPr>
        <w:pStyle w:val="10"/>
        <w:shd w:val="clear" w:color="070000" w:fill="FFFFFF"/>
        <w:spacing w:beforeAutospacing="0" w:afterAutospacing="0"/>
        <w:ind w:firstLine="640" w:firstLineChars="200"/>
        <w:jc w:val="both"/>
        <w:rPr>
          <w:rFonts w:ascii="仿宋" w:hAnsi="仿宋" w:eastAsia="仿宋" w:cs="仿宋"/>
          <w:bCs/>
          <w:sz w:val="32"/>
          <w:szCs w:val="32"/>
        </w:rPr>
      </w:pPr>
      <w:r>
        <w:rPr>
          <w:rFonts w:hint="eastAsia" w:ascii="仿宋" w:hAnsi="仿宋" w:eastAsia="仿宋" w:cs="仿宋"/>
          <w:bCs/>
          <w:sz w:val="32"/>
          <w:szCs w:val="32"/>
        </w:rPr>
        <w:t>2024年，我单位积极履职，强化管理，较好地完成了年度工作目标。根据部门整体支出绩效评价指标体系，我单位2024年度评价得分为9</w:t>
      </w:r>
      <w:r>
        <w:rPr>
          <w:rFonts w:ascii="仿宋" w:hAnsi="仿宋" w:eastAsia="仿宋" w:cs="仿宋"/>
          <w:bCs/>
          <w:sz w:val="32"/>
          <w:szCs w:val="32"/>
        </w:rPr>
        <w:t>8.62</w:t>
      </w:r>
      <w:r>
        <w:rPr>
          <w:rFonts w:hint="eastAsia" w:ascii="仿宋" w:hAnsi="仿宋" w:eastAsia="仿宋" w:cs="仿宋"/>
          <w:bCs/>
          <w:sz w:val="32"/>
          <w:szCs w:val="32"/>
        </w:rPr>
        <w:t>分。部门整体支出绩效情况如下：</w:t>
      </w:r>
    </w:p>
    <w:p>
      <w:pPr>
        <w:pStyle w:val="10"/>
        <w:spacing w:line="33"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b/>
          <w:bCs/>
          <w:sz w:val="30"/>
          <w:szCs w:val="30"/>
        </w:rPr>
        <w:t>（一）“三公经费”支出使用和管理情况</w:t>
      </w:r>
    </w:p>
    <w:p>
      <w:pPr>
        <w:pStyle w:val="10"/>
        <w:spacing w:line="33"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1、本年“三公经费”预算情况</w:t>
      </w:r>
    </w:p>
    <w:p>
      <w:pPr>
        <w:pStyle w:val="10"/>
        <w:spacing w:line="33" w:lineRule="atLeast"/>
        <w:ind w:firstLine="640" w:firstLineChars="200"/>
        <w:jc w:val="both"/>
        <w:rPr>
          <w:rFonts w:ascii="仿宋" w:hAnsi="仿宋" w:eastAsia="仿宋" w:cs="仿宋"/>
          <w:bCs/>
          <w:sz w:val="32"/>
          <w:szCs w:val="32"/>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年度本部门“三公”经费预算</w:t>
      </w:r>
      <w:r>
        <w:rPr>
          <w:rFonts w:ascii="仿宋" w:hAnsi="仿宋" w:eastAsia="仿宋" w:cs="仿宋"/>
          <w:bCs/>
          <w:sz w:val="32"/>
          <w:szCs w:val="32"/>
        </w:rPr>
        <w:t>0</w:t>
      </w:r>
      <w:r>
        <w:rPr>
          <w:rFonts w:hint="eastAsia" w:ascii="仿宋" w:hAnsi="仿宋" w:eastAsia="仿宋" w:cs="仿宋"/>
          <w:bCs/>
          <w:sz w:val="32"/>
          <w:szCs w:val="32"/>
        </w:rPr>
        <w:t>万元。公务用车购置及运行费0万元，公务接待费 0万元。202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年“三公”预算较2023年增加0万元。</w:t>
      </w:r>
    </w:p>
    <w:p>
      <w:pPr>
        <w:pStyle w:val="10"/>
        <w:spacing w:line="33" w:lineRule="atLeast"/>
        <w:ind w:firstLine="640" w:firstLineChars="200"/>
        <w:jc w:val="both"/>
        <w:rPr>
          <w:rFonts w:ascii="仿宋" w:hAnsi="仿宋" w:eastAsia="仿宋" w:cs="仿宋"/>
          <w:bCs/>
          <w:sz w:val="32"/>
          <w:szCs w:val="32"/>
        </w:rPr>
      </w:pPr>
      <w:r>
        <w:rPr>
          <w:rFonts w:hint="eastAsia" w:ascii="仿宋" w:hAnsi="仿宋" w:eastAsia="仿宋" w:cs="仿宋"/>
          <w:bCs/>
          <w:sz w:val="32"/>
          <w:szCs w:val="32"/>
        </w:rPr>
        <w:t>2、“三公经费”预算执行情况</w:t>
      </w:r>
    </w:p>
    <w:p>
      <w:pPr>
        <w:spacing w:line="600" w:lineRule="exact"/>
        <w:ind w:firstLine="660"/>
        <w:rPr>
          <w:rFonts w:ascii="仿宋_GB2312" w:hAnsi="仿宋_GB2312" w:eastAsia="仿宋_GB2312" w:cs="仿宋_GB2312"/>
          <w:sz w:val="30"/>
          <w:szCs w:val="30"/>
        </w:rPr>
      </w:pPr>
      <w:r>
        <w:rPr>
          <w:rFonts w:hint="eastAsia" w:eastAsia="仿宋_GB2312"/>
          <w:sz w:val="32"/>
          <w:szCs w:val="32"/>
        </w:rPr>
        <w:t>2024</w:t>
      </w:r>
      <w:r>
        <w:rPr>
          <w:rFonts w:eastAsia="仿宋_GB2312"/>
          <w:sz w:val="32"/>
          <w:szCs w:val="32"/>
        </w:rPr>
        <w:t>年本部门 “三公”经费</w:t>
      </w:r>
      <w:r>
        <w:rPr>
          <w:rFonts w:hint="eastAsia" w:eastAsia="仿宋_GB2312"/>
          <w:sz w:val="32"/>
          <w:szCs w:val="32"/>
        </w:rPr>
        <w:t>决算数0</w:t>
      </w:r>
      <w:r>
        <w:rPr>
          <w:rFonts w:eastAsia="仿宋_GB2312"/>
          <w:sz w:val="32"/>
          <w:szCs w:val="32"/>
        </w:rPr>
        <w:t>万元，其中公务接待费</w:t>
      </w:r>
      <w:r>
        <w:rPr>
          <w:rFonts w:hint="eastAsia" w:eastAsia="仿宋_GB2312"/>
          <w:sz w:val="32"/>
          <w:szCs w:val="32"/>
        </w:rPr>
        <w:t>0</w:t>
      </w:r>
      <w:r>
        <w:rPr>
          <w:rFonts w:eastAsia="仿宋_GB2312"/>
          <w:sz w:val="32"/>
          <w:szCs w:val="32"/>
        </w:rPr>
        <w:t>万元，公务用车购置及运行</w:t>
      </w:r>
      <w:r>
        <w:rPr>
          <w:rFonts w:hint="eastAsia" w:eastAsia="仿宋_GB2312"/>
          <w:sz w:val="32"/>
          <w:szCs w:val="32"/>
        </w:rPr>
        <w:t>维护</w:t>
      </w:r>
      <w:r>
        <w:rPr>
          <w:rFonts w:eastAsia="仿宋_GB2312"/>
          <w:sz w:val="32"/>
          <w:szCs w:val="32"/>
        </w:rPr>
        <w:t>费</w:t>
      </w:r>
      <w:r>
        <w:rPr>
          <w:rFonts w:hint="eastAsia" w:eastAsia="仿宋_GB2312"/>
          <w:sz w:val="32"/>
          <w:szCs w:val="32"/>
        </w:rPr>
        <w:t>0</w:t>
      </w:r>
      <w:r>
        <w:rPr>
          <w:rFonts w:eastAsia="仿宋_GB2312"/>
          <w:sz w:val="32"/>
          <w:szCs w:val="32"/>
        </w:rPr>
        <w:t>万元（其中公务用车购置费</w:t>
      </w:r>
      <w:r>
        <w:rPr>
          <w:rFonts w:hint="eastAsia" w:eastAsia="仿宋_GB2312"/>
          <w:sz w:val="32"/>
          <w:szCs w:val="32"/>
        </w:rPr>
        <w:t>0</w:t>
      </w:r>
      <w:r>
        <w:rPr>
          <w:rFonts w:eastAsia="仿宋_GB2312"/>
          <w:sz w:val="32"/>
          <w:szCs w:val="32"/>
        </w:rPr>
        <w:t>万元，公务用车运行</w:t>
      </w:r>
      <w:r>
        <w:rPr>
          <w:rFonts w:hint="eastAsia" w:eastAsia="仿宋_GB2312"/>
          <w:sz w:val="32"/>
          <w:szCs w:val="32"/>
        </w:rPr>
        <w:t>维护</w:t>
      </w:r>
      <w:r>
        <w:rPr>
          <w:rFonts w:eastAsia="仿宋_GB2312"/>
          <w:sz w:val="32"/>
          <w:szCs w:val="32"/>
        </w:rPr>
        <w:t>费</w:t>
      </w:r>
      <w:r>
        <w:rPr>
          <w:rFonts w:hint="eastAsia" w:eastAsia="仿宋_GB2312"/>
          <w:sz w:val="32"/>
          <w:szCs w:val="32"/>
        </w:rPr>
        <w:t>0</w:t>
      </w:r>
      <w:r>
        <w:rPr>
          <w:rFonts w:eastAsia="仿宋_GB2312"/>
          <w:sz w:val="32"/>
          <w:szCs w:val="32"/>
        </w:rPr>
        <w:t>万元）。</w:t>
      </w:r>
      <w:r>
        <w:rPr>
          <w:rFonts w:hint="eastAsia" w:eastAsia="仿宋_GB2312"/>
          <w:sz w:val="32"/>
          <w:szCs w:val="32"/>
        </w:rPr>
        <w:t>2024</w:t>
      </w:r>
      <w:r>
        <w:rPr>
          <w:rFonts w:eastAsia="仿宋_GB2312"/>
          <w:sz w:val="32"/>
          <w:szCs w:val="32"/>
        </w:rPr>
        <w:t>年“三公”经费</w:t>
      </w:r>
      <w:r>
        <w:rPr>
          <w:rFonts w:hint="eastAsia" w:eastAsia="仿宋_GB2312"/>
          <w:sz w:val="32"/>
          <w:szCs w:val="32"/>
        </w:rPr>
        <w:t>决算数</w:t>
      </w:r>
      <w:r>
        <w:rPr>
          <w:rFonts w:eastAsia="仿宋_GB2312"/>
          <w:sz w:val="32"/>
          <w:szCs w:val="32"/>
        </w:rPr>
        <w:t>较202</w:t>
      </w:r>
      <w:r>
        <w:rPr>
          <w:rFonts w:hint="eastAsia" w:eastAsia="仿宋_GB2312"/>
          <w:sz w:val="32"/>
          <w:szCs w:val="32"/>
        </w:rPr>
        <w:t>3</w:t>
      </w:r>
      <w:r>
        <w:rPr>
          <w:rFonts w:eastAsia="仿宋_GB2312"/>
          <w:sz w:val="32"/>
          <w:szCs w:val="32"/>
        </w:rPr>
        <w:t>年</w:t>
      </w:r>
      <w:r>
        <w:rPr>
          <w:rFonts w:hint="eastAsia" w:eastAsia="仿宋_GB2312"/>
          <w:sz w:val="32"/>
          <w:szCs w:val="32"/>
        </w:rPr>
        <w:t>减少</w:t>
      </w:r>
      <w:r>
        <w:rPr>
          <w:rFonts w:eastAsia="仿宋_GB2312"/>
          <w:sz w:val="32"/>
          <w:szCs w:val="32"/>
        </w:rPr>
        <w:t>，</w:t>
      </w:r>
      <w:r>
        <w:rPr>
          <w:rFonts w:hint="eastAsia" w:ascii="仿宋_GB2312" w:hAnsi="仿宋_GB2312" w:eastAsia="仿宋_GB2312" w:cs="仿宋_GB2312"/>
          <w:color w:val="000000"/>
          <w:sz w:val="32"/>
          <w:szCs w:val="32"/>
          <w:shd w:val="clear" w:color="auto" w:fill="FFFFFF"/>
        </w:rPr>
        <w:t>主要是例行节约，减少公务接待</w:t>
      </w:r>
      <w:r>
        <w:rPr>
          <w:rFonts w:hint="eastAsia" w:ascii="仿宋_GB2312" w:eastAsia="仿宋_GB2312"/>
          <w:sz w:val="32"/>
          <w:szCs w:val="32"/>
        </w:rPr>
        <w:t>。</w:t>
      </w:r>
    </w:p>
    <w:p>
      <w:pPr>
        <w:pStyle w:val="10"/>
        <w:numPr>
          <w:ilvl w:val="0"/>
          <w:numId w:val="2"/>
        </w:numPr>
        <w:spacing w:line="33"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与上年比较，“三公经费”控制情况</w:t>
      </w:r>
    </w:p>
    <w:p>
      <w:pPr>
        <w:spacing w:line="600" w:lineRule="exact"/>
        <w:ind w:firstLine="660"/>
        <w:rPr>
          <w:rFonts w:ascii="仿宋_GB2312" w:hAnsi="仿宋_GB2312" w:eastAsia="仿宋_GB2312" w:cs="仿宋_GB2312"/>
          <w:color w:val="000000"/>
          <w:sz w:val="32"/>
          <w:szCs w:val="32"/>
          <w:shd w:val="clear" w:color="auto" w:fill="FFFFFF"/>
        </w:rPr>
      </w:pPr>
      <w:r>
        <w:rPr>
          <w:rFonts w:hint="eastAsia" w:eastAsia="仿宋_GB2312"/>
          <w:sz w:val="32"/>
          <w:szCs w:val="32"/>
        </w:rPr>
        <w:t>2024</w:t>
      </w:r>
      <w:r>
        <w:rPr>
          <w:rFonts w:eastAsia="仿宋_GB2312"/>
          <w:sz w:val="32"/>
          <w:szCs w:val="32"/>
        </w:rPr>
        <w:t>年“三公”经费预算较202</w:t>
      </w:r>
      <w:r>
        <w:rPr>
          <w:rFonts w:hint="eastAsia" w:eastAsia="仿宋_GB2312"/>
          <w:sz w:val="32"/>
          <w:szCs w:val="32"/>
        </w:rPr>
        <w:t>3</w:t>
      </w:r>
      <w:r>
        <w:rPr>
          <w:rFonts w:eastAsia="仿宋_GB2312"/>
          <w:sz w:val="32"/>
          <w:szCs w:val="32"/>
        </w:rPr>
        <w:t>年</w:t>
      </w:r>
      <w:r>
        <w:rPr>
          <w:rFonts w:hint="eastAsia" w:eastAsia="仿宋_GB2312"/>
          <w:sz w:val="32"/>
          <w:szCs w:val="32"/>
        </w:rPr>
        <w:t>无变化</w:t>
      </w:r>
      <w:r>
        <w:rPr>
          <w:rFonts w:eastAsia="仿宋_GB2312"/>
          <w:sz w:val="32"/>
          <w:szCs w:val="32"/>
        </w:rPr>
        <w:t>，</w:t>
      </w:r>
      <w:r>
        <w:rPr>
          <w:rFonts w:hint="eastAsia" w:ascii="仿宋_GB2312" w:hAnsi="仿宋_GB2312" w:eastAsia="仿宋_GB2312" w:cs="仿宋_GB2312"/>
          <w:color w:val="000000"/>
          <w:sz w:val="32"/>
          <w:szCs w:val="32"/>
          <w:shd w:val="clear" w:color="auto" w:fill="FFFFFF"/>
        </w:rPr>
        <w:t>主要是根据上级有关规定严格控制“三公”经费支出，大力压减一般性行政运行支出。</w:t>
      </w:r>
    </w:p>
    <w:p>
      <w:pPr>
        <w:pStyle w:val="10"/>
        <w:spacing w:line="33"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b/>
          <w:bCs/>
          <w:sz w:val="30"/>
          <w:szCs w:val="30"/>
        </w:rPr>
        <w:t>（三）专项资金管理和使用情况</w:t>
      </w:r>
    </w:p>
    <w:p>
      <w:pPr>
        <w:pStyle w:val="10"/>
        <w:spacing w:line="33"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1、专项资金预算投入情况</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我单位2024年度专项资金预算投入0万元，其中一般公共预算收入</w:t>
      </w:r>
      <w:r>
        <w:rPr>
          <w:rFonts w:hint="eastAsia" w:ascii="Times New Roman" w:hAnsi="Times New Roman" w:eastAsia="仿宋_GB2312" w:cs="Times New Roman"/>
          <w:sz w:val="32"/>
          <w:szCs w:val="32"/>
        </w:rPr>
        <w:t>0</w:t>
      </w:r>
      <w:r>
        <w:rPr>
          <w:rFonts w:hint="eastAsia" w:ascii="仿宋_GB2312" w:hAnsi="仿宋_GB2312" w:eastAsia="仿宋_GB2312" w:cs="仿宋_GB2312"/>
          <w:sz w:val="30"/>
          <w:szCs w:val="30"/>
        </w:rPr>
        <w:t>万元，预算外收入</w:t>
      </w:r>
      <w:r>
        <w:rPr>
          <w:rFonts w:hint="eastAsia" w:ascii="Times New Roman" w:hAnsi="Times New Roman" w:eastAsia="仿宋_GB2312" w:cs="Times New Roman"/>
          <w:sz w:val="32"/>
          <w:szCs w:val="32"/>
        </w:rPr>
        <w:t>0</w:t>
      </w:r>
      <w:r>
        <w:rPr>
          <w:rFonts w:hint="eastAsia" w:ascii="仿宋_GB2312" w:hAnsi="仿宋_GB2312" w:eastAsia="仿宋_GB2312" w:cs="仿宋_GB2312"/>
          <w:sz w:val="30"/>
          <w:szCs w:val="30"/>
        </w:rPr>
        <w:t>万元。</w:t>
      </w:r>
    </w:p>
    <w:p>
      <w:pPr>
        <w:pStyle w:val="10"/>
        <w:numPr>
          <w:ilvl w:val="0"/>
          <w:numId w:val="3"/>
        </w:numPr>
        <w:spacing w:line="33"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专项资金实际投入使用情况</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我单位202</w:t>
      </w:r>
      <w:r>
        <w:rPr>
          <w:rFonts w:hint="eastAsia" w:ascii="仿宋_GB2312" w:hAnsi="仿宋_GB2312" w:eastAsia="仿宋_GB2312" w:cs="仿宋_GB2312"/>
          <w:bCs/>
          <w:sz w:val="30"/>
          <w:szCs w:val="30"/>
          <w:lang w:val="en-US" w:eastAsia="zh-CN"/>
        </w:rPr>
        <w:t>4</w:t>
      </w:r>
      <w:r>
        <w:rPr>
          <w:rFonts w:hint="eastAsia" w:ascii="仿宋_GB2312" w:hAnsi="仿宋_GB2312" w:eastAsia="仿宋_GB2312" w:cs="仿宋_GB2312"/>
          <w:bCs/>
          <w:sz w:val="30"/>
          <w:szCs w:val="30"/>
        </w:rPr>
        <w:t>年度专项资金预算投入</w:t>
      </w:r>
      <w:r>
        <w:rPr>
          <w:rFonts w:hint="eastAsia" w:ascii="仿宋_GB2312" w:hAnsi="仿宋_GB2312" w:eastAsia="仿宋_GB2312" w:cs="仿宋_GB2312"/>
          <w:sz w:val="30"/>
          <w:szCs w:val="30"/>
        </w:rPr>
        <w:t>0万元，其中一般公共预算收入</w:t>
      </w:r>
      <w:r>
        <w:rPr>
          <w:rFonts w:hint="eastAsia" w:ascii="Times New Roman" w:hAnsi="Times New Roman" w:eastAsia="仿宋_GB2312" w:cs="Times New Roman"/>
          <w:sz w:val="32"/>
          <w:szCs w:val="32"/>
        </w:rPr>
        <w:t>0</w:t>
      </w:r>
      <w:r>
        <w:rPr>
          <w:rFonts w:hint="eastAsia" w:ascii="仿宋_GB2312" w:hAnsi="仿宋_GB2312" w:eastAsia="仿宋_GB2312" w:cs="仿宋_GB2312"/>
          <w:sz w:val="30"/>
          <w:szCs w:val="30"/>
        </w:rPr>
        <w:t>万元，预算外收入</w:t>
      </w:r>
      <w:r>
        <w:rPr>
          <w:rFonts w:hint="eastAsia" w:ascii="Times New Roman" w:hAnsi="Times New Roman" w:eastAsia="仿宋_GB2312" w:cs="Times New Roman"/>
          <w:sz w:val="32"/>
          <w:szCs w:val="32"/>
        </w:rPr>
        <w:t>0</w:t>
      </w:r>
      <w:r>
        <w:rPr>
          <w:rFonts w:hint="eastAsia" w:ascii="仿宋_GB2312" w:hAnsi="仿宋_GB2312" w:eastAsia="仿宋_GB2312" w:cs="仿宋_GB2312"/>
          <w:sz w:val="30"/>
          <w:szCs w:val="30"/>
        </w:rPr>
        <w:t>万元。。</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3、专项资金管理情况。主要包括管理制度、办法的制订及执行情况</w:t>
      </w: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我单位制定了专项资金管理办法，财务制度健全，严格执行财务制度，无截留、挤占、挪用专项资金等违规行为。</w:t>
      </w:r>
    </w:p>
    <w:p>
      <w:pPr>
        <w:spacing w:line="500" w:lineRule="exact"/>
        <w:ind w:firstLine="600"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（四）项目支出管理和使用情况</w:t>
      </w:r>
    </w:p>
    <w:p>
      <w:pPr>
        <w:spacing w:line="52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1、项目资金预算投入情况</w:t>
      </w:r>
    </w:p>
    <w:p>
      <w:pPr>
        <w:spacing w:line="52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我单位202</w:t>
      </w:r>
      <w:r>
        <w:rPr>
          <w:rFonts w:hint="eastAsia" w:ascii="仿宋_GB2312" w:hAnsi="仿宋_GB2312" w:eastAsia="仿宋_GB2312" w:cs="仿宋_GB2312"/>
          <w:bCs/>
          <w:sz w:val="30"/>
          <w:szCs w:val="30"/>
          <w:lang w:val="en-US" w:eastAsia="zh-CN"/>
        </w:rPr>
        <w:t>4</w:t>
      </w:r>
      <w:r>
        <w:rPr>
          <w:rFonts w:hint="eastAsia" w:ascii="仿宋_GB2312" w:hAnsi="仿宋_GB2312" w:eastAsia="仿宋_GB2312" w:cs="仿宋_GB2312"/>
          <w:bCs/>
          <w:sz w:val="30"/>
          <w:szCs w:val="30"/>
        </w:rPr>
        <w:t>年度项目资金预算投入0万元，其中</w:t>
      </w:r>
      <w:r>
        <w:rPr>
          <w:rFonts w:ascii="仿宋_GB2312" w:hAnsi="仿宋_GB2312" w:eastAsia="仿宋_GB2312" w:cs="仿宋_GB2312"/>
          <w:bCs/>
          <w:sz w:val="30"/>
          <w:szCs w:val="30"/>
        </w:rPr>
        <w:t>基础设施建设</w:t>
      </w:r>
      <w:r>
        <w:rPr>
          <w:rFonts w:hint="eastAsia" w:ascii="仿宋_GB2312" w:hAnsi="仿宋_GB2312" w:eastAsia="仿宋_GB2312" w:cs="仿宋_GB2312"/>
          <w:bCs/>
          <w:sz w:val="30"/>
          <w:szCs w:val="30"/>
        </w:rPr>
        <w:t>投入0万元，购置消防设备0万元，土地补偿0万元，公务用车</w:t>
      </w:r>
      <w:r>
        <w:rPr>
          <w:rFonts w:ascii="仿宋_GB2312" w:hAnsi="仿宋_GB2312" w:eastAsia="仿宋_GB2312" w:cs="仿宋_GB2312"/>
          <w:bCs/>
          <w:sz w:val="30"/>
          <w:szCs w:val="30"/>
        </w:rPr>
        <w:t>购置</w:t>
      </w:r>
      <w:r>
        <w:rPr>
          <w:rFonts w:hint="eastAsia" w:ascii="仿宋_GB2312" w:hAnsi="仿宋_GB2312" w:eastAsia="仿宋_GB2312" w:cs="仿宋_GB2312"/>
          <w:bCs/>
          <w:sz w:val="30"/>
          <w:szCs w:val="30"/>
        </w:rPr>
        <w:t>0万元。</w:t>
      </w:r>
    </w:p>
    <w:p>
      <w:pPr>
        <w:numPr>
          <w:ilvl w:val="0"/>
          <w:numId w:val="4"/>
        </w:num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项目资金实际投入使用情况</w:t>
      </w:r>
    </w:p>
    <w:p>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我单位202</w:t>
      </w:r>
      <w:r>
        <w:rPr>
          <w:rFonts w:hint="eastAsia" w:ascii="仿宋_GB2312" w:hAnsi="仿宋_GB2312" w:eastAsia="仿宋_GB2312" w:cs="仿宋_GB2312"/>
          <w:bCs/>
          <w:sz w:val="30"/>
          <w:szCs w:val="30"/>
          <w:lang w:val="en-US" w:eastAsia="zh-CN"/>
        </w:rPr>
        <w:t>4</w:t>
      </w:r>
      <w:r>
        <w:rPr>
          <w:rFonts w:hint="eastAsia" w:ascii="仿宋_GB2312" w:hAnsi="仿宋_GB2312" w:eastAsia="仿宋_GB2312" w:cs="仿宋_GB2312"/>
          <w:bCs/>
          <w:sz w:val="30"/>
          <w:szCs w:val="30"/>
        </w:rPr>
        <w:t>年度项目资金实际投入使用0万元，其中</w:t>
      </w:r>
      <w:r>
        <w:rPr>
          <w:rFonts w:ascii="仿宋_GB2312" w:hAnsi="仿宋_GB2312" w:eastAsia="仿宋_GB2312" w:cs="仿宋_GB2312"/>
          <w:bCs/>
          <w:sz w:val="30"/>
          <w:szCs w:val="30"/>
        </w:rPr>
        <w:t>污水处理设施及配套管网建设工程</w:t>
      </w:r>
      <w:r>
        <w:rPr>
          <w:rFonts w:hint="eastAsia" w:ascii="仿宋_GB2312" w:hAnsi="仿宋_GB2312" w:eastAsia="仿宋_GB2312" w:cs="仿宋_GB2312"/>
          <w:bCs/>
          <w:sz w:val="30"/>
          <w:szCs w:val="30"/>
        </w:rPr>
        <w:t>投入0万元，购置消防洒水车0万元，土地补偿0万元，</w:t>
      </w:r>
      <w:r>
        <w:rPr>
          <w:rFonts w:ascii="仿宋_GB2312" w:hAnsi="仿宋_GB2312" w:eastAsia="仿宋_GB2312" w:cs="仿宋_GB2312"/>
          <w:bCs/>
          <w:sz w:val="30"/>
          <w:szCs w:val="30"/>
        </w:rPr>
        <w:t> </w:t>
      </w:r>
      <w:r>
        <w:rPr>
          <w:rFonts w:hint="eastAsia" w:ascii="仿宋_GB2312" w:hAnsi="仿宋_GB2312" w:eastAsia="仿宋_GB2312" w:cs="仿宋_GB2312"/>
          <w:bCs/>
          <w:sz w:val="30"/>
          <w:szCs w:val="30"/>
        </w:rPr>
        <w:t>购置公务用车</w:t>
      </w:r>
      <w:r>
        <w:rPr>
          <w:rFonts w:ascii="仿宋_GB2312" w:hAnsi="仿宋_GB2312" w:eastAsia="仿宋_GB2312" w:cs="仿宋_GB2312"/>
          <w:bCs/>
          <w:sz w:val="30"/>
          <w:szCs w:val="30"/>
        </w:rPr>
        <w:t>购置</w:t>
      </w:r>
      <w:r>
        <w:rPr>
          <w:rFonts w:hint="eastAsia" w:ascii="仿宋_GB2312" w:hAnsi="仿宋_GB2312" w:eastAsia="仿宋_GB2312" w:cs="仿宋_GB2312"/>
          <w:bCs/>
          <w:sz w:val="30"/>
          <w:szCs w:val="30"/>
        </w:rPr>
        <w:t>0万元。</w:t>
      </w:r>
    </w:p>
    <w:p>
      <w:pPr>
        <w:numPr>
          <w:ilvl w:val="0"/>
          <w:numId w:val="4"/>
        </w:num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项目资金管理情况。</w:t>
      </w:r>
      <w:r>
        <w:rPr>
          <w:rFonts w:hint="eastAsia" w:ascii="仿宋_GB2312" w:hAnsi="仿宋_GB2312" w:eastAsia="仿宋_GB2312" w:cs="仿宋_GB2312"/>
          <w:sz w:val="30"/>
          <w:szCs w:val="30"/>
        </w:rPr>
        <w:t>主要包括管理制度、办法的制订及执行情况。</w:t>
      </w:r>
    </w:p>
    <w:p>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为加强项目资金的使用管理，我乡专门制定了《项目资金管理办法》，所有项目资金的使用都严格按照《项目资金管理办法》和财务制度，专款专用，在项目实施过程中厉行节约，使项目资金能够最大限度的发挥其作用。为了保证项目质量和项目的顺利实施，在每个项目实施前，我</w:t>
      </w:r>
      <w:r>
        <w:rPr>
          <w:rFonts w:hint="eastAsia" w:ascii="仿宋_GB2312" w:hAnsi="仿宋_GB2312" w:eastAsia="仿宋_GB2312" w:cs="仿宋_GB2312"/>
          <w:bCs/>
          <w:sz w:val="30"/>
          <w:szCs w:val="30"/>
          <w:lang w:val="en-US" w:eastAsia="zh-CN"/>
        </w:rPr>
        <w:t>园</w:t>
      </w:r>
      <w:r>
        <w:rPr>
          <w:rFonts w:hint="eastAsia" w:ascii="仿宋_GB2312" w:hAnsi="仿宋_GB2312" w:eastAsia="仿宋_GB2312" w:cs="仿宋_GB2312"/>
          <w:bCs/>
          <w:sz w:val="30"/>
          <w:szCs w:val="30"/>
        </w:rPr>
        <w:t>对每个申报项目进行反复核查，确保申报项目与有关规定相符，同时指定专人负责监督项目的实施过程，做到发现问题及时整改。</w:t>
      </w:r>
    </w:p>
    <w:p>
      <w:pPr>
        <w:pStyle w:val="10"/>
        <w:spacing w:line="33" w:lineRule="atLeas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四、存在的主要问题</w:t>
      </w:r>
    </w:p>
    <w:p>
      <w:pPr>
        <w:pStyle w:val="10"/>
        <w:spacing w:line="33"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2024年，我单位财务运行情况总体较好，但在预算编制方面仍存在一些问题，主要表现在预算编制前瞻性不够，政府采购预算依然没有摆脱求多求全的心态，编制精细度不高。</w:t>
      </w:r>
    </w:p>
    <w:p>
      <w:pPr>
        <w:ind w:firstLine="640" w:firstLineChars="200"/>
        <w:rPr>
          <w:rFonts w:ascii="仿宋" w:hAnsi="仿宋" w:eastAsia="仿宋" w:cs="仿宋"/>
          <w:b/>
          <w:sz w:val="32"/>
          <w:szCs w:val="32"/>
        </w:rPr>
      </w:pPr>
      <w:r>
        <w:rPr>
          <w:rFonts w:hint="eastAsia" w:ascii="仿宋" w:hAnsi="仿宋" w:eastAsia="仿宋" w:cs="仿宋"/>
          <w:b/>
          <w:sz w:val="32"/>
          <w:szCs w:val="32"/>
        </w:rPr>
        <w:t>五、后续的工作计划</w:t>
      </w:r>
    </w:p>
    <w:p>
      <w:pPr>
        <w:pStyle w:val="10"/>
        <w:spacing w:line="33"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在今后的工作中，我们将不断完善工作方式方法，进一步提高年初部门预算的合理性，并严格按照中央、省、市、县相关文件做好预算管理工作，进一步提高预算编制的科学性、合理性、严谨性和可控性。</w:t>
      </w:r>
    </w:p>
    <w:p>
      <w:pPr>
        <w:pStyle w:val="10"/>
        <w:spacing w:line="33"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1、进一步细化预算编制。注重加强收支预测，提高预算质量，科学合理编制部门预算，推进预算编制科学性、准确性，处理好财力可能与支出需求的关系，聚力优结构，严控非刚性、非重点项目等一般性支出。</w:t>
      </w:r>
    </w:p>
    <w:p>
      <w:pPr>
        <w:pStyle w:val="10"/>
        <w:spacing w:line="33" w:lineRule="atLeast"/>
        <w:ind w:firstLine="640" w:firstLineChars="200"/>
        <w:jc w:val="both"/>
      </w:pPr>
      <w:r>
        <w:rPr>
          <w:rFonts w:hint="eastAsia" w:ascii="仿宋_GB2312" w:hAnsi="仿宋_GB2312" w:eastAsia="仿宋_GB2312" w:cs="仿宋_GB2312"/>
          <w:sz w:val="32"/>
          <w:szCs w:val="32"/>
        </w:rPr>
        <w:t>2、进一步优化绩效管理。优化预算绩效指标的设置，设置总体绩效目标时，要突出单位重点任务，同时要根据工作计划，结合项目具体内容分项设置数量指标、质量指标、成本指标等，确保数据可测，分值合理、结果客观，持续推进预算绩效管理与内部管理制度相融合，进一步提升管理效能。</w:t>
      </w:r>
    </w:p>
    <w:p>
      <w:pPr>
        <w:pStyle w:val="15"/>
        <w:spacing w:line="600" w:lineRule="exact"/>
        <w:ind w:firstLine="640" w:firstLineChars="200"/>
        <w:rPr>
          <w:rFonts w:ascii="Times New Roman" w:hAnsi="Times New Roman" w:eastAsia="仿宋_GB2312" w:cs="Times New Roman"/>
          <w:sz w:val="32"/>
          <w:szCs w:val="3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E5FF07-B470-4A0D-96C1-5F6D72EA7C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DFD1B670-3065-44B6-8FBC-DA638C732255}"/>
  </w:font>
  <w:font w:name="方正小标宋_GBK">
    <w:panose1 w:val="02000000000000000000"/>
    <w:charset w:val="86"/>
    <w:family w:val="script"/>
    <w:pitch w:val="default"/>
    <w:sig w:usb0="A00002BF" w:usb1="38CF7CFA" w:usb2="00082016" w:usb3="00000000" w:csb0="00040001" w:csb1="00000000"/>
    <w:embedRegular r:id="rId3" w:fontKey="{50841AB1-7DA9-4D59-A53A-61C47B278321}"/>
  </w:font>
  <w:font w:name="楷体_GB2312">
    <w:panose1 w:val="02010609030101010101"/>
    <w:charset w:val="86"/>
    <w:family w:val="modern"/>
    <w:pitch w:val="default"/>
    <w:sig w:usb0="00000001" w:usb1="080E0000" w:usb2="00000000" w:usb3="00000000" w:csb0="00040000" w:csb1="00000000"/>
    <w:embedRegular r:id="rId4" w:fontKey="{C5693DC6-42CD-46FA-A53F-F01EB9AEACA2}"/>
  </w:font>
  <w:font w:name="华文中宋">
    <w:altName w:val="宋体"/>
    <w:panose1 w:val="02010600040101010101"/>
    <w:charset w:val="86"/>
    <w:family w:val="auto"/>
    <w:pitch w:val="default"/>
    <w:sig w:usb0="00000000" w:usb1="00000000" w:usb2="00000010" w:usb3="00000000" w:csb0="0004009F" w:csb1="00000000"/>
    <w:embedRegular r:id="rId5" w:fontKey="{91C2AC9C-8477-4356-A213-B8647CA11CB1}"/>
  </w:font>
  <w:font w:name="楷体">
    <w:panose1 w:val="02010609060101010101"/>
    <w:charset w:val="86"/>
    <w:family w:val="auto"/>
    <w:pitch w:val="default"/>
    <w:sig w:usb0="800002BF" w:usb1="38CF7CFA" w:usb2="00000016" w:usb3="00000000" w:csb0="00040001" w:csb1="00000000"/>
    <w:embedRegular r:id="rId6" w:fontKey="{030A046D-DF75-49FC-B520-78048FF18315}"/>
  </w:font>
  <w:font w:name="仿宋">
    <w:panose1 w:val="02010609060101010101"/>
    <w:charset w:val="86"/>
    <w:family w:val="auto"/>
    <w:pitch w:val="default"/>
    <w:sig w:usb0="800002BF" w:usb1="38CF7CFA" w:usb2="00000016" w:usb3="00000000" w:csb0="00040001" w:csb1="00000000"/>
    <w:embedRegular r:id="rId7" w:fontKey="{6A7BEF69-B2E5-41DA-8A04-F6A70C2F93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DC4DE"/>
    <w:multiLevelType w:val="singleLevel"/>
    <w:tmpl w:val="A5FDC4DE"/>
    <w:lvl w:ilvl="0" w:tentative="0">
      <w:start w:val="2"/>
      <w:numFmt w:val="decimal"/>
      <w:suff w:val="nothing"/>
      <w:lvlText w:val="%1、"/>
      <w:lvlJc w:val="left"/>
    </w:lvl>
  </w:abstractNum>
  <w:abstractNum w:abstractNumId="1">
    <w:nsid w:val="143F413F"/>
    <w:multiLevelType w:val="singleLevel"/>
    <w:tmpl w:val="143F413F"/>
    <w:lvl w:ilvl="0" w:tentative="0">
      <w:start w:val="2"/>
      <w:numFmt w:val="decimal"/>
      <w:suff w:val="nothing"/>
      <w:lvlText w:val="%1、"/>
      <w:lvlJc w:val="left"/>
    </w:lvl>
  </w:abstractNum>
  <w:abstractNum w:abstractNumId="2">
    <w:nsid w:val="3FDAE1DD"/>
    <w:multiLevelType w:val="singleLevel"/>
    <w:tmpl w:val="3FDAE1DD"/>
    <w:lvl w:ilvl="0" w:tentative="0">
      <w:start w:val="2"/>
      <w:numFmt w:val="decimal"/>
      <w:suff w:val="nothing"/>
      <w:lvlText w:val="%1、"/>
      <w:lvlJc w:val="left"/>
    </w:lvl>
  </w:abstractNum>
  <w:abstractNum w:abstractNumId="3">
    <w:nsid w:val="6EDDEA1F"/>
    <w:multiLevelType w:val="singleLevel"/>
    <w:tmpl w:val="6EDDEA1F"/>
    <w:lvl w:ilvl="0" w:tentative="0">
      <w:start w:val="3"/>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A152C85"/>
    <w:rsid w:val="1D97DEFF"/>
    <w:rsid w:val="1DFF72E5"/>
    <w:rsid w:val="1EFC6F07"/>
    <w:rsid w:val="2BA50A88"/>
    <w:rsid w:val="2FDF85B8"/>
    <w:rsid w:val="2FFFEE04"/>
    <w:rsid w:val="34DF85B0"/>
    <w:rsid w:val="38F03EA6"/>
    <w:rsid w:val="3B8F36BC"/>
    <w:rsid w:val="45E52715"/>
    <w:rsid w:val="491FF225"/>
    <w:rsid w:val="4FFD214C"/>
    <w:rsid w:val="5777D4F5"/>
    <w:rsid w:val="59DD8326"/>
    <w:rsid w:val="5DEF592A"/>
    <w:rsid w:val="5FC6BB1E"/>
    <w:rsid w:val="5FF720F1"/>
    <w:rsid w:val="67FF5C0B"/>
    <w:rsid w:val="6CD207A2"/>
    <w:rsid w:val="6EFC0924"/>
    <w:rsid w:val="6FB74722"/>
    <w:rsid w:val="6FEF8B7E"/>
    <w:rsid w:val="71A6591B"/>
    <w:rsid w:val="737D59BA"/>
    <w:rsid w:val="77C37683"/>
    <w:rsid w:val="79D19834"/>
    <w:rsid w:val="79FF515B"/>
    <w:rsid w:val="7AAE3F5B"/>
    <w:rsid w:val="7E78432D"/>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6">
    <w:name w:val="Body Text"/>
    <w:basedOn w:val="1"/>
    <w:next w:val="5"/>
    <w:qFormat/>
    <w:uiPriority w:val="0"/>
    <w:pPr>
      <w:spacing w:after="120"/>
    </w:p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0" w:afterAutospacing="1"/>
    </w:pPr>
    <w:rPr>
      <w:sz w:val="24"/>
    </w:rPr>
  </w:style>
  <w:style w:type="character" w:customStyle="1" w:styleId="13">
    <w:name w:val="页眉 Char"/>
    <w:basedOn w:val="11"/>
    <w:link w:val="9"/>
    <w:qFormat/>
    <w:uiPriority w:val="99"/>
    <w:rPr>
      <w:sz w:val="18"/>
      <w:szCs w:val="18"/>
    </w:rPr>
  </w:style>
  <w:style w:type="character" w:customStyle="1" w:styleId="14">
    <w:name w:val="页脚 Char"/>
    <w:basedOn w:val="11"/>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7"/>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0</TotalTime>
  <ScaleCrop>false</ScaleCrop>
  <LinksUpToDate>false</LinksUpToDate>
  <CharactersWithSpaces>9786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2025-09-18T02:51:27Z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5B142D4A921949288C07BE591A2B1F94</vt:lpwstr>
  </property>
</Properties>
</file>