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蓝山县新圩镇新圩学校</w:t>
      </w:r>
      <w:r>
        <w:rPr>
          <w:rFonts w:ascii="Times New Roman" w:hAnsi="Times New Roman" w:eastAsia="方正小标宋简体" w:cs="Times New Roman"/>
          <w:sz w:val="72"/>
          <w:szCs w:val="72"/>
        </w:rPr>
        <w:t>部门决算</w:t>
      </w:r>
    </w:p>
    <w:p>
      <w:pPr>
        <w:pStyle w:val="14"/>
        <w:jc w:val="center"/>
        <w:rPr>
          <w:rFonts w:ascii="Times New Roman" w:hAnsi="Times New Roman" w:eastAsia="方正小标宋_GBK" w:cs="Times New Roman"/>
          <w:sz w:val="56"/>
          <w:szCs w:val="56"/>
        </w:rPr>
      </w:pPr>
    </w:p>
    <w:p>
      <w:pPr>
        <w:pStyle w:val="14"/>
        <w:jc w:val="center"/>
        <w:rPr>
          <w:rFonts w:ascii="Times New Roman" w:hAnsi="Times New Roman" w:cs="Times New Roman"/>
          <w:sz w:val="56"/>
          <w:szCs w:val="56"/>
        </w:rPr>
      </w:pPr>
    </w:p>
    <w:p>
      <w:pPr>
        <w:pStyle w:val="14"/>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蓝山县新圩镇新圩学校</w:t>
      </w:r>
      <w:r>
        <w:rPr>
          <w:rFonts w:ascii="Times New Roman" w:hAnsi="Times New Roman" w:cs="Times New Roman"/>
          <w:bCs/>
          <w:sz w:val="32"/>
          <w:szCs w:val="32"/>
        </w:rPr>
        <w:t>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蓝山县新圩镇新圩学校</w:t>
      </w:r>
      <w:r>
        <w:rPr>
          <w:rFonts w:ascii="Times New Roman" w:hAnsi="Times New Roman" w:eastAsia="方正小标宋_GBK" w:cs="Times New Roman"/>
          <w:sz w:val="52"/>
          <w:szCs w:val="52"/>
        </w:rPr>
        <w:t>概况</w:t>
      </w:r>
    </w:p>
    <w:p>
      <w:pPr>
        <w:pStyle w:val="4"/>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pStyle w:val="14"/>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（一）主要职能：实施中小学义务教育，促进基础义务教育的发展，搞好教育教学工作。</w:t>
      </w:r>
    </w:p>
    <w:p>
      <w:pPr>
        <w:widowControl/>
        <w:spacing w:line="600" w:lineRule="exact"/>
        <w:ind w:firstLine="640" w:firstLineChars="200"/>
        <w:rPr>
          <w:rFonts w:hint="eastAsia" w:ascii="楷体_GB2312" w:hAnsi="宋体" w:eastAsia="楷体_GB2312"/>
          <w:b/>
          <w:bCs/>
          <w:kern w:val="0"/>
          <w:sz w:val="32"/>
          <w:szCs w:val="32"/>
        </w:rPr>
      </w:pPr>
      <w:r>
        <w:rPr>
          <w:rFonts w:hint="eastAsia" w:ascii="仿宋_GB2312" w:hAnsi="仿宋_GB2312" w:eastAsia="仿宋_GB2312" w:cs="仿宋_GB2312"/>
          <w:color w:val="000000"/>
          <w:kern w:val="0"/>
          <w:sz w:val="32"/>
          <w:szCs w:val="32"/>
          <w:lang w:val="en-US" w:eastAsia="zh-CN" w:bidi="ar-SA"/>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960" w:firstLineChars="3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960" w:firstLineChars="3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学校是一个财政全额拨款的事业单位。单位现有校长一名，副校长两名，现有下设机构五个：工会委员会一个，设有工会主席一名，工会委员两名；教务处一个，设有教务主任一名，教务副主任一名；政教处一个，设有政教主任一名；学校团支部一个，设有团支部书记一名；财务室一个，设有会计一名，出纳一名。</w:t>
      </w:r>
    </w:p>
    <w:p>
      <w:pPr>
        <w:widowControl/>
        <w:spacing w:line="600" w:lineRule="exact"/>
        <w:ind w:firstLine="960" w:firstLineChars="3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2</w:t>
      </w:r>
      <w:r>
        <w:rPr>
          <w:rFonts w:hint="default" w:ascii="Times New Roman" w:hAnsi="Times New Roman" w:eastAsia="仿宋_GB2312" w:cs="Times New Roman"/>
          <w:sz w:val="32"/>
          <w:szCs w:val="32"/>
          <w:lang w:val="en-US" w:eastAsia="zh-CN"/>
        </w:rPr>
        <w:t>、人员情况：我校现有在职教职工8</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人，退休人员3</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人；临聘人员</w:t>
      </w:r>
      <w:r>
        <w:rPr>
          <w:rFonts w:hint="eastAsia" w:ascii="Times New Roman" w:hAnsi="Times New Roman" w:eastAsia="仿宋_GB2312" w:cs="Times New Roman"/>
          <w:sz w:val="32"/>
          <w:szCs w:val="32"/>
          <w:lang w:val="en-US" w:eastAsia="zh-CN"/>
        </w:rPr>
        <w:t>10人</w:t>
      </w:r>
      <w:r>
        <w:rPr>
          <w:rFonts w:hint="default" w:ascii="Times New Roman" w:hAnsi="Times New Roman" w:eastAsia="仿宋_GB2312" w:cs="Times New Roman"/>
          <w:sz w:val="32"/>
          <w:szCs w:val="32"/>
          <w:lang w:val="en-US" w:eastAsia="zh-CN"/>
        </w:rPr>
        <w:t>。</w:t>
      </w:r>
    </w:p>
    <w:p>
      <w:pPr>
        <w:widowControl/>
        <w:spacing w:line="600" w:lineRule="exact"/>
        <w:ind w:firstLine="960" w:firstLineChars="3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蓝山县新圩镇新圩学校2023年部门决算汇总公开单位构成包括：蓝山县新圩镇新圩学校本级。</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22"/>
        <w:gridCol w:w="844"/>
        <w:gridCol w:w="1317"/>
        <w:gridCol w:w="4818"/>
        <w:gridCol w:w="844"/>
        <w:gridCol w:w="1351"/>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eastAsia="仿宋_GB2312"/>
                <w:kern w:val="0"/>
                <w:szCs w:val="21"/>
                <w:lang w:val="en-US" w:eastAsia="zh-CN"/>
              </w:rPr>
              <w:t>1,357.56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rPr>
              <w:t>1,199.53</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105.77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52.26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eastAsia="仿宋_GB2312"/>
                <w:kern w:val="0"/>
                <w:szCs w:val="21"/>
                <w:lang w:val="en-US" w:eastAsia="zh-CN"/>
              </w:rPr>
              <w:t>1,357.56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1,357.56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eastAsia="仿宋_GB2312"/>
                <w:kern w:val="0"/>
                <w:szCs w:val="21"/>
                <w:lang w:val="en-US" w:eastAsia="zh-CN"/>
              </w:rPr>
              <w:t>1,357.56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1,357.56</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1,357.56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1357.56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288.17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288.17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911.36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911.36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105.77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105.77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8" w:type="pct"/>
        <w:jc w:val="center"/>
        <w:tblLayout w:type="autofit"/>
        <w:tblCellMar>
          <w:top w:w="0" w:type="dxa"/>
          <w:left w:w="108" w:type="dxa"/>
          <w:bottom w:w="0" w:type="dxa"/>
          <w:right w:w="108" w:type="dxa"/>
        </w:tblCellMar>
      </w:tblPr>
      <w:tblGrid>
        <w:gridCol w:w="2426"/>
        <w:gridCol w:w="1337"/>
        <w:gridCol w:w="1877"/>
        <w:gridCol w:w="1334"/>
        <w:gridCol w:w="1333"/>
        <w:gridCol w:w="1876"/>
        <w:gridCol w:w="1334"/>
        <w:gridCol w:w="2697"/>
      </w:tblGrid>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1,357.56</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1,193.16</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164.41</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288.17</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277.87</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10.30</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911.36</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757.26</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154.11</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105.77</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105.77</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3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52.26</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52.26</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86"/>
        <w:gridCol w:w="2636"/>
        <w:gridCol w:w="616"/>
        <w:gridCol w:w="931"/>
        <w:gridCol w:w="1724"/>
        <w:gridCol w:w="1543"/>
        <w:gridCol w:w="1652"/>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1,357.56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1199.53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1,199.53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105.77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105.77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1,357.56</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52.26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52.26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本年支出合计</w:t>
            </w:r>
          </w:p>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1357.56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1357.56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1,357.56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1357.56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1357.56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1,357.56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1,193.16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164.41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288.17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277.87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911.36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757.26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154.11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105.77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105.77</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52.26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52.26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tbl>
      <w:tblPr>
        <w:tblStyle w:val="9"/>
        <w:tblpPr w:leftFromText="180" w:rightFromText="180" w:vertAnchor="text" w:horzAnchor="page" w:tblpX="1194" w:tblpY="36"/>
        <w:tblOverlap w:val="never"/>
        <w:tblW w:w="14627" w:type="dxa"/>
        <w:tblInd w:w="0" w:type="dxa"/>
        <w:tblLayout w:type="fixed"/>
        <w:tblCellMar>
          <w:top w:w="0" w:type="dxa"/>
          <w:left w:w="108" w:type="dxa"/>
          <w:bottom w:w="0" w:type="dxa"/>
          <w:right w:w="108" w:type="dxa"/>
        </w:tblCellMar>
      </w:tblPr>
      <w:tblGrid>
        <w:gridCol w:w="1081"/>
        <w:gridCol w:w="2850"/>
        <w:gridCol w:w="1314"/>
        <w:gridCol w:w="768"/>
        <w:gridCol w:w="2018"/>
        <w:gridCol w:w="933"/>
        <w:gridCol w:w="1217"/>
        <w:gridCol w:w="3517"/>
        <w:gridCol w:w="929"/>
      </w:tblGrid>
      <w:tr>
        <w:trPr>
          <w:trHeight w:val="530" w:hRule="atLeast"/>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31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7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1143.04</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41.20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343.95</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16.28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lang w:val="en-US" w:eastAsia="zh-CN"/>
              </w:rPr>
            </w:pPr>
            <w:r>
              <w:rPr>
                <w:rFonts w:hint="eastAsia"/>
                <w:lang w:val="en-US" w:eastAsia="zh-CN"/>
              </w:rPr>
              <w:t>0.00</w:t>
            </w:r>
          </w:p>
          <w:p>
            <w:pPr>
              <w:pStyle w:val="8"/>
              <w:jc w:val="center"/>
              <w:rPr>
                <w:rFonts w:hint="default"/>
                <w:lang w:val="en-US" w:eastAsia="zh-CN"/>
              </w:rPr>
            </w:pPr>
            <w:r>
              <w:rPr>
                <w:rFonts w:hint="eastAsia" w:ascii="Times New Roman" w:hAnsi="Times New Roman" w:eastAsia="仿宋_GB2312" w:cs="Times New Roman"/>
                <w:color w:val="000000"/>
                <w:kern w:val="0"/>
                <w:szCs w:val="20"/>
                <w:lang w:val="en-US" w:eastAsia="zh-CN"/>
              </w:rPr>
              <w:t>.00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69.06</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0.91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285.28</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0.65</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0.98</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221.40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0.53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0.35</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101.33</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2.44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1.99</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53.40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8.40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42.62</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1.87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14.63</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8.27</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0.44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5.52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7.71</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eastAsia="宋体" w:asciiTheme="minorHAnsi" w:hAnsiTheme="minorHAnsi" w:cstheme="minorBidi"/>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eastAsia="宋体" w:asciiTheme="minorHAnsi" w:hAnsiTheme="minorHAnsi" w:cstheme="minorBidi"/>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eastAsia="宋体" w:asciiTheme="minorHAnsi" w:hAnsiTheme="minorHAnsi" w:cstheme="minorBidi"/>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0.39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0.56</w:t>
            </w: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eastAsia="宋体" w:asciiTheme="minorHAnsi" w:hAnsiTheme="minorHAnsi" w:cstheme="minorBidi"/>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color w:val="000000"/>
                <w:kern w:val="0"/>
                <w:szCs w:val="20"/>
              </w:rPr>
            </w:pPr>
            <w:r>
              <w:rPr>
                <w:rFonts w:hint="eastAsia" w:ascii="仿宋_GB2312" w:hAnsi="宋体" w:eastAsia="仿宋_GB2312" w:cs="宋体"/>
                <w:color w:val="000000"/>
                <w:kern w:val="0"/>
                <w:sz w:val="18"/>
                <w:szCs w:val="18"/>
              </w:rPr>
              <w:t>　</w:t>
            </w:r>
          </w:p>
        </w:tc>
        <w:tc>
          <w:tcPr>
            <w:tcW w:w="2850" w:type="dxa"/>
            <w:tcBorders>
              <w:top w:val="nil"/>
              <w:left w:val="nil"/>
              <w:bottom w:val="single" w:color="auto" w:sz="4" w:space="0"/>
              <w:right w:val="single" w:color="auto" w:sz="4" w:space="0"/>
            </w:tcBorders>
            <w:shd w:val="clear" w:color="auto" w:fill="auto"/>
            <w:noWrap/>
            <w:vAlign w:val="top"/>
          </w:tcPr>
          <w:p>
            <w:pPr>
              <w:widowControl/>
              <w:rPr>
                <w:rFonts w:ascii="Times New Roman" w:hAnsi="Times New Roman" w:eastAsia="仿宋_GB2312" w:cs="Times New Roman"/>
                <w:color w:val="000000"/>
                <w:kern w:val="0"/>
                <w:szCs w:val="20"/>
              </w:rPr>
            </w:pPr>
            <w:r>
              <w:rPr>
                <w:rFonts w:hint="eastAsia"/>
                <w:color w:val="000000"/>
                <w:kern w:val="0"/>
                <w:sz w:val="18"/>
                <w:szCs w:val="18"/>
              </w:rPr>
              <w:t>　</w:t>
            </w:r>
          </w:p>
        </w:tc>
        <w:tc>
          <w:tcPr>
            <w:tcW w:w="131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76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eastAsia="宋体" w:asciiTheme="minorHAnsi" w:hAnsiTheme="minorHAnsi" w:cstheme="minorBidi"/>
                <w:color w:val="00000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7.97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widowControl/>
              <w:jc w:val="center"/>
              <w:rPr>
                <w:rFonts w:ascii="Times New Roman" w:hAnsi="Times New Roman" w:eastAsia="仿宋_GB2312" w:cs="Times New Roman"/>
                <w:color w:val="000000"/>
                <w:kern w:val="0"/>
                <w:szCs w:val="20"/>
              </w:rPr>
            </w:pPr>
            <w:r>
              <w:rPr>
                <w:rFonts w:hint="eastAsia" w:ascii="仿宋_GB2312" w:hAnsi="宋体" w:eastAsia="仿宋_GB2312" w:cs="宋体"/>
                <w:color w:val="000000"/>
                <w:kern w:val="0"/>
                <w:sz w:val="18"/>
                <w:szCs w:val="18"/>
              </w:rPr>
              <w:t>人员经费合计</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1,151.31</w:t>
            </w:r>
          </w:p>
        </w:tc>
        <w:tc>
          <w:tcPr>
            <w:tcW w:w="845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41.84</w:t>
            </w:r>
          </w:p>
        </w:tc>
      </w:tr>
    </w:tbl>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8"/>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宋体" w:hAnsi="宋体" w:eastAsia="宋体" w:cs="宋体"/>
          <w:kern w:val="0"/>
          <w:sz w:val="20"/>
          <w:szCs w:val="20"/>
          <w:lang w:eastAsia="zh-CN"/>
        </w:rPr>
        <w:t>蓝山县</w:t>
      </w:r>
      <w:r>
        <w:rPr>
          <w:rFonts w:hint="eastAsia" w:ascii="宋体" w:hAnsi="宋体" w:cs="宋体"/>
          <w:kern w:val="0"/>
          <w:sz w:val="20"/>
          <w:szCs w:val="20"/>
          <w:lang w:eastAsia="zh-CN"/>
        </w:rPr>
        <w:t>新圩镇新圩学校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0.34</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1,357.56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266.86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24.45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年终奖基础绩效部分按月发放，人员经费增加。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1,357.56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1,357.56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1,357.56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1193.15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87.89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164.41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12.11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1,357.56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266.86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24.45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年终奖基础绩效部分按月发放，人员经费增加。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1,357.56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266.86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24.45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年终奖基础绩效部分按月发放，人员经费增加。</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4"/>
        <w:numPr>
          <w:ilvl w:val="0"/>
          <w:numId w:val="1"/>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一般公共预算财政拨款支出决算结构情况</w:t>
      </w:r>
    </w:p>
    <w:p>
      <w:pPr>
        <w:pStyle w:val="14"/>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1357.56</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1199.53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88.36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eastAsia="仿宋_GB2312"/>
          <w:kern w:val="0"/>
          <w:sz w:val="32"/>
          <w:szCs w:val="32"/>
          <w:u w:val="none"/>
        </w:rPr>
        <w:t>社会保障和就业</w:t>
      </w:r>
      <w:r>
        <w:rPr>
          <w:rFonts w:hint="eastAsia" w:eastAsia="仿宋_GB2312"/>
          <w:kern w:val="0"/>
          <w:sz w:val="32"/>
          <w:szCs w:val="32"/>
          <w:u w:val="none"/>
          <w:lang w:eastAsia="zh-CN"/>
        </w:rPr>
        <w:t>（</w:t>
      </w:r>
      <w:r>
        <w:rPr>
          <w:rFonts w:hint="eastAsia" w:eastAsia="仿宋_GB2312"/>
          <w:kern w:val="0"/>
          <w:sz w:val="32"/>
          <w:szCs w:val="32"/>
          <w:u w:val="none"/>
          <w:lang w:val="en-US" w:eastAsia="zh-CN"/>
        </w:rPr>
        <w:t>类）</w:t>
      </w:r>
      <w:r>
        <w:rPr>
          <w:rFonts w:hint="eastAsia" w:eastAsia="仿宋_GB2312"/>
          <w:kern w:val="0"/>
          <w:sz w:val="32"/>
          <w:szCs w:val="32"/>
          <w:u w:val="none"/>
        </w:rPr>
        <w:t>支出</w:t>
      </w:r>
      <w:r>
        <w:rPr>
          <w:rFonts w:hint="eastAsia" w:ascii="Times New Roman" w:hAnsi="Times New Roman" w:eastAsia="仿宋_GB2312" w:cs="Times New Roman"/>
          <w:kern w:val="0"/>
          <w:sz w:val="32"/>
          <w:szCs w:val="32"/>
          <w:u w:val="none"/>
          <w:lang w:val="en-US" w:eastAsia="zh-CN"/>
        </w:rPr>
        <w:t>105.77</w:t>
      </w:r>
      <w:r>
        <w:rPr>
          <w:rFonts w:hint="default" w:ascii="Times New Roman" w:hAnsi="Times New Roman" w:eastAsia="仿宋_GB2312" w:cs="Times New Roman"/>
          <w:kern w:val="0"/>
          <w:sz w:val="32"/>
          <w:szCs w:val="32"/>
          <w:u w:val="none"/>
          <w:lang w:val="en-US" w:eastAsia="zh-CN"/>
        </w:rPr>
        <w:t>万</w:t>
      </w:r>
      <w:r>
        <w:rPr>
          <w:rFonts w:hint="eastAsia" w:eastAsia="仿宋_GB2312"/>
          <w:kern w:val="0"/>
          <w:sz w:val="32"/>
          <w:szCs w:val="32"/>
          <w:u w:val="none"/>
          <w:lang w:val="en-US" w:eastAsia="zh-CN"/>
        </w:rPr>
        <w:t>元，占</w:t>
      </w:r>
      <w:r>
        <w:rPr>
          <w:rFonts w:hint="eastAsia" w:ascii="Times New Roman" w:hAnsi="Times New Roman" w:eastAsia="仿宋_GB2312" w:cs="Times New Roman"/>
          <w:kern w:val="0"/>
          <w:sz w:val="32"/>
          <w:szCs w:val="32"/>
          <w:u w:val="none"/>
          <w:lang w:val="en-US" w:eastAsia="zh-CN"/>
        </w:rPr>
        <w:t>7.79</w:t>
      </w:r>
      <w:r>
        <w:rPr>
          <w:rFonts w:hint="default" w:ascii="Times New Roman" w:hAnsi="Times New Roman" w:eastAsia="仿宋_GB2312" w:cs="Times New Roman"/>
          <w:kern w:val="0"/>
          <w:sz w:val="32"/>
          <w:szCs w:val="32"/>
          <w:u w:val="none"/>
          <w:lang w:val="en-US" w:eastAsia="zh-CN"/>
        </w:rPr>
        <w:t>%</w:t>
      </w:r>
      <w:r>
        <w:rPr>
          <w:rFonts w:hint="eastAsia" w:ascii="Times New Roman" w:hAnsi="Times New Roman" w:eastAsia="仿宋_GB2312" w:cs="Times New Roman"/>
          <w:kern w:val="0"/>
          <w:sz w:val="32"/>
          <w:szCs w:val="32"/>
          <w:u w:val="none"/>
          <w:lang w:val="en-US" w:eastAsia="zh-CN"/>
        </w:rPr>
        <w:t>；</w:t>
      </w:r>
      <w:r>
        <w:rPr>
          <w:rFonts w:hint="default" w:ascii="Times New Roman" w:hAnsi="Times New Roman" w:eastAsia="仿宋_GB2312" w:cs="Times New Roman"/>
          <w:kern w:val="0"/>
          <w:sz w:val="32"/>
          <w:szCs w:val="32"/>
          <w:u w:val="none"/>
        </w:rPr>
        <w:t>卫生健康</w:t>
      </w:r>
      <w:r>
        <w:rPr>
          <w:rFonts w:hint="eastAsia" w:ascii="Times New Roman" w:hAnsi="Times New Roman" w:eastAsia="仿宋_GB2312" w:cs="Times New Roman"/>
          <w:kern w:val="0"/>
          <w:sz w:val="32"/>
          <w:szCs w:val="32"/>
          <w:u w:val="none"/>
          <w:lang w:eastAsia="zh-CN"/>
        </w:rPr>
        <w:t>（</w:t>
      </w:r>
      <w:r>
        <w:rPr>
          <w:rFonts w:hint="eastAsia" w:ascii="Times New Roman" w:hAnsi="Times New Roman" w:eastAsia="仿宋_GB2312" w:cs="Times New Roman"/>
          <w:kern w:val="0"/>
          <w:sz w:val="32"/>
          <w:szCs w:val="32"/>
          <w:u w:val="none"/>
          <w:lang w:val="en-US" w:eastAsia="zh-CN"/>
        </w:rPr>
        <w:t>类）</w:t>
      </w:r>
      <w:r>
        <w:rPr>
          <w:rFonts w:hint="default" w:ascii="Times New Roman" w:hAnsi="Times New Roman" w:eastAsia="仿宋_GB2312" w:cs="Times New Roman"/>
          <w:kern w:val="0"/>
          <w:sz w:val="32"/>
          <w:szCs w:val="32"/>
          <w:u w:val="none"/>
        </w:rPr>
        <w:t>支出</w:t>
      </w:r>
      <w:r>
        <w:rPr>
          <w:rFonts w:hint="eastAsia" w:ascii="Times New Roman" w:hAnsi="Times New Roman" w:eastAsia="仿宋_GB2312" w:cs="Times New Roman"/>
          <w:kern w:val="0"/>
          <w:sz w:val="32"/>
          <w:szCs w:val="32"/>
          <w:u w:val="none"/>
          <w:lang w:val="en-US" w:eastAsia="zh-CN"/>
        </w:rPr>
        <w:t>52.26</w:t>
      </w:r>
      <w:r>
        <w:rPr>
          <w:rFonts w:hint="default" w:ascii="Times New Roman" w:hAnsi="Times New Roman" w:eastAsia="仿宋_GB2312" w:cs="Times New Roman"/>
          <w:kern w:val="0"/>
          <w:sz w:val="32"/>
          <w:szCs w:val="32"/>
          <w:u w:val="none"/>
          <w:lang w:val="en-US" w:eastAsia="zh-CN"/>
        </w:rPr>
        <w:t>万元，占</w:t>
      </w:r>
      <w:r>
        <w:rPr>
          <w:rFonts w:hint="eastAsia" w:ascii="Times New Roman" w:hAnsi="Times New Roman" w:eastAsia="仿宋_GB2312" w:cs="Times New Roman"/>
          <w:kern w:val="0"/>
          <w:sz w:val="32"/>
          <w:szCs w:val="32"/>
          <w:u w:val="none"/>
          <w:lang w:val="en-US" w:eastAsia="zh-CN"/>
        </w:rPr>
        <w:t>3.85</w:t>
      </w:r>
      <w:r>
        <w:rPr>
          <w:rFonts w:hint="default" w:ascii="Times New Roman" w:hAnsi="Times New Roman" w:eastAsia="仿宋_GB2312" w:cs="Times New Roman"/>
          <w:kern w:val="0"/>
          <w:sz w:val="32"/>
          <w:szCs w:val="32"/>
          <w:u w:val="none"/>
          <w:lang w:val="en-US" w:eastAsia="zh-CN"/>
        </w:rPr>
        <w:t>%。</w:t>
      </w:r>
    </w:p>
    <w:p>
      <w:pPr>
        <w:pStyle w:val="14"/>
        <w:numPr>
          <w:ilvl w:val="0"/>
          <w:numId w:val="1"/>
        </w:numP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一般公共预算财政拨款支出决算具体情况</w:t>
      </w:r>
    </w:p>
    <w:p>
      <w:pPr>
        <w:pStyle w:val="14"/>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2023</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1222.46</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1357.56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由于2024</w:t>
      </w:r>
      <w:r>
        <w:rPr>
          <w:rFonts w:hint="eastAsia" w:ascii="Times New Roman" w:hAnsi="Times New Roman" w:eastAsia="仿宋_GB2312" w:cs="Times New Roman"/>
          <w:sz w:val="32"/>
          <w:szCs w:val="32"/>
          <w:lang w:val="en-US" w:eastAsia="zh-CN"/>
        </w:rPr>
        <w:t>年终奖基础绩效部分按月发放，人员经费增加，</w:t>
      </w:r>
      <w:r>
        <w:rPr>
          <w:rFonts w:hint="eastAsia" w:ascii="Times New Roman" w:hAnsi="Times New Roman" w:eastAsia="仿宋_GB2312" w:cs="Times New Roman"/>
          <w:color w:val="auto"/>
          <w:sz w:val="32"/>
          <w:szCs w:val="32"/>
          <w:u w:val="none"/>
          <w:lang w:val="en-US" w:eastAsia="zh-CN"/>
        </w:rPr>
        <w:t>超</w:t>
      </w:r>
      <w:r>
        <w:rPr>
          <w:rFonts w:ascii="Times New Roman" w:hAnsi="Times New Roman" w:eastAsia="仿宋_GB2312" w:cs="Times New Roman"/>
          <w:color w:val="auto"/>
          <w:sz w:val="32"/>
          <w:szCs w:val="32"/>
          <w:u w:val="none"/>
        </w:rPr>
        <w:t>预算</w:t>
      </w:r>
      <w:r>
        <w:rPr>
          <w:rFonts w:hint="eastAsia" w:ascii="Times New Roman" w:hAnsi="Times New Roman" w:eastAsia="仿宋_GB2312" w:cs="Times New Roman"/>
          <w:color w:val="auto"/>
          <w:sz w:val="32"/>
          <w:szCs w:val="32"/>
          <w:u w:val="none"/>
          <w:lang w:val="en-US" w:eastAsia="zh-CN"/>
        </w:rPr>
        <w:t>完成</w:t>
      </w:r>
      <w:r>
        <w:rPr>
          <w:rFonts w:ascii="Times New Roman" w:hAnsi="Times New Roman" w:eastAsia="仿宋_GB2312" w:cs="Times New Roman"/>
          <w:color w:val="auto"/>
          <w:sz w:val="32"/>
          <w:szCs w:val="32"/>
          <w:u w:val="none"/>
        </w:rPr>
        <w:t>，其中：</w:t>
      </w:r>
    </w:p>
    <w:p>
      <w:pPr>
        <w:pStyle w:val="14"/>
        <w:numPr>
          <w:ilvl w:val="0"/>
          <w:numId w:val="2"/>
        </w:numP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教育</w:t>
      </w:r>
      <w:r>
        <w:rPr>
          <w:rFonts w:hint="eastAsia"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普通教育</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初中教育</w:t>
      </w:r>
      <w:r>
        <w:rPr>
          <w:rFonts w:ascii="Times New Roman" w:hAnsi="Times New Roman" w:eastAsia="仿宋_GB2312" w:cs="Times New Roman"/>
          <w:color w:val="auto"/>
          <w:sz w:val="32"/>
          <w:szCs w:val="32"/>
          <w:u w:val="none"/>
        </w:rPr>
        <w:t>（项）。</w:t>
      </w:r>
    </w:p>
    <w:p>
      <w:pPr>
        <w:pStyle w:val="14"/>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1222.46</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911.36</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74.55</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小于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做预算是将所有的经费都列在了初中教育项。</w:t>
      </w:r>
    </w:p>
    <w:p>
      <w:pPr>
        <w:pStyle w:val="14"/>
        <w:numPr>
          <w:ilvl w:val="0"/>
          <w:numId w:val="2"/>
        </w:numP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教育</w:t>
      </w:r>
      <w:r>
        <w:rPr>
          <w:rFonts w:hint="eastAsia"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普通教育</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小学教育</w:t>
      </w:r>
      <w:r>
        <w:rPr>
          <w:rFonts w:ascii="Times New Roman" w:hAnsi="Times New Roman" w:eastAsia="仿宋_GB2312" w:cs="Times New Roman"/>
          <w:color w:val="auto"/>
          <w:sz w:val="32"/>
          <w:szCs w:val="32"/>
          <w:u w:val="none"/>
        </w:rPr>
        <w:t>（项）。</w:t>
      </w:r>
    </w:p>
    <w:p>
      <w:pPr>
        <w:pStyle w:val="14"/>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288.17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年初预算为0，是因为做预算是将所有的经费都列在了初中教育项。</w:t>
      </w:r>
    </w:p>
    <w:p>
      <w:pPr>
        <w:pStyle w:val="14"/>
        <w:numPr>
          <w:ilvl w:val="0"/>
          <w:numId w:val="2"/>
        </w:numPr>
        <w:spacing w:line="600" w:lineRule="exact"/>
        <w:ind w:firstLine="640" w:firstLineChars="200"/>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社会保障和就业</w:t>
      </w:r>
      <w:r>
        <w:rPr>
          <w:rFonts w:hint="eastAsia" w:ascii="Times New Roman" w:hAnsi="Times New Roman" w:eastAsia="仿宋_GB2312" w:cs="Times New Roman"/>
          <w:color w:val="auto"/>
          <w:sz w:val="32"/>
          <w:szCs w:val="32"/>
          <w:u w:val="none"/>
        </w:rPr>
        <w:t>（类）行政事业单位养老支出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机关事业单位基本养老保险缴费支出</w:t>
      </w:r>
      <w:r>
        <w:rPr>
          <w:rFonts w:ascii="Times New Roman" w:hAnsi="Times New Roman" w:eastAsia="仿宋_GB2312" w:cs="Times New Roman"/>
          <w:color w:val="auto"/>
          <w:sz w:val="32"/>
          <w:szCs w:val="32"/>
          <w:u w:val="none"/>
        </w:rPr>
        <w:t>（项）。</w:t>
      </w:r>
    </w:p>
    <w:p>
      <w:pPr>
        <w:pStyle w:val="14"/>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105.77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年初预算为0，是因为做预算是将所有的经费都列在了初中教育项。</w:t>
      </w:r>
    </w:p>
    <w:p>
      <w:pPr>
        <w:pStyle w:val="14"/>
        <w:numPr>
          <w:ilvl w:val="0"/>
          <w:numId w:val="2"/>
        </w:numP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卫生健康</w:t>
      </w:r>
      <w:r>
        <w:rPr>
          <w:rFonts w:hint="eastAsia" w:ascii="Times New Roman" w:hAnsi="Times New Roman" w:eastAsia="仿宋_GB2312" w:cs="Times New Roman"/>
          <w:color w:val="auto"/>
          <w:sz w:val="32"/>
          <w:szCs w:val="32"/>
          <w:u w:val="none"/>
        </w:rPr>
        <w:t>（类）行政事业单位医疗</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事业单位医疗</w:t>
      </w:r>
      <w:r>
        <w:rPr>
          <w:rFonts w:ascii="Times New Roman" w:hAnsi="Times New Roman" w:eastAsia="仿宋_GB2312" w:cs="Times New Roman"/>
          <w:color w:val="auto"/>
          <w:sz w:val="32"/>
          <w:szCs w:val="32"/>
          <w:u w:val="none"/>
        </w:rPr>
        <w:t>（项）。</w:t>
      </w:r>
    </w:p>
    <w:p>
      <w:pPr>
        <w:pStyle w:val="14"/>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52.26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年初预算为0，是因为做预算是将所有的经费都列在了初中教育项。</w:t>
      </w:r>
    </w:p>
    <w:p>
      <w:pPr>
        <w:pStyle w:val="14"/>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一般公共预算财政拨款基本支出决算情况说明</w:t>
      </w:r>
    </w:p>
    <w:p>
      <w:pPr>
        <w:pStyle w:val="14"/>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1193.16</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1151.31</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96.49</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lang w:val="en-US" w:eastAsia="zh-CN"/>
        </w:rPr>
        <w:t>绩效工资、机关事业单位基本养老保险费、职工基本医疗保险缴费、其他社会保障缴费、其他工资福利支出、抚恤金、奖励金、对其他个人和家庭的补助支出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41.84</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3.51</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差旅费、培训费、水费、电费、邮电费、维修（护）费、公务接待费、劳务费、工会经费、福利费、会议费、其他商品和服务支出</w:t>
      </w:r>
      <w:r>
        <w:rPr>
          <w:rFonts w:ascii="Times New Roman" w:hAnsi="Times New Roman" w:eastAsia="仿宋_GB2312" w:cs="Times New Roman"/>
          <w:color w:val="auto"/>
          <w:sz w:val="32"/>
          <w:szCs w:val="32"/>
          <w:u w:val="none"/>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27.66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奉行</w:t>
      </w:r>
      <w:r>
        <w:rPr>
          <w:rFonts w:hint="eastAsia" w:ascii="Times New Roman" w:hAnsi="Times New Roman" w:eastAsia="仿宋_GB2312" w:cs="Times New Roman"/>
          <w:color w:val="auto"/>
          <w:sz w:val="32"/>
          <w:szCs w:val="32"/>
          <w:highlight w:val="none"/>
        </w:rPr>
        <w:t>学校奉行勤俭节约的风格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减少了接待费用。</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0.34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pPr>
        <w:pStyle w:val="14"/>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开支内容无</w:t>
      </w:r>
      <w:r>
        <w:rPr>
          <w:rFonts w:hint="eastAsia" w:ascii="Times New Roman" w:hAnsi="Times New Roman" w:eastAsia="仿宋_GB2312" w:cs="Times New Roman"/>
          <w:color w:val="auto"/>
          <w:sz w:val="32"/>
          <w:szCs w:val="32"/>
          <w:u w:val="none"/>
          <w:lang w:eastAsia="zh-CN"/>
        </w:rPr>
        <w:t>。</w:t>
      </w:r>
    </w:p>
    <w:p>
      <w:pPr>
        <w:pStyle w:val="14"/>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0.34</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12</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130</w:t>
      </w:r>
      <w:r>
        <w:rPr>
          <w:rFonts w:ascii="Times New Roman" w:hAnsi="Times New Roman" w:eastAsia="仿宋_GB2312" w:cs="Times New Roman"/>
          <w:color w:val="auto"/>
          <w:sz w:val="32"/>
          <w:szCs w:val="32"/>
          <w:u w:val="none"/>
        </w:rPr>
        <w:t>人次，主要是主要是</w:t>
      </w:r>
      <w:r>
        <w:rPr>
          <w:rFonts w:hint="eastAsia" w:ascii="Times New Roman" w:hAnsi="Times New Roman" w:eastAsia="仿宋_GB2312" w:cs="Times New Roman"/>
          <w:color w:val="auto"/>
          <w:sz w:val="32"/>
          <w:szCs w:val="32"/>
          <w:u w:val="none"/>
          <w:lang w:val="en-US" w:eastAsia="zh-CN"/>
        </w:rPr>
        <w:t>开学教育收费督查、食堂工作督查、教学磨课、期末抽考巡视等</w:t>
      </w:r>
      <w:r>
        <w:rPr>
          <w:rFonts w:ascii="Times New Roman" w:hAnsi="Times New Roman" w:eastAsia="仿宋_GB2312" w:cs="Times New Roman"/>
          <w:color w:val="auto"/>
          <w:sz w:val="32"/>
          <w:szCs w:val="32"/>
          <w:u w:val="none"/>
        </w:rPr>
        <w:t>发生的接待支出</w:t>
      </w:r>
      <w:r>
        <w:rPr>
          <w:rFonts w:hint="eastAsia" w:ascii="Times New Roman" w:hAnsi="Times New Roman" w:eastAsia="仿宋_GB2312" w:cs="Times New Roman"/>
          <w:color w:val="auto"/>
          <w:sz w:val="32"/>
          <w:szCs w:val="32"/>
          <w:u w:val="none"/>
          <w:lang w:eastAsia="zh-CN"/>
        </w:rPr>
        <w:t>。</w:t>
      </w:r>
    </w:p>
    <w:p>
      <w:pPr>
        <w:spacing w:line="600" w:lineRule="exact"/>
        <w:ind w:firstLine="640" w:firstLineChars="200"/>
        <w:rPr>
          <w:rFonts w:hint="default" w:eastAsia="仿宋_GB2312"/>
          <w:kern w:val="0"/>
          <w:sz w:val="32"/>
          <w:szCs w:val="32"/>
          <w:u w:val="none"/>
          <w:lang w:val="en-US" w:eastAsia="zh-CN"/>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w:t>
      </w:r>
      <w:r>
        <w:rPr>
          <w:rFonts w:eastAsia="仿宋_GB2312"/>
          <w:sz w:val="32"/>
          <w:szCs w:val="32"/>
        </w:rPr>
        <w:t>公务用车运行维护费</w:t>
      </w:r>
      <w:r>
        <w:rPr>
          <w:rFonts w:hint="eastAsia" w:eastAsia="仿宋_GB2312"/>
          <w:sz w:val="32"/>
          <w:szCs w:val="32"/>
          <w:lang w:val="en-US" w:eastAsia="zh-CN"/>
        </w:rPr>
        <w:t>0万元，主要是无支出，截止2024年12月31日，</w:t>
      </w:r>
      <w:r>
        <w:rPr>
          <w:rFonts w:eastAsia="仿宋_GB2312"/>
          <w:sz w:val="32"/>
          <w:szCs w:val="32"/>
        </w:rPr>
        <w:t>我单位开支财政拨款的公务用车保有量为</w:t>
      </w:r>
      <w:r>
        <w:rPr>
          <w:rFonts w:hint="eastAsia" w:eastAsia="仿宋_GB2312"/>
          <w:sz w:val="32"/>
          <w:szCs w:val="32"/>
          <w:lang w:val="en-US" w:eastAsia="zh-CN"/>
        </w:rPr>
        <w:t>0辆。</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spacing w:line="600" w:lineRule="exact"/>
        <w:ind w:firstLine="640" w:firstLineChars="200"/>
        <w:rPr>
          <w:rFonts w:hint="eastAsia"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2024年</w:t>
      </w:r>
      <w:r>
        <w:rPr>
          <w:rFonts w:ascii="Times New Roman" w:hAnsi="Times New Roman" w:eastAsia="仿宋_GB2312" w:cs="Times New Roman"/>
          <w:color w:val="auto"/>
          <w:sz w:val="32"/>
          <w:szCs w:val="32"/>
          <w:u w:val="none"/>
        </w:rPr>
        <w:t>本单位无政府性基金收支</w:t>
      </w:r>
      <w:r>
        <w:rPr>
          <w:rFonts w:hint="default" w:ascii="Times New Roman" w:hAnsi="Times New Roman" w:eastAsia="仿宋_GB2312" w:cs="Times New Roman"/>
          <w:color w:val="auto"/>
          <w:sz w:val="32"/>
          <w:szCs w:val="32"/>
          <w:u w:val="none"/>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4"/>
        <w:spacing w:line="600" w:lineRule="exact"/>
        <w:ind w:firstLine="640" w:firstLineChars="200"/>
        <w:outlineLvl w:val="1"/>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2024年</w:t>
      </w: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w:t>
      </w:r>
      <w:r>
        <w:rPr>
          <w:rFonts w:eastAsia="仿宋_GB2312"/>
          <w:kern w:val="0"/>
          <w:sz w:val="32"/>
          <w:szCs w:val="32"/>
          <w:u w:val="none"/>
        </w:rPr>
        <w:t>年本部门开支会议费</w:t>
      </w:r>
      <w:r>
        <w:rPr>
          <w:rFonts w:hint="eastAsia" w:eastAsia="仿宋_GB2312"/>
          <w:sz w:val="32"/>
          <w:szCs w:val="32"/>
          <w:u w:val="none"/>
          <w:lang w:val="en-US" w:eastAsia="zh-CN"/>
        </w:rPr>
        <w:t>0.44</w:t>
      </w:r>
      <w:r>
        <w:rPr>
          <w:rFonts w:eastAsia="仿宋_GB2312"/>
          <w:kern w:val="0"/>
          <w:sz w:val="32"/>
          <w:szCs w:val="32"/>
          <w:u w:val="none"/>
        </w:rPr>
        <w:t>万元，用于召开</w:t>
      </w:r>
      <w:r>
        <w:rPr>
          <w:rFonts w:hint="eastAsia" w:eastAsia="仿宋_GB2312"/>
          <w:kern w:val="0"/>
          <w:sz w:val="32"/>
          <w:szCs w:val="32"/>
          <w:u w:val="none"/>
          <w:lang w:val="en-US" w:eastAsia="zh-CN"/>
        </w:rPr>
        <w:t>开学工作、学生运动会</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工作、安全检查、教学研课等</w:t>
      </w:r>
      <w:r>
        <w:rPr>
          <w:rFonts w:eastAsia="仿宋_GB2312"/>
          <w:kern w:val="0"/>
          <w:sz w:val="32"/>
          <w:szCs w:val="32"/>
          <w:u w:val="none"/>
        </w:rPr>
        <w:t>会议，人数</w:t>
      </w:r>
      <w:r>
        <w:rPr>
          <w:rFonts w:hint="eastAsia" w:eastAsia="仿宋_GB2312"/>
          <w:sz w:val="32"/>
          <w:szCs w:val="32"/>
          <w:u w:val="none"/>
          <w:lang w:val="en-US" w:eastAsia="zh-CN"/>
        </w:rPr>
        <w:t>140</w:t>
      </w:r>
      <w:r>
        <w:rPr>
          <w:rFonts w:eastAsia="仿宋_GB2312"/>
          <w:kern w:val="0"/>
          <w:sz w:val="32"/>
          <w:szCs w:val="32"/>
          <w:u w:val="none"/>
        </w:rPr>
        <w:t>人，内容为</w:t>
      </w:r>
      <w:r>
        <w:rPr>
          <w:rFonts w:hint="eastAsia" w:eastAsia="仿宋_GB2312"/>
          <w:kern w:val="0"/>
          <w:sz w:val="32"/>
          <w:szCs w:val="32"/>
          <w:u w:val="none"/>
          <w:lang w:val="en-US" w:eastAsia="zh-CN"/>
        </w:rPr>
        <w:t>开学</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各项工作准备会议、学校安全工作会议、英语历史语文等学科教学研课等</w:t>
      </w:r>
      <w:r>
        <w:rPr>
          <w:rFonts w:eastAsia="仿宋_GB2312"/>
          <w:kern w:val="0"/>
          <w:sz w:val="32"/>
          <w:szCs w:val="32"/>
          <w:u w:val="none"/>
        </w:rPr>
        <w:t>；开支培训费</w:t>
      </w:r>
      <w:r>
        <w:rPr>
          <w:rFonts w:hint="eastAsia" w:eastAsia="仿宋_GB2312"/>
          <w:sz w:val="32"/>
          <w:szCs w:val="32"/>
          <w:u w:val="none"/>
          <w:lang w:val="en-US" w:eastAsia="zh-CN"/>
        </w:rPr>
        <w:t>0.06</w:t>
      </w:r>
      <w:r>
        <w:rPr>
          <w:rFonts w:eastAsia="仿宋_GB2312"/>
          <w:kern w:val="0"/>
          <w:sz w:val="32"/>
          <w:szCs w:val="32"/>
          <w:u w:val="none"/>
        </w:rPr>
        <w:t>万元，用于开展</w:t>
      </w:r>
      <w:r>
        <w:rPr>
          <w:rFonts w:hint="eastAsia" w:eastAsia="仿宋_GB2312"/>
          <w:kern w:val="0"/>
          <w:sz w:val="32"/>
          <w:szCs w:val="32"/>
          <w:u w:val="none"/>
          <w:lang w:val="en-US" w:eastAsia="zh-CN"/>
        </w:rPr>
        <w:t>教师各种</w:t>
      </w:r>
      <w:r>
        <w:rPr>
          <w:rFonts w:eastAsia="仿宋_GB2312"/>
          <w:kern w:val="0"/>
          <w:sz w:val="32"/>
          <w:szCs w:val="32"/>
          <w:u w:val="none"/>
        </w:rPr>
        <w:t>培训，人数</w:t>
      </w:r>
      <w:r>
        <w:rPr>
          <w:rFonts w:hint="eastAsia" w:eastAsia="仿宋_GB2312"/>
          <w:sz w:val="32"/>
          <w:szCs w:val="32"/>
          <w:u w:val="none"/>
          <w:lang w:val="en-US" w:eastAsia="zh-CN"/>
        </w:rPr>
        <w:t>81</w:t>
      </w:r>
      <w:r>
        <w:rPr>
          <w:rFonts w:eastAsia="仿宋_GB2312"/>
          <w:kern w:val="0"/>
          <w:sz w:val="32"/>
          <w:szCs w:val="32"/>
          <w:u w:val="none"/>
        </w:rPr>
        <w:t>人，内容为</w:t>
      </w:r>
      <w:r>
        <w:rPr>
          <w:rFonts w:hint="eastAsia" w:eastAsia="仿宋_GB2312"/>
          <w:kern w:val="0"/>
          <w:sz w:val="32"/>
          <w:szCs w:val="32"/>
          <w:u w:val="none"/>
          <w:lang w:eastAsia="zh-CN"/>
        </w:rPr>
        <w:t>“</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国培”</w:t>
      </w:r>
      <w:r>
        <w:rPr>
          <w:rFonts w:hint="eastAsia" w:eastAsia="仿宋_GB2312" w:cs="Times New Roman"/>
          <w:i w:val="0"/>
          <w:iCs w:val="0"/>
          <w:caps w:val="0"/>
          <w:color w:val="auto"/>
          <w:spacing w:val="0"/>
          <w:sz w:val="32"/>
          <w:szCs w:val="32"/>
          <w:u w:val="none"/>
          <w:shd w:val="clear" w:color="auto" w:fill="auto"/>
          <w:lang w:val="en-US" w:eastAsia="zh-CN"/>
        </w:rPr>
        <w:t>、心理健康、信息技术等培训；举办0次</w:t>
      </w:r>
      <w:r>
        <w:rPr>
          <w:rFonts w:eastAsia="仿宋_GB2312"/>
          <w:kern w:val="0"/>
          <w:sz w:val="32"/>
          <w:szCs w:val="32"/>
        </w:rPr>
        <w:t>节庆、晚会、论坛、赛事活动，开支</w:t>
      </w:r>
      <w:r>
        <w:rPr>
          <w:rFonts w:hint="eastAsia" w:eastAsia="仿宋_GB2312"/>
          <w:kern w:val="0"/>
          <w:sz w:val="32"/>
          <w:szCs w:val="32"/>
          <w:lang w:val="en-US" w:eastAsia="zh-CN"/>
        </w:rPr>
        <w:t>0万元，主要是无</w:t>
      </w:r>
      <w:r>
        <w:rPr>
          <w:rFonts w:eastAsia="仿宋_GB2312"/>
          <w:kern w:val="0"/>
          <w:sz w:val="32"/>
          <w:szCs w:val="32"/>
        </w:rPr>
        <w:t>节庆、晚会、论坛、赛事活动</w:t>
      </w:r>
      <w:r>
        <w:rPr>
          <w:rFonts w:eastAsia="仿宋_GB2312"/>
          <w:kern w:val="0"/>
          <w:sz w:val="32"/>
          <w:szCs w:val="32"/>
          <w:u w:val="none"/>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4"/>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69.43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34.43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69.43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69.43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2024</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组织对2024年度本部门（单位）整体支出开展绩效自评，</w:t>
      </w:r>
      <w:bookmarkStart w:id="3" w:name="_GoBack"/>
      <w:bookmarkEnd w:id="3"/>
      <w:r>
        <w:rPr>
          <w:rFonts w:ascii="Times New Roman" w:hAnsi="Times New Roman" w:eastAsia="仿宋_GB2312" w:cs="Times New Roman"/>
          <w:kern w:val="0"/>
          <w:sz w:val="32"/>
          <w:szCs w:val="32"/>
        </w:rPr>
        <w:t>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166.64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137.56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12.61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numPr>
          <w:ilvl w:val="0"/>
          <w:numId w:val="4"/>
        </w:num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pPr>
        <w:shd w:val="clear" w:color="auto" w:fill="FFFFFF"/>
        <w:spacing w:line="560" w:lineRule="exact"/>
        <w:ind w:firstLine="480"/>
        <w:rPr>
          <w:rFonts w:ascii="仿宋_GB2312" w:hAnsi="仿宋_GB2312" w:eastAsia="仿宋_GB2312" w:cs="仿宋_GB2312"/>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1222.46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1357.56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超预算完成</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ascii="Times New Roman" w:hAnsi="Times New Roman" w:eastAsia="楷体_GB2312" w:cs="Times New Roman"/>
          <w:b/>
          <w:bCs/>
          <w:color w:val="auto"/>
          <w:kern w:val="2"/>
          <w:sz w:val="32"/>
          <w:szCs w:val="32"/>
        </w:rPr>
        <w:t>（三）评价结果应用情况。</w:t>
      </w:r>
      <w:r>
        <w:rPr>
          <w:rFonts w:hint="default" w:ascii="Times New Roman" w:hAnsi="Times New Roman" w:eastAsia="仿宋_GB2312" w:cs="Times New Roman"/>
          <w:kern w:val="0"/>
          <w:sz w:val="32"/>
          <w:szCs w:val="32"/>
        </w:rPr>
        <w:t>从整体情况来看，我部门严格按照年初预算进行部门整体支出。在支出过程中，能严格遵守各项规章制度，“三公经费”严格控制在预算之内。实行了先有预算、后有执行、“用钱必问效、无效必问责”的新常态。社会和公众满意度较高。根据对我单位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年部门整体支出项目绩效评价指标体系和绩效情况的检查，202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年我单位部门整体绩效自评分96分，为“优”等级。</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u w:val="none"/>
        </w:rPr>
      </w:pPr>
      <w:r>
        <w:rPr>
          <w:rFonts w:eastAsia="仿宋_GB2312"/>
          <w:sz w:val="32"/>
          <w:szCs w:val="32"/>
          <w:u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u w:val="none"/>
        </w:rPr>
      </w:pPr>
      <w:r>
        <w:rPr>
          <w:rFonts w:eastAsia="仿宋_GB2312"/>
          <w:sz w:val="32"/>
          <w:szCs w:val="32"/>
          <w:u w:val="none"/>
        </w:rPr>
        <w:t>2、“三公”经费：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val="0"/>
          <w:bCs w:val="0"/>
          <w:i w:val="0"/>
          <w:caps w:val="0"/>
          <w:color w:val="000000"/>
          <w:spacing w:val="0"/>
          <w:sz w:val="32"/>
          <w:szCs w:val="32"/>
          <w:u w:val="none"/>
          <w:shd w:val="clear" w:color="auto" w:fill="FFFFFF"/>
          <w:lang w:val="en-US" w:eastAsia="zh-CN"/>
        </w:rPr>
        <w:t>3、</w:t>
      </w:r>
      <w:r>
        <w:rPr>
          <w:rFonts w:hint="eastAsia" w:eastAsia="仿宋_GB2312"/>
          <w:sz w:val="32"/>
          <w:szCs w:val="32"/>
          <w:u w:val="none"/>
        </w:rPr>
        <w:t>基本支出。</w:t>
      </w:r>
      <w:r>
        <w:rPr>
          <w:rFonts w:hint="eastAsia" w:ascii="仿宋_GB2312" w:hAnsi="仿宋_GB2312" w:eastAsia="仿宋_GB2312" w:cs="仿宋_GB2312"/>
          <w:i w:val="0"/>
          <w:caps w:val="0"/>
          <w:color w:val="000000"/>
          <w:spacing w:val="0"/>
          <w:sz w:val="32"/>
          <w:szCs w:val="32"/>
          <w:u w:val="none"/>
          <w:shd w:val="clear" w:color="auto" w:fill="FFFFFF"/>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val="0"/>
          <w:bCs w:val="0"/>
          <w:i w:val="0"/>
          <w:caps w:val="0"/>
          <w:color w:val="000000"/>
          <w:spacing w:val="0"/>
          <w:sz w:val="32"/>
          <w:szCs w:val="32"/>
          <w:u w:val="none"/>
          <w:shd w:val="clear" w:color="auto" w:fill="FFFFFF"/>
          <w:lang w:val="en-US" w:eastAsia="zh-CN"/>
        </w:rPr>
        <w:t>4、</w:t>
      </w:r>
      <w:r>
        <w:rPr>
          <w:rFonts w:hint="eastAsia" w:eastAsia="仿宋_GB2312"/>
          <w:sz w:val="32"/>
          <w:szCs w:val="32"/>
          <w:u w:val="none"/>
        </w:rPr>
        <w:t>项目支出。</w:t>
      </w:r>
      <w:r>
        <w:rPr>
          <w:rFonts w:hint="eastAsia" w:ascii="仿宋_GB2312" w:hAnsi="仿宋_GB2312" w:eastAsia="仿宋_GB2312" w:cs="仿宋_GB2312"/>
          <w:i w:val="0"/>
          <w:caps w:val="0"/>
          <w:color w:val="000000"/>
          <w:spacing w:val="0"/>
          <w:sz w:val="32"/>
          <w:szCs w:val="32"/>
          <w:u w:val="none"/>
          <w:shd w:val="clear" w:color="auto" w:fill="FFFFFF"/>
        </w:rPr>
        <w:t>指在基本支出之外为完成特定行政任务和事业发展目标所发生的支出。</w:t>
      </w:r>
    </w:p>
    <w:p>
      <w:pPr>
        <w:widowControl/>
        <w:jc w:val="left"/>
        <w:rPr>
          <w:rFonts w:hint="default" w:ascii="宋体" w:hAnsi="宋体" w:eastAsia="宋体" w:cs="黑体"/>
          <w:color w:val="000000"/>
          <w:kern w:val="0"/>
          <w:sz w:val="32"/>
          <w:szCs w:val="32"/>
          <w:u w:val="none"/>
          <w:lang w:val="en-US" w:eastAsia="zh-CN"/>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widowControl/>
        <w:spacing w:line="600" w:lineRule="exact"/>
        <w:jc w:val="center"/>
        <w:outlineLvl w:val="0"/>
        <w:rPr>
          <w:rFonts w:hint="eastAsia" w:ascii="黑体" w:hAnsi="黑体" w:eastAsia="黑体" w:cs="黑体"/>
          <w:b/>
          <w:bCs w:val="0"/>
          <w:kern w:val="0"/>
          <w:sz w:val="44"/>
          <w:szCs w:val="44"/>
          <w:u w:val="none"/>
        </w:rPr>
      </w:pPr>
      <w:r>
        <w:rPr>
          <w:rFonts w:hint="eastAsia" w:ascii="黑体" w:hAnsi="黑体" w:eastAsia="黑体" w:cs="黑体"/>
          <w:b/>
          <w:bCs w:val="0"/>
          <w:kern w:val="0"/>
          <w:sz w:val="44"/>
          <w:szCs w:val="44"/>
          <w:u w:val="none"/>
        </w:rPr>
        <w:t>第五部分 附件</w:t>
      </w:r>
    </w:p>
    <w:p>
      <w:pPr>
        <w:jc w:val="center"/>
        <w:rPr>
          <w:rFonts w:hint="eastAsia" w:ascii="黑体" w:eastAsia="黑体" w:cs="黑体"/>
          <w:color w:val="000000"/>
          <w:kern w:val="0"/>
          <w:sz w:val="70"/>
          <w:szCs w:val="70"/>
          <w:u w:val="none"/>
        </w:rPr>
      </w:pPr>
    </w:p>
    <w:p>
      <w:pPr>
        <w:ind w:firstLine="640" w:firstLineChars="200"/>
        <w:jc w:val="left"/>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lang w:val="en-US" w:eastAsia="zh-CN"/>
        </w:rPr>
        <w:t>2024</w:t>
      </w:r>
      <w:r>
        <w:rPr>
          <w:rFonts w:hint="eastAsia" w:ascii="黑体" w:hAnsi="黑体" w:eastAsia="黑体" w:cs="黑体"/>
          <w:color w:val="000000"/>
          <w:kern w:val="0"/>
          <w:sz w:val="32"/>
          <w:szCs w:val="32"/>
          <w:u w:val="none"/>
        </w:rPr>
        <w:t>年度部门整体支出绩效评价报告</w:t>
      </w:r>
    </w:p>
    <w:p>
      <w:pPr>
        <w:spacing w:line="600" w:lineRule="exact"/>
        <w:rPr>
          <w:rFonts w:hint="eastAsia"/>
          <w:u w:val="none"/>
        </w:rPr>
      </w:pPr>
    </w:p>
    <w:p>
      <w:pPr>
        <w:spacing w:line="600" w:lineRule="exact"/>
        <w:rPr>
          <w:rFonts w:hint="eastAsia"/>
          <w:u w:val="none"/>
        </w:rPr>
      </w:pPr>
    </w:p>
    <w:p>
      <w:pPr>
        <w:spacing w:line="600" w:lineRule="exact"/>
        <w:rPr>
          <w:rFonts w:hint="eastAsia"/>
          <w:u w:val="none"/>
        </w:rPr>
      </w:pPr>
    </w:p>
    <w:p>
      <w:pPr>
        <w:keepNext w:val="0"/>
        <w:keepLines w:val="0"/>
        <w:pageBreakBefore w:val="0"/>
        <w:kinsoku/>
        <w:wordWrap/>
        <w:overflowPunct/>
        <w:topLinePunct w:val="0"/>
        <w:bidi w:val="0"/>
        <w:snapToGrid/>
        <w:spacing w:line="60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蓝山县新圩镇新圩学校202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年度部门整体支出</w:t>
      </w:r>
    </w:p>
    <w:p>
      <w:pPr>
        <w:keepNext w:val="0"/>
        <w:keepLines w:val="0"/>
        <w:pageBreakBefore w:val="0"/>
        <w:kinsoku/>
        <w:wordWrap/>
        <w:overflowPunct/>
        <w:topLinePunct w:val="0"/>
        <w:bidi w:val="0"/>
        <w:snapToGrid/>
        <w:spacing w:line="600" w:lineRule="exact"/>
        <w:ind w:firstLine="640" w:firstLineChars="200"/>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绩效评价情况报告</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为进一步规范财政资金管理，牢固树立预算绩效理念，强化支出责任，提高财政资金使用效益，我们根据《蓝山县关于全面推进预算绩效管理的实施意见》，结合我局的具体情况，认真组织开展了202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年度部门绩效自评工作，现将我部门202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年度部门整体支出绩效评价情况报告如下：</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一、单位概况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（一）基本情况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1、部门职能职责</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（1）主要职能：实施中小学义务教育，促进基础义务教育的发展，搞好教育教学工作。</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2、机构设置及决算单位构成</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（1）内设机构设置。</w:t>
      </w:r>
    </w:p>
    <w:p>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color w:val="000000"/>
          <w:kern w:val="0"/>
          <w:sz w:val="32"/>
          <w:szCs w:val="32"/>
          <w:lang w:val="en-US" w:eastAsia="zh-CN" w:bidi="ar-SA"/>
        </w:rPr>
        <w:t>1、学校是一个财政全额拨款的事业单位。单位现有校长一名，副校长两名，现有下设机构五个：工会委员会一个，设有工会主席一名，工会委员两名；教务处一个，设有教务主任一名，教务副主任一名；政教处一个，设有政教主任一名；学校团支部一个，设有团支部书记一名；财务室一个，设有会计一名，出纳一名。</w:t>
      </w:r>
    </w:p>
    <w:p>
      <w:pPr>
        <w:widowControl/>
        <w:spacing w:line="600" w:lineRule="exact"/>
        <w:ind w:firstLine="960" w:firstLineChars="3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2</w:t>
      </w:r>
      <w:r>
        <w:rPr>
          <w:rFonts w:hint="default" w:ascii="Times New Roman" w:hAnsi="Times New Roman" w:eastAsia="仿宋_GB2312" w:cs="Times New Roman"/>
          <w:sz w:val="32"/>
          <w:szCs w:val="32"/>
          <w:lang w:val="en-US" w:eastAsia="zh-CN"/>
        </w:rPr>
        <w:t>、人员情况：我校现有在职教职工8</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人，退休人员3</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人；临聘人员</w:t>
      </w:r>
      <w:r>
        <w:rPr>
          <w:rFonts w:hint="eastAsia" w:ascii="Times New Roman" w:hAnsi="Times New Roman" w:eastAsia="仿宋_GB2312" w:cs="Times New Roman"/>
          <w:sz w:val="32"/>
          <w:szCs w:val="32"/>
          <w:lang w:val="en-US" w:eastAsia="zh-CN"/>
        </w:rPr>
        <w:t>10人</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bidi w:val="0"/>
        <w:snapToGrid/>
        <w:spacing w:line="600" w:lineRule="exact"/>
        <w:ind w:firstLine="320" w:firstLine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（二）当年取得的主要事业成效</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1、我校在202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年坚持以立德树人为根本，以服务发展为宗旨，培养各方面合格的中小学生。</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2、我校积极推行学生综合素质的提高，基础知识的学习和综合实践的结合，提高了学生的学习兴趣和能力。</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3、进一步完善学校教学基础设施，增添了一批课桌椅以及红色文化宣传栏。</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4、重视教师培训，积极提高教师专业化水平。以提高教师素质为重点，建立学科带头人、名师工作室等教学培养形式，安排教师参加“国培”等各种培训。</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（三）部门整体收支出概况:202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年部门收支完成情况：202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年度本部门安排预算收入</w:t>
      </w:r>
      <w:r>
        <w:rPr>
          <w:rFonts w:hint="eastAsia" w:ascii="Times New Roman" w:hAnsi="Times New Roman" w:eastAsia="仿宋_GB2312" w:cs="Times New Roman"/>
          <w:kern w:val="0"/>
          <w:sz w:val="32"/>
          <w:szCs w:val="32"/>
          <w:lang w:val="en-US" w:eastAsia="zh-CN"/>
        </w:rPr>
        <w:t>1222.46</w:t>
      </w:r>
      <w:r>
        <w:rPr>
          <w:rFonts w:hint="default" w:ascii="Times New Roman" w:hAnsi="Times New Roman" w:eastAsia="仿宋_GB2312" w:cs="Times New Roman"/>
          <w:kern w:val="0"/>
          <w:sz w:val="32"/>
          <w:szCs w:val="32"/>
        </w:rPr>
        <w:t>万元，安排预算支出</w:t>
      </w:r>
      <w:r>
        <w:rPr>
          <w:rFonts w:hint="eastAsia" w:ascii="Times New Roman" w:hAnsi="Times New Roman" w:eastAsia="仿宋_GB2312" w:cs="Times New Roman"/>
          <w:kern w:val="0"/>
          <w:sz w:val="32"/>
          <w:szCs w:val="32"/>
          <w:lang w:val="en-US" w:eastAsia="zh-CN"/>
        </w:rPr>
        <w:t>1222.46</w:t>
      </w:r>
      <w:r>
        <w:rPr>
          <w:rFonts w:hint="default" w:ascii="Times New Roman" w:hAnsi="Times New Roman" w:eastAsia="仿宋_GB2312" w:cs="Times New Roman"/>
          <w:kern w:val="0"/>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1、收入：决算总收入</w:t>
      </w:r>
      <w:r>
        <w:rPr>
          <w:rFonts w:hint="eastAsia" w:ascii="Times New Roman" w:hAnsi="Times New Roman" w:eastAsia="仿宋_GB2312" w:cs="Times New Roman"/>
          <w:kern w:val="0"/>
          <w:sz w:val="32"/>
          <w:szCs w:val="32"/>
          <w:lang w:val="en-US" w:eastAsia="zh-CN"/>
        </w:rPr>
        <w:t>1357.56</w:t>
      </w:r>
      <w:r>
        <w:rPr>
          <w:rFonts w:hint="default" w:ascii="Times New Roman" w:hAnsi="Times New Roman" w:eastAsia="仿宋_GB2312" w:cs="Times New Roman"/>
          <w:kern w:val="0"/>
          <w:sz w:val="32"/>
          <w:szCs w:val="32"/>
        </w:rPr>
        <w:t>万元，其中财政拨款收入</w:t>
      </w:r>
      <w:r>
        <w:rPr>
          <w:rFonts w:hint="eastAsia" w:ascii="Times New Roman" w:hAnsi="Times New Roman" w:eastAsia="仿宋_GB2312" w:cs="Times New Roman"/>
          <w:kern w:val="0"/>
          <w:sz w:val="32"/>
          <w:szCs w:val="32"/>
          <w:lang w:val="en-US" w:eastAsia="zh-CN"/>
        </w:rPr>
        <w:t>1357.56</w:t>
      </w:r>
      <w:r>
        <w:rPr>
          <w:rFonts w:hint="default" w:ascii="Times New Roman" w:hAnsi="Times New Roman" w:eastAsia="仿宋_GB2312" w:cs="Times New Roman"/>
          <w:kern w:val="0"/>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2、支出：决算总支出</w:t>
      </w:r>
      <w:r>
        <w:rPr>
          <w:rFonts w:hint="eastAsia" w:ascii="Times New Roman" w:hAnsi="Times New Roman" w:eastAsia="仿宋_GB2312" w:cs="Times New Roman"/>
          <w:kern w:val="0"/>
          <w:sz w:val="32"/>
          <w:szCs w:val="32"/>
          <w:lang w:val="en-US" w:eastAsia="zh-CN"/>
        </w:rPr>
        <w:t>1357.56</w:t>
      </w:r>
      <w:r>
        <w:rPr>
          <w:rFonts w:hint="default" w:ascii="Times New Roman" w:hAnsi="Times New Roman" w:eastAsia="仿宋_GB2312" w:cs="Times New Roman"/>
          <w:kern w:val="0"/>
          <w:sz w:val="32"/>
          <w:szCs w:val="32"/>
        </w:rPr>
        <w:t>万元，其中财政拨款支出</w:t>
      </w:r>
      <w:r>
        <w:rPr>
          <w:rFonts w:hint="eastAsia" w:ascii="Times New Roman" w:hAnsi="Times New Roman" w:eastAsia="仿宋_GB2312" w:cs="Times New Roman"/>
          <w:kern w:val="0"/>
          <w:sz w:val="32"/>
          <w:szCs w:val="32"/>
          <w:lang w:val="en-US" w:eastAsia="zh-CN"/>
        </w:rPr>
        <w:t>1357.56</w:t>
      </w:r>
      <w:r>
        <w:rPr>
          <w:rFonts w:hint="default" w:ascii="Times New Roman" w:hAnsi="Times New Roman" w:eastAsia="仿宋_GB2312" w:cs="Times New Roman"/>
          <w:kern w:val="0"/>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二、整体支出管理及使用情况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（一）基本支出管理情况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基</w:t>
      </w:r>
      <w:r>
        <w:rPr>
          <w:rFonts w:hint="default" w:ascii="Times New Roman" w:hAnsi="Times New Roman" w:eastAsia="仿宋_GB2312" w:cs="Times New Roman"/>
          <w:kern w:val="0"/>
          <w:sz w:val="32"/>
          <w:szCs w:val="32"/>
        </w:rPr>
        <w:t>本支出决算执行情况：202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年我部门决算支出</w:t>
      </w:r>
      <w:r>
        <w:rPr>
          <w:rFonts w:hint="eastAsia" w:ascii="Times New Roman" w:hAnsi="Times New Roman" w:eastAsia="仿宋_GB2312" w:cs="Times New Roman"/>
          <w:kern w:val="0"/>
          <w:sz w:val="32"/>
          <w:szCs w:val="32"/>
          <w:lang w:val="en-US" w:eastAsia="zh-CN"/>
        </w:rPr>
        <w:t>1193.16</w:t>
      </w:r>
      <w:r>
        <w:rPr>
          <w:rFonts w:hint="default" w:ascii="Times New Roman" w:hAnsi="Times New Roman" w:eastAsia="仿宋_GB2312" w:cs="Times New Roman"/>
          <w:kern w:val="0"/>
          <w:sz w:val="32"/>
          <w:szCs w:val="32"/>
        </w:rPr>
        <w:t>万元，其中：工资福利支出</w:t>
      </w:r>
      <w:r>
        <w:rPr>
          <w:rFonts w:hint="eastAsia" w:ascii="Times New Roman" w:hAnsi="Times New Roman" w:eastAsia="仿宋_GB2312" w:cs="Times New Roman"/>
          <w:kern w:val="0"/>
          <w:sz w:val="32"/>
          <w:szCs w:val="32"/>
          <w:lang w:val="en-US" w:eastAsia="zh-CN"/>
        </w:rPr>
        <w:t>1143.04</w:t>
      </w:r>
      <w:r>
        <w:rPr>
          <w:rFonts w:hint="default" w:ascii="Times New Roman" w:hAnsi="Times New Roman" w:eastAsia="仿宋_GB2312" w:cs="Times New Roman"/>
          <w:kern w:val="0"/>
          <w:sz w:val="32"/>
          <w:szCs w:val="32"/>
        </w:rPr>
        <w:t>万元，商品和服务支出</w:t>
      </w:r>
      <w:r>
        <w:rPr>
          <w:rFonts w:hint="eastAsia" w:ascii="Times New Roman" w:hAnsi="Times New Roman" w:eastAsia="仿宋_GB2312" w:cs="Times New Roman"/>
          <w:kern w:val="0"/>
          <w:sz w:val="32"/>
          <w:szCs w:val="32"/>
          <w:lang w:val="en-US" w:eastAsia="zh-CN"/>
        </w:rPr>
        <w:t>41.2</w:t>
      </w:r>
      <w:r>
        <w:rPr>
          <w:rFonts w:hint="default" w:ascii="Times New Roman" w:hAnsi="Times New Roman" w:eastAsia="仿宋_GB2312" w:cs="Times New Roman"/>
          <w:kern w:val="0"/>
          <w:sz w:val="32"/>
          <w:szCs w:val="32"/>
        </w:rPr>
        <w:t>万元，对个人和家庭的补助支出</w:t>
      </w:r>
      <w:r>
        <w:rPr>
          <w:rFonts w:hint="eastAsia" w:ascii="Times New Roman" w:hAnsi="Times New Roman" w:eastAsia="仿宋_GB2312" w:cs="Times New Roman"/>
          <w:kern w:val="0"/>
          <w:sz w:val="32"/>
          <w:szCs w:val="32"/>
          <w:lang w:val="en-US" w:eastAsia="zh-CN"/>
        </w:rPr>
        <w:t>0.56</w:t>
      </w:r>
      <w:r>
        <w:rPr>
          <w:rFonts w:hint="default" w:ascii="Times New Roman" w:hAnsi="Times New Roman" w:eastAsia="仿宋_GB2312" w:cs="Times New Roman"/>
          <w:kern w:val="0"/>
          <w:sz w:val="32"/>
          <w:szCs w:val="32"/>
        </w:rPr>
        <w:t>万元，“三公”经费支出控制数</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 New Roman"/>
          <w:kern w:val="0"/>
          <w:sz w:val="32"/>
          <w:szCs w:val="32"/>
          <w:lang w:val="en-US" w:eastAsia="zh-CN"/>
        </w:rPr>
        <w:t>34</w:t>
      </w:r>
      <w:r>
        <w:rPr>
          <w:rFonts w:hint="default" w:ascii="Times New Roman" w:hAnsi="Times New Roman" w:eastAsia="仿宋_GB2312" w:cs="Times New Roman"/>
          <w:kern w:val="0"/>
          <w:sz w:val="32"/>
          <w:szCs w:val="32"/>
        </w:rPr>
        <w:t>万元，其中：公务接待费</w:t>
      </w:r>
      <w:r>
        <w:rPr>
          <w:rFonts w:hint="eastAsia" w:ascii="Times New Roman" w:hAnsi="Times New Roman" w:eastAsia="仿宋_GB2312" w:cs="Times New Roman"/>
          <w:kern w:val="0"/>
          <w:sz w:val="32"/>
          <w:szCs w:val="32"/>
          <w:lang w:val="en-US" w:eastAsia="zh-CN"/>
        </w:rPr>
        <w:t>0.34</w:t>
      </w:r>
      <w:r>
        <w:rPr>
          <w:rFonts w:hint="default" w:ascii="Times New Roman" w:hAnsi="Times New Roman" w:eastAsia="仿宋_GB2312" w:cs="Times New Roman"/>
          <w:kern w:val="0"/>
          <w:sz w:val="32"/>
          <w:szCs w:val="32"/>
        </w:rPr>
        <w:t>万元，公务用车经费（公车运行维护费）0万元。</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（二）“三公经费”支出和使用情况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年“三公经费”预算数</w:t>
      </w:r>
      <w:r>
        <w:rPr>
          <w:rFonts w:hint="eastAsia" w:ascii="Times New Roman" w:hAnsi="Times New Roman" w:eastAsia="仿宋_GB2312" w:cs="Times New Roman"/>
          <w:kern w:val="0"/>
          <w:sz w:val="32"/>
          <w:szCs w:val="32"/>
          <w:lang w:val="en-US" w:eastAsia="zh-CN"/>
        </w:rPr>
        <w:t>0.5</w:t>
      </w:r>
      <w:r>
        <w:rPr>
          <w:rFonts w:hint="default" w:ascii="Times New Roman" w:hAnsi="Times New Roman" w:eastAsia="仿宋_GB2312" w:cs="Times New Roman"/>
          <w:kern w:val="0"/>
          <w:sz w:val="32"/>
          <w:szCs w:val="32"/>
        </w:rPr>
        <w:t>万元，其中：公务接待费</w:t>
      </w:r>
      <w:r>
        <w:rPr>
          <w:rFonts w:hint="eastAsia" w:ascii="Times New Roman" w:hAnsi="Times New Roman" w:eastAsia="仿宋_GB2312" w:cs="Times New Roman"/>
          <w:kern w:val="0"/>
          <w:sz w:val="32"/>
          <w:szCs w:val="32"/>
          <w:lang w:val="en-US" w:eastAsia="zh-CN"/>
        </w:rPr>
        <w:t>0.5</w:t>
      </w:r>
      <w:r>
        <w:rPr>
          <w:rFonts w:hint="default" w:ascii="Times New Roman" w:hAnsi="Times New Roman" w:eastAsia="仿宋_GB2312" w:cs="Times New Roman"/>
          <w:kern w:val="0"/>
          <w:sz w:val="32"/>
          <w:szCs w:val="32"/>
        </w:rPr>
        <w:t>万元，公务用车运行费0万元，公务用车购置费0万元，因公出国（境）费0万元。</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年“三公经费”执行情况：202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年“三公经费”决算数</w:t>
      </w:r>
      <w:r>
        <w:rPr>
          <w:rFonts w:hint="eastAsia" w:ascii="Times New Roman" w:hAnsi="Times New Roman" w:eastAsia="仿宋_GB2312" w:cs="Times New Roman"/>
          <w:kern w:val="0"/>
          <w:sz w:val="32"/>
          <w:szCs w:val="32"/>
          <w:lang w:val="en-US" w:eastAsia="zh-CN"/>
        </w:rPr>
        <w:t>0.34</w:t>
      </w:r>
      <w:r>
        <w:rPr>
          <w:rFonts w:hint="default" w:ascii="Times New Roman" w:hAnsi="Times New Roman" w:eastAsia="仿宋_GB2312" w:cs="Times New Roman"/>
          <w:kern w:val="0"/>
          <w:sz w:val="32"/>
          <w:szCs w:val="32"/>
        </w:rPr>
        <w:t>万元，其中：其中：公务接待费</w:t>
      </w:r>
      <w:r>
        <w:rPr>
          <w:rFonts w:hint="eastAsia" w:ascii="Times New Roman" w:hAnsi="Times New Roman" w:eastAsia="仿宋_GB2312" w:cs="Times New Roman"/>
          <w:kern w:val="0"/>
          <w:sz w:val="32"/>
          <w:szCs w:val="32"/>
          <w:lang w:val="en-US" w:eastAsia="zh-CN"/>
        </w:rPr>
        <w:t>0.34</w:t>
      </w:r>
      <w:r>
        <w:rPr>
          <w:rFonts w:hint="default" w:ascii="Times New Roman" w:hAnsi="Times New Roman" w:eastAsia="仿宋_GB2312" w:cs="Times New Roman"/>
          <w:kern w:val="0"/>
          <w:sz w:val="32"/>
          <w:szCs w:val="32"/>
        </w:rPr>
        <w:t>万元，公务用车运行费0万元，公务用车购置费0万元，因公出国（境）费0万元。</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年我部门严格控制“三公经费”支出，比上年度“三公”经费支出数下降，厉行节约取得了</w:t>
      </w:r>
      <w:r>
        <w:rPr>
          <w:rFonts w:hint="eastAsia" w:ascii="Times New Roman" w:hAnsi="Times New Roman" w:eastAsia="仿宋_GB2312" w:cs="Times New Roman"/>
          <w:kern w:val="0"/>
          <w:sz w:val="32"/>
          <w:szCs w:val="32"/>
          <w:lang w:val="en-US" w:eastAsia="zh-CN"/>
        </w:rPr>
        <w:t>较</w:t>
      </w:r>
      <w:r>
        <w:rPr>
          <w:rFonts w:hint="default" w:ascii="Times New Roman" w:hAnsi="Times New Roman" w:eastAsia="仿宋_GB2312" w:cs="Times New Roman"/>
          <w:kern w:val="0"/>
          <w:sz w:val="32"/>
          <w:szCs w:val="32"/>
        </w:rPr>
        <w:t>好效果。</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（三）项目支出管理和使用情况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年我部门无项目支出。</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严格按照年初预算进行部门整体支出。在支出过程中，能严格遵守各项规章制度，“三公经费”明显下降。实行了先有预算、后有执行、“用钱必问效、无效必问责”的新常态。社会和公众满意度较高。根据对我单位</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部门整体支出项目绩效评价指标体系和绩效情况的检查，</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我单位部门整体绩效自评分94分，为“优”等级。</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过去的一年，单位工作虽然取得了较好的成绩，但存在的问题和困难也不少。一是</w:t>
      </w:r>
      <w:r>
        <w:rPr>
          <w:rFonts w:hint="eastAsia" w:ascii="仿宋_GB2312" w:hAnsi="仿宋_GB2312" w:eastAsia="仿宋_GB2312" w:cs="仿宋_GB2312"/>
          <w:sz w:val="32"/>
          <w:szCs w:val="32"/>
          <w:lang w:val="en-US" w:eastAsia="zh-CN"/>
        </w:rPr>
        <w:t>公用</w:t>
      </w:r>
      <w:r>
        <w:rPr>
          <w:rFonts w:hint="eastAsia" w:ascii="仿宋_GB2312" w:hAnsi="仿宋_GB2312" w:eastAsia="仿宋_GB2312" w:cs="仿宋_GB2312"/>
          <w:sz w:val="32"/>
          <w:szCs w:val="32"/>
        </w:rPr>
        <w:t>经费紧张，</w:t>
      </w:r>
      <w:r>
        <w:rPr>
          <w:rFonts w:hint="eastAsia" w:ascii="仿宋_GB2312" w:hAnsi="仿宋_GB2312" w:eastAsia="仿宋_GB2312" w:cs="仿宋_GB2312"/>
          <w:sz w:val="32"/>
          <w:szCs w:val="32"/>
          <w:highlight w:val="none"/>
          <w:lang w:eastAsia="zh-CN"/>
        </w:rPr>
        <w:t>只能维持学校的基本运转，基本开支；二</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eastAsia="zh-CN"/>
        </w:rPr>
        <w:t>财务制度在合法合规框架下还需要更细致的体现，让财务制度更能切合学校实际情况，真正提高财政资金的绩效水平</w:t>
      </w:r>
      <w:r>
        <w:rPr>
          <w:rFonts w:hint="eastAsia" w:ascii="仿宋_GB2312" w:hAnsi="仿宋_GB2312" w:eastAsia="仿宋_GB2312" w:cs="仿宋_GB2312"/>
          <w:sz w:val="32"/>
          <w:szCs w:val="32"/>
          <w:highlight w:val="none"/>
        </w:rPr>
        <w:t>。</w:t>
      </w: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B0B9F"/>
    <w:multiLevelType w:val="singleLevel"/>
    <w:tmpl w:val="824B0B9F"/>
    <w:lvl w:ilvl="0" w:tentative="0">
      <w:start w:val="2"/>
      <w:numFmt w:val="chineseCounting"/>
      <w:suff w:val="nothing"/>
      <w:lvlText w:val="（%1）"/>
      <w:lvlJc w:val="left"/>
      <w:rPr>
        <w:rFonts w:hint="eastAsia"/>
      </w:rPr>
    </w:lvl>
  </w:abstractNum>
  <w:abstractNum w:abstractNumId="1">
    <w:nsid w:val="A242683D"/>
    <w:multiLevelType w:val="singleLevel"/>
    <w:tmpl w:val="A242683D"/>
    <w:lvl w:ilvl="0" w:tentative="0">
      <w:start w:val="2"/>
      <w:numFmt w:val="chineseCounting"/>
      <w:suff w:val="nothing"/>
      <w:lvlText w:val="（%1）"/>
      <w:lvlJc w:val="left"/>
      <w:rPr>
        <w:rFonts w:hint="eastAsia"/>
      </w:rPr>
    </w:lvl>
  </w:abstractNum>
  <w:abstractNum w:abstractNumId="2">
    <w:nsid w:val="B356A6E9"/>
    <w:multiLevelType w:val="singleLevel"/>
    <w:tmpl w:val="B356A6E9"/>
    <w:lvl w:ilvl="0" w:tentative="0">
      <w:start w:val="1"/>
      <w:numFmt w:val="decimal"/>
      <w:suff w:val="nothing"/>
      <w:lvlText w:val="%1、"/>
      <w:lvlJc w:val="left"/>
    </w:lvl>
  </w:abstractNum>
  <w:abstractNum w:abstractNumId="3">
    <w:nsid w:val="5DF1A270"/>
    <w:multiLevelType w:val="singleLevel"/>
    <w:tmpl w:val="5DF1A270"/>
    <w:lvl w:ilvl="0" w:tentative="0">
      <w:start w:val="6"/>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D5134CE"/>
    <w:rsid w:val="2FDF85B8"/>
    <w:rsid w:val="2FFFEE04"/>
    <w:rsid w:val="34DF85B0"/>
    <w:rsid w:val="3B8F36BC"/>
    <w:rsid w:val="3ED918B6"/>
    <w:rsid w:val="491FF225"/>
    <w:rsid w:val="4FFD214C"/>
    <w:rsid w:val="51EC122B"/>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A23241"/>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styleId="11">
    <w:name w:val="page number"/>
    <w:basedOn w:val="10"/>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30</TotalTime>
  <ScaleCrop>false</ScaleCrop>
  <LinksUpToDate>false</LinksUpToDate>
  <CharactersWithSpaces>9786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Mayn</cp:lastModifiedBy>
  <cp:lastPrinted>2024-08-08T18:20:00Z</cp:lastPrinted>
  <dcterms:modified xsi:type="dcterms:W3CDTF">2025-08-28T01:17:42Z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959036BC96C84CFF952B7FE15E290BDE</vt:lpwstr>
  </property>
</Properties>
</file>