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both"/>
        <w:rPr>
          <w:rFonts w:hAnsi="黑体"/>
          <w:sz w:val="36"/>
          <w:szCs w:val="36"/>
        </w:rPr>
      </w:pPr>
      <w:r>
        <w:rPr>
          <w:rFonts w:hint="eastAsia" w:hAnsi="黑体"/>
          <w:sz w:val="36"/>
          <w:szCs w:val="36"/>
        </w:rPr>
        <w:t>附件1</w:t>
      </w:r>
    </w:p>
    <w:p>
      <w:pPr>
        <w:pStyle w:val="15"/>
        <w:jc w:val="center"/>
        <w:rPr>
          <w:rFonts w:ascii="Times New Roman" w:hAnsi="Times New Roman" w:cs="Times New Roman"/>
          <w:sz w:val="56"/>
          <w:szCs w:val="56"/>
        </w:rPr>
      </w:pPr>
    </w:p>
    <w:p>
      <w:pPr>
        <w:pStyle w:val="15"/>
        <w:jc w:val="center"/>
        <w:rPr>
          <w:rFonts w:ascii="Times New Roman" w:hAnsi="Times New Roman" w:cs="Times New Roman"/>
          <w:sz w:val="84"/>
          <w:szCs w:val="84"/>
        </w:rPr>
      </w:pPr>
    </w:p>
    <w:p>
      <w:pPr>
        <w:pStyle w:val="15"/>
        <w:jc w:val="center"/>
        <w:rPr>
          <w:rFonts w:ascii="Times New Roman" w:hAnsi="Times New Roman" w:cs="Times New Roman"/>
          <w:sz w:val="84"/>
          <w:szCs w:val="84"/>
        </w:rPr>
      </w:pPr>
    </w:p>
    <w:p>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湖南蓝山经济开发区管理委员会</w:t>
      </w:r>
      <w:r>
        <w:rPr>
          <w:rFonts w:ascii="Times New Roman" w:hAnsi="Times New Roman" w:eastAsia="方正小标宋简体" w:cs="Times New Roman"/>
          <w:sz w:val="72"/>
          <w:szCs w:val="72"/>
        </w:rPr>
        <w:t>部门决算</w:t>
      </w:r>
    </w:p>
    <w:p>
      <w:pPr>
        <w:pStyle w:val="15"/>
        <w:jc w:val="center"/>
        <w:rPr>
          <w:rFonts w:ascii="Times New Roman" w:hAnsi="Times New Roman" w:eastAsia="方正小标宋_GBK" w:cs="Times New Roman"/>
          <w:sz w:val="56"/>
          <w:szCs w:val="56"/>
        </w:rPr>
      </w:pPr>
    </w:p>
    <w:p>
      <w:pPr>
        <w:pStyle w:val="15"/>
        <w:jc w:val="center"/>
        <w:rPr>
          <w:rFonts w:ascii="Times New Roman" w:hAnsi="Times New Roman" w:cs="Times New Roman"/>
          <w:sz w:val="56"/>
          <w:szCs w:val="56"/>
        </w:rPr>
      </w:pPr>
    </w:p>
    <w:p>
      <w:pPr>
        <w:pStyle w:val="15"/>
        <w:rPr>
          <w:rFonts w:ascii="Times New Roman" w:hAnsi="Times New Roman" w:cs="Times New Roman"/>
          <w:sz w:val="56"/>
          <w:szCs w:val="56"/>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spacing w:line="540" w:lineRule="exact"/>
        <w:jc w:val="center"/>
        <w:rPr>
          <w:rFonts w:ascii="Times New Roman" w:hAnsi="Times New Roman"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5"/>
        <w:spacing w:line="600" w:lineRule="exact"/>
        <w:jc w:val="both"/>
        <w:rPr>
          <w:rFonts w:ascii="Times New Roman" w:hAnsi="Times New Roman" w:cs="Times New Roman"/>
          <w:b/>
          <w:sz w:val="36"/>
          <w:szCs w:val="28"/>
        </w:rPr>
      </w:pPr>
    </w:p>
    <w:p>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5"/>
        <w:spacing w:line="600" w:lineRule="exact"/>
        <w:jc w:val="center"/>
        <w:rPr>
          <w:rFonts w:ascii="Times New Roman" w:hAnsi="Times New Roman" w:cs="Times New Roman"/>
          <w:b/>
          <w:sz w:val="36"/>
          <w:szCs w:val="28"/>
        </w:rPr>
      </w:pPr>
    </w:p>
    <w:p>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湖南蓝山经济开发区管理委员会</w:t>
      </w:r>
      <w:r>
        <w:rPr>
          <w:rFonts w:ascii="Times New Roman" w:hAnsi="Times New Roman" w:cs="Times New Roman"/>
          <w:bCs/>
          <w:sz w:val="32"/>
          <w:szCs w:val="32"/>
        </w:rPr>
        <w:t>概况</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5"/>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湖南蓝山经济开发区管理委员会</w:t>
      </w:r>
      <w:r>
        <w:rPr>
          <w:rFonts w:ascii="Times New Roman" w:hAnsi="Times New Roman" w:eastAsia="方正小标宋_GBK" w:cs="Times New Roman"/>
          <w:sz w:val="52"/>
          <w:szCs w:val="52"/>
        </w:rPr>
        <w:t>概况</w:t>
      </w:r>
    </w:p>
    <w:p>
      <w:pPr>
        <w:pStyle w:val="5"/>
        <w:ind w:left="0" w:leftChars="0" w:firstLine="0" w:firstLineChars="0"/>
        <w:rPr>
          <w:rFonts w:ascii="Times New Roman" w:hAnsi="Times New Roman" w:cs="Times New Roman"/>
        </w:rPr>
      </w:pPr>
    </w:p>
    <w:p>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蓝山经开区党工委、管委会贯彻执行中央、省委关于开发区建设的方针政策和市委关于开发区建设的决策部署，根据相关法律法规和市委、市人民政府授权(委托)履行组织领导、发展规划、区域开发、科技创新、产业发展、投资促进、协调服务等职能。在履行职责过程中坚持加强党的全面领导，认真落实国家关于促进经济开发区改革和创新发展的要求，切实优化营商环境，全面落实“三高四新”战略定位和使命任务，大力推动高质量发展。主要职责是：</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(一)负责贯彻执行党和国家关于开发区建设的方针政策、法律法规和决策部署。</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(二)负责研究拟订和组织实施蓝山经开区重大发展战略、发展规划和工作计划。</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三)按照蓝山县国土空间总体规划和产业发展规划要求及相关权限，负责统筹建设发展空间布局。负责统筹蓝山经开及相关权限，负责统筹建设发展空间布局。负责统筹蓝山经开区产业发展规划、产业布局、产业政策、项目准入标准等事项并组织实施。</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(四)负责蓝山经开区开放型经济和优化营商环境工作，组织对外经济技术合作与交流。负责蓝山经开区基础设施、公用事业、重大项目等建设管理相关工作。</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(五)负责蓝山经开区科技创新、高新技术产业管理和服务，开展有关科技创新和高新技术产业政策研究，构建技术创新服务体系。指导区内企业建立现代企业制度，推进高新技术产业化、国际化。</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(六)负责蓝山经开区党的建设和“两新”组织党建工作。</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(七)根据有关要求和职责分工，承担蓝山经开区综合管理、统计、内部审计、信息、安全生产监督管理、生态环境保护、财政收支管理及国有资产管理等工作。</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(八)承办市委、市人民政府和蓝山县委、县人民政府交办的其他事项。</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snapToGrid w:val="0"/>
        <w:spacing w:line="520" w:lineRule="exact"/>
        <w:ind w:firstLine="640" w:firstLineChars="200"/>
        <w:rPr>
          <w:rFonts w:hint="eastAsia" w:ascii="仿宋_GB2312" w:hAnsi="仿宋" w:eastAsia="仿宋_GB2312" w:cs="Times New Roman"/>
          <w:sz w:val="32"/>
          <w:szCs w:val="32"/>
        </w:rPr>
      </w:pPr>
      <w:r>
        <w:rPr>
          <w:rFonts w:ascii="Times New Roman" w:hAnsi="Times New Roman" w:eastAsia="仿宋_GB2312" w:cs="Times New Roman"/>
          <w:bCs/>
          <w:kern w:val="0"/>
          <w:sz w:val="32"/>
          <w:szCs w:val="32"/>
        </w:rPr>
        <w:t>（一）内设机构设置。</w:t>
      </w:r>
      <w:r>
        <w:rPr>
          <w:rFonts w:hint="eastAsia" w:ascii="仿宋_GB2312" w:hAnsi="仿宋" w:eastAsia="仿宋_GB2312" w:cs="Times New Roman"/>
          <w:sz w:val="32"/>
          <w:szCs w:val="32"/>
        </w:rPr>
        <w:t>单位为</w:t>
      </w:r>
      <w:r>
        <w:rPr>
          <w:rFonts w:hint="eastAsia" w:ascii="仿宋_GB2312" w:hAnsi="仿宋" w:eastAsia="仿宋_GB2312" w:cs="Times New Roman"/>
          <w:sz w:val="32"/>
          <w:szCs w:val="32"/>
          <w:lang w:eastAsia="zh-CN"/>
        </w:rPr>
        <w:t>副处</w:t>
      </w:r>
      <w:r>
        <w:rPr>
          <w:rFonts w:hint="eastAsia" w:ascii="仿宋_GB2312" w:hAnsi="仿宋" w:eastAsia="仿宋_GB2312" w:cs="Times New Roman"/>
          <w:sz w:val="32"/>
          <w:szCs w:val="32"/>
        </w:rPr>
        <w:t>级</w:t>
      </w:r>
      <w:r>
        <w:rPr>
          <w:rFonts w:hint="eastAsia" w:ascii="仿宋_GB2312" w:hAnsi="仿宋" w:eastAsia="仿宋_GB2312" w:cs="Times New Roman"/>
          <w:sz w:val="32"/>
          <w:szCs w:val="32"/>
          <w:lang w:eastAsia="zh-CN"/>
        </w:rPr>
        <w:t>参照公务员法管理</w:t>
      </w:r>
      <w:r>
        <w:rPr>
          <w:rFonts w:hint="eastAsia" w:ascii="仿宋_GB2312" w:hAnsi="仿宋" w:eastAsia="仿宋_GB2312" w:cs="Times New Roman"/>
          <w:sz w:val="32"/>
          <w:szCs w:val="32"/>
        </w:rPr>
        <w:t>事业单位，内设</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个职能局室</w:t>
      </w:r>
      <w:r>
        <w:rPr>
          <w:rFonts w:hint="eastAsia" w:ascii="仿宋_GB2312" w:hAnsi="仿宋" w:eastAsia="仿宋_GB2312" w:cs="Times New Roman"/>
          <w:sz w:val="32"/>
          <w:szCs w:val="32"/>
          <w:lang w:eastAsia="zh-CN"/>
        </w:rPr>
        <w:t>：办公室、招商合作产业发展局、党群工作局、开发建设和应急管理生态环境局</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园区运营与投融资服务局</w:t>
      </w:r>
      <w:r>
        <w:rPr>
          <w:rFonts w:hint="eastAsia" w:ascii="仿宋_GB2312" w:hAnsi="仿宋" w:eastAsia="仿宋_GB2312" w:cs="Times New Roman"/>
          <w:sz w:val="32"/>
          <w:szCs w:val="32"/>
        </w:rPr>
        <w:t>均为副科级机构。下设</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个</w:t>
      </w:r>
      <w:r>
        <w:rPr>
          <w:rFonts w:hint="eastAsia" w:ascii="仿宋_GB2312" w:hAnsi="仿宋" w:eastAsia="仿宋_GB2312" w:cs="Times New Roman"/>
          <w:sz w:val="32"/>
          <w:szCs w:val="32"/>
          <w:lang w:eastAsia="zh-CN"/>
        </w:rPr>
        <w:t>副科级公益一类事业单位：湖南蓝山经济开发区企业服务中心。</w:t>
      </w:r>
    </w:p>
    <w:p>
      <w:pPr>
        <w:widowControl/>
        <w:spacing w:line="600" w:lineRule="exact"/>
        <w:ind w:firstLine="640" w:firstLineChars="200"/>
        <w:rPr>
          <w:rFonts w:hint="eastAsia" w:eastAsia="仿宋_GB2312"/>
          <w:bCs/>
          <w:kern w:val="0"/>
          <w:sz w:val="32"/>
          <w:szCs w:val="32"/>
          <w:lang w:val="en-US" w:eastAsia="zh-CN"/>
        </w:rPr>
      </w:pPr>
      <w:r>
        <w:rPr>
          <w:rFonts w:ascii="Times New Roman" w:hAnsi="Times New Roman" w:eastAsia="仿宋_GB2312" w:cs="Times New Roman"/>
          <w:bCs/>
          <w:kern w:val="0"/>
          <w:sz w:val="32"/>
          <w:szCs w:val="32"/>
        </w:rPr>
        <w:t>（二）决算单位构成。</w:t>
      </w:r>
      <w:r>
        <w:rPr>
          <w:rFonts w:hint="eastAsia" w:eastAsia="仿宋_GB2312"/>
          <w:sz w:val="32"/>
          <w:szCs w:val="32"/>
          <w:lang w:eastAsia="zh-CN"/>
        </w:rPr>
        <w:t>本</w:t>
      </w:r>
      <w:r>
        <w:rPr>
          <w:rFonts w:eastAsia="仿宋_GB2312"/>
          <w:bCs/>
          <w:kern w:val="0"/>
          <w:sz w:val="32"/>
          <w:szCs w:val="32"/>
        </w:rPr>
        <w:t>单位20</w:t>
      </w:r>
      <w:r>
        <w:rPr>
          <w:rFonts w:hint="eastAsia" w:eastAsia="仿宋_GB2312"/>
          <w:bCs/>
          <w:kern w:val="0"/>
          <w:sz w:val="32"/>
          <w:szCs w:val="32"/>
          <w:lang w:val="en-US" w:eastAsia="zh-CN"/>
        </w:rPr>
        <w:t>24</w:t>
      </w:r>
      <w:r>
        <w:rPr>
          <w:rFonts w:eastAsia="仿宋_GB2312"/>
          <w:bCs/>
          <w:kern w:val="0"/>
          <w:sz w:val="32"/>
          <w:szCs w:val="32"/>
        </w:rPr>
        <w:t>年部门决算汇总公开单位构成包括：</w:t>
      </w:r>
      <w:r>
        <w:rPr>
          <w:rFonts w:hint="eastAsia" w:eastAsia="仿宋_GB2312"/>
          <w:bCs/>
          <w:kern w:val="0"/>
          <w:sz w:val="32"/>
          <w:szCs w:val="32"/>
          <w:lang w:eastAsia="zh-CN"/>
        </w:rPr>
        <w:t>湖南蓝山经济开发区管理委员会</w:t>
      </w:r>
      <w:r>
        <w:rPr>
          <w:rFonts w:eastAsia="仿宋_GB2312"/>
          <w:bCs/>
          <w:kern w:val="0"/>
          <w:sz w:val="32"/>
          <w:szCs w:val="32"/>
        </w:rPr>
        <w:t>本级</w:t>
      </w:r>
      <w:r>
        <w:rPr>
          <w:rFonts w:hint="eastAsia" w:eastAsia="仿宋_GB2312"/>
          <w:bCs/>
          <w:kern w:val="0"/>
          <w:sz w:val="32"/>
          <w:szCs w:val="32"/>
          <w:lang w:val="en-US" w:eastAsia="zh-CN"/>
        </w:rPr>
        <w:t>1个。</w:t>
      </w:r>
    </w:p>
    <w:p>
      <w:pPr>
        <w:widowControl/>
        <w:spacing w:line="600" w:lineRule="exact"/>
        <w:rPr>
          <w:rFonts w:ascii="Times New Roman" w:hAnsi="Times New Roman" w:eastAsia="仿宋_GB2312" w:cs="Times New Roman"/>
          <w:bCs/>
          <w:kern w:val="0"/>
          <w:sz w:val="32"/>
          <w:szCs w:val="32"/>
        </w:rPr>
      </w:pP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湖南蓝山经济开发区管理委员会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2"/>
        <w:tblW w:w="14896" w:type="dxa"/>
        <w:jc w:val="center"/>
        <w:tblInd w:w="0" w:type="dxa"/>
        <w:tblLayout w:type="fixed"/>
        <w:tblCellMar>
          <w:top w:w="0" w:type="dxa"/>
          <w:left w:w="108" w:type="dxa"/>
          <w:bottom w:w="0" w:type="dxa"/>
          <w:right w:w="108" w:type="dxa"/>
        </w:tblCellMar>
      </w:tblPr>
      <w:tblGrid>
        <w:gridCol w:w="5762"/>
        <w:gridCol w:w="850"/>
        <w:gridCol w:w="1291"/>
        <w:gridCol w:w="4851"/>
        <w:gridCol w:w="850"/>
        <w:gridCol w:w="1292"/>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7925.89</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685.49</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195.07</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2550.91</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0"/>
                <w:sz w:val="24"/>
                <w:szCs w:val="24"/>
                <w:lang w:bidi="ar"/>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55.08</w:t>
            </w:r>
          </w:p>
        </w:tc>
      </w:tr>
      <w:tr>
        <w:tblPrEx>
          <w:tblLayout w:type="fixed"/>
          <w:tblCellMar>
            <w:top w:w="0" w:type="dxa"/>
            <w:left w:w="108" w:type="dxa"/>
            <w:bottom w:w="0" w:type="dxa"/>
            <w:right w:w="108" w:type="dxa"/>
          </w:tblCellMar>
        </w:tblPrEx>
        <w:trPr>
          <w:trHeight w:val="361"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13.08</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十一、城乡社区支出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578.95</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Times New Roman" w:hAnsi="Times New Roman" w:eastAsia="仿宋_GB2312" w:cs="Times New Roman"/>
                <w:b/>
                <w:color w:val="000000"/>
                <w:kern w:val="2"/>
                <w:sz w:val="22"/>
                <w:szCs w:val="22"/>
                <w:lang w:val="en-US" w:eastAsia="zh-CN" w:bidi="ar-SA"/>
              </w:rPr>
            </w:pPr>
            <w:r>
              <w:rPr>
                <w:rFonts w:hint="eastAsia" w:ascii="Times New Roman" w:hAnsi="Times New Roman" w:eastAsia="仿宋_GB2312" w:cs="Times New Roman"/>
                <w:b/>
                <w:color w:val="000000"/>
                <w:sz w:val="22"/>
              </w:rPr>
              <w:t>十四、资源勘探工业信息等支出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4181.64</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十五、商业服务业等支出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25</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二十三、其他支出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30.82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kern w:val="2"/>
                <w:sz w:val="22"/>
                <w:szCs w:val="22"/>
                <w:lang w:val="en-US" w:eastAsia="zh-CN" w:bidi="ar-SA"/>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8120.97</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kern w:val="2"/>
                <w:sz w:val="22"/>
                <w:szCs w:val="22"/>
                <w:lang w:val="en-US" w:eastAsia="zh-CN" w:bidi="ar-SA"/>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8120.97</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kern w:val="2"/>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b/>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kern w:val="2"/>
                <w:sz w:val="22"/>
                <w:szCs w:val="22"/>
                <w:lang w:val="en-US" w:eastAsia="zh-CN" w:bidi="ar-SA"/>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8120.97</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kern w:val="2"/>
                <w:sz w:val="22"/>
                <w:szCs w:val="22"/>
                <w:lang w:val="en-US" w:eastAsia="zh-CN" w:bidi="ar-SA"/>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8120.97</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eastAsia="zh-CN" w:bidi="ar"/>
        </w:rPr>
        <w:t>湖南蓝山经济开发区管理委员会</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12"/>
        <w:tblW w:w="14666" w:type="dxa"/>
        <w:jc w:val="center"/>
        <w:tblInd w:w="0" w:type="dxa"/>
        <w:tblLayout w:type="fixed"/>
        <w:tblCellMar>
          <w:top w:w="0" w:type="dxa"/>
          <w:left w:w="0" w:type="dxa"/>
          <w:bottom w:w="0" w:type="dxa"/>
          <w:right w:w="0" w:type="dxa"/>
        </w:tblCellMar>
      </w:tblPr>
      <w:tblGrid>
        <w:gridCol w:w="1100"/>
        <w:gridCol w:w="2086"/>
        <w:gridCol w:w="1640"/>
        <w:gridCol w:w="1640"/>
        <w:gridCol w:w="1640"/>
        <w:gridCol w:w="1640"/>
        <w:gridCol w:w="1640"/>
        <w:gridCol w:w="1897"/>
        <w:gridCol w:w="1383"/>
      </w:tblGrid>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1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08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10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2086"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8120.97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8120.97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2010301</w:t>
            </w:r>
          </w:p>
        </w:tc>
        <w:tc>
          <w:tcPr>
            <w:tcW w:w="208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553.71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553.71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2010302</w:t>
            </w:r>
          </w:p>
        </w:tc>
        <w:tc>
          <w:tcPr>
            <w:tcW w:w="208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一般行政管理事务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15.17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15.17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2019999</w:t>
            </w:r>
          </w:p>
        </w:tc>
        <w:tc>
          <w:tcPr>
            <w:tcW w:w="208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其他一般公共服务支出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116.61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116.61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2069999</w:t>
            </w:r>
          </w:p>
        </w:tc>
        <w:tc>
          <w:tcPr>
            <w:tcW w:w="208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其他科学技术支出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2550.91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2550.91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2080505</w:t>
            </w:r>
          </w:p>
        </w:tc>
        <w:tc>
          <w:tcPr>
            <w:tcW w:w="208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49.15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49.15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2080599</w:t>
            </w:r>
          </w:p>
        </w:tc>
        <w:tc>
          <w:tcPr>
            <w:tcW w:w="20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4.5</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4.5</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2080801</w:t>
            </w:r>
          </w:p>
        </w:tc>
        <w:tc>
          <w:tcPr>
            <w:tcW w:w="20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死亡抚恤</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0.86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0.86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2080802</w:t>
            </w:r>
          </w:p>
        </w:tc>
        <w:tc>
          <w:tcPr>
            <w:tcW w:w="20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伤残抚恤</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0.57</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0.57</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2101101</w:t>
            </w:r>
          </w:p>
        </w:tc>
        <w:tc>
          <w:tcPr>
            <w:tcW w:w="20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行政单位医疗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13.08</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13.08</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2120303</w:t>
            </w:r>
          </w:p>
        </w:tc>
        <w:tc>
          <w:tcPr>
            <w:tcW w:w="20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小城镇基础设施建设</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391.57</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391.57</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2120899</w:t>
            </w:r>
          </w:p>
        </w:tc>
        <w:tc>
          <w:tcPr>
            <w:tcW w:w="20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其他国有土地使用权出让收入安排的支出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56.8</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56.8</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2121301</w:t>
            </w:r>
          </w:p>
        </w:tc>
        <w:tc>
          <w:tcPr>
            <w:tcW w:w="20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城市公共设施</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rPr>
            </w:pPr>
            <w:r>
              <w:rPr>
                <w:rFonts w:hint="eastAsia" w:ascii="Times New Roman" w:hAnsi="Times New Roman" w:eastAsia="仿宋_GB2312" w:cs="Times New Roman"/>
              </w:rPr>
              <w:t>107.45</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rPr>
            </w:pPr>
            <w:r>
              <w:rPr>
                <w:rFonts w:hint="eastAsia" w:ascii="Times New Roman" w:hAnsi="Times New Roman" w:eastAsia="仿宋_GB2312" w:cs="Times New Roman"/>
              </w:rPr>
              <w:t>107.45</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2129999</w:t>
            </w:r>
          </w:p>
        </w:tc>
        <w:tc>
          <w:tcPr>
            <w:tcW w:w="20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其他城乡社区支出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rPr>
            </w:pPr>
            <w:r>
              <w:rPr>
                <w:rFonts w:hint="eastAsia" w:ascii="Times New Roman" w:hAnsi="Times New Roman" w:eastAsia="仿宋_GB2312" w:cs="Times New Roman"/>
              </w:rPr>
              <w:t>23.13</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rPr>
            </w:pPr>
            <w:r>
              <w:rPr>
                <w:rFonts w:hint="eastAsia" w:ascii="Times New Roman" w:hAnsi="Times New Roman" w:eastAsia="仿宋_GB2312" w:cs="Times New Roman"/>
              </w:rPr>
              <w:t>23.13</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2150299</w:t>
            </w:r>
          </w:p>
        </w:tc>
        <w:tc>
          <w:tcPr>
            <w:tcW w:w="20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其他制造业支出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rPr>
              <w:t>200</w:t>
            </w:r>
            <w:r>
              <w:rPr>
                <w:rFonts w:hint="eastAsia" w:ascii="Times New Roman" w:hAnsi="Times New Roman" w:eastAsia="仿宋_GB2312" w:cs="Times New Roman"/>
                <w:lang w:val="en-US" w:eastAsia="zh-CN"/>
              </w:rPr>
              <w:t>.00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rPr>
              <w:t>200</w:t>
            </w:r>
            <w:r>
              <w:rPr>
                <w:rFonts w:hint="eastAsia" w:ascii="Times New Roman" w:hAnsi="Times New Roman" w:eastAsia="仿宋_GB2312" w:cs="Times New Roman"/>
                <w:lang w:val="en-US" w:eastAsia="zh-CN"/>
              </w:rPr>
              <w:t>.00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2150899</w:t>
            </w:r>
          </w:p>
        </w:tc>
        <w:tc>
          <w:tcPr>
            <w:tcW w:w="20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其他支持中小企业发展和管理支出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rPr>
            </w:pPr>
            <w:r>
              <w:rPr>
                <w:rFonts w:hint="eastAsia" w:ascii="Times New Roman" w:hAnsi="Times New Roman" w:eastAsia="仿宋_GB2312" w:cs="Times New Roman"/>
              </w:rPr>
              <w:t>3981.64</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rPr>
            </w:pPr>
            <w:r>
              <w:rPr>
                <w:rFonts w:hint="eastAsia" w:ascii="Times New Roman" w:hAnsi="Times New Roman" w:eastAsia="仿宋_GB2312" w:cs="Times New Roman"/>
              </w:rPr>
              <w:t>3981.64</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2160299</w:t>
            </w:r>
          </w:p>
        </w:tc>
        <w:tc>
          <w:tcPr>
            <w:tcW w:w="20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其他商业流通事务支出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rPr>
              <w:t>25</w:t>
            </w:r>
            <w:r>
              <w:rPr>
                <w:rFonts w:hint="eastAsia" w:ascii="Times New Roman" w:hAnsi="Times New Roman" w:eastAsia="仿宋_GB2312" w:cs="Times New Roman"/>
                <w:lang w:val="en-US" w:eastAsia="zh-CN"/>
              </w:rPr>
              <w:t>.00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rPr>
              <w:t>25</w:t>
            </w:r>
            <w:r>
              <w:rPr>
                <w:rFonts w:hint="eastAsia" w:ascii="Times New Roman" w:hAnsi="Times New Roman" w:eastAsia="仿宋_GB2312" w:cs="Times New Roman"/>
                <w:lang w:val="en-US" w:eastAsia="zh-CN"/>
              </w:rPr>
              <w:t>.00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2290401</w:t>
            </w:r>
          </w:p>
        </w:tc>
        <w:tc>
          <w:tcPr>
            <w:tcW w:w="20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其他政府性基金安排的支出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rPr>
            </w:pPr>
            <w:r>
              <w:rPr>
                <w:rFonts w:hint="eastAsia" w:ascii="Times New Roman" w:hAnsi="Times New Roman" w:eastAsia="仿宋_GB2312" w:cs="Times New Roman"/>
              </w:rPr>
              <w:t>30.82</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rPr>
            </w:pPr>
            <w:r>
              <w:rPr>
                <w:rFonts w:hint="eastAsia" w:ascii="Times New Roman" w:hAnsi="Times New Roman" w:eastAsia="仿宋_GB2312" w:cs="Times New Roman"/>
              </w:rPr>
              <w:t>30.82</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湖南蓝山经济开发区管理委员会</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rPr>
        <w:t>单位：万元</w:t>
      </w:r>
    </w:p>
    <w:tbl>
      <w:tblPr>
        <w:tblStyle w:val="12"/>
        <w:tblW w:w="14209" w:type="dxa"/>
        <w:jc w:val="center"/>
        <w:tblInd w:w="0" w:type="dxa"/>
        <w:tblLayout w:type="fixed"/>
        <w:tblCellMar>
          <w:top w:w="0" w:type="dxa"/>
          <w:left w:w="108" w:type="dxa"/>
          <w:bottom w:w="0" w:type="dxa"/>
          <w:right w:w="108" w:type="dxa"/>
        </w:tblCellMar>
      </w:tblPr>
      <w:tblGrid>
        <w:gridCol w:w="1379"/>
        <w:gridCol w:w="2922"/>
        <w:gridCol w:w="2003"/>
        <w:gridCol w:w="1764"/>
        <w:gridCol w:w="1487"/>
        <w:gridCol w:w="1459"/>
        <w:gridCol w:w="916"/>
        <w:gridCol w:w="2279"/>
      </w:tblGrid>
      <w:tr>
        <w:tblPrEx>
          <w:tblLayout w:type="fixed"/>
          <w:tblCellMar>
            <w:top w:w="0" w:type="dxa"/>
            <w:left w:w="108" w:type="dxa"/>
            <w:bottom w:w="0" w:type="dxa"/>
            <w:right w:w="108" w:type="dxa"/>
          </w:tblCellMar>
        </w:tblPrEx>
        <w:trPr>
          <w:trHeight w:val="595" w:hRule="atLeast"/>
          <w:jc w:val="center"/>
        </w:trPr>
        <w:tc>
          <w:tcPr>
            <w:tcW w:w="430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200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76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48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45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91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2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13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292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20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4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2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92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0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4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2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430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200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76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8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459"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9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279"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595" w:hRule="atLeast"/>
          <w:jc w:val="center"/>
        </w:trPr>
        <w:tc>
          <w:tcPr>
            <w:tcW w:w="430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200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8120.97</w:t>
            </w:r>
            <w:r>
              <w:rPr>
                <w:rFonts w:ascii="Times New Roman" w:hAnsi="Times New Roman" w:eastAsia="仿宋_GB2312" w:cs="Times New Roman"/>
                <w:kern w:val="0"/>
                <w:sz w:val="24"/>
                <w:szCs w:val="24"/>
              </w:rPr>
              <w:t>　</w:t>
            </w:r>
          </w:p>
        </w:tc>
        <w:tc>
          <w:tcPr>
            <w:tcW w:w="176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624.59</w:t>
            </w:r>
            <w:r>
              <w:rPr>
                <w:rFonts w:ascii="Times New Roman" w:hAnsi="Times New Roman" w:eastAsia="仿宋_GB2312" w:cs="Times New Roman"/>
                <w:kern w:val="0"/>
                <w:sz w:val="24"/>
                <w:szCs w:val="24"/>
              </w:rPr>
              <w:t>　</w:t>
            </w:r>
          </w:p>
        </w:tc>
        <w:tc>
          <w:tcPr>
            <w:tcW w:w="148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7496.38</w:t>
            </w:r>
            <w:r>
              <w:rPr>
                <w:rFonts w:ascii="Times New Roman" w:hAnsi="Times New Roman" w:eastAsia="仿宋_GB2312" w:cs="Times New Roman"/>
                <w:kern w:val="0"/>
                <w:sz w:val="24"/>
                <w:szCs w:val="24"/>
              </w:rPr>
              <w:t>　</w:t>
            </w:r>
          </w:p>
        </w:tc>
        <w:tc>
          <w:tcPr>
            <w:tcW w:w="145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7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37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2010301</w:t>
            </w:r>
          </w:p>
        </w:tc>
        <w:tc>
          <w:tcPr>
            <w:tcW w:w="2922"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200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553.71</w:t>
            </w:r>
            <w:r>
              <w:rPr>
                <w:rFonts w:ascii="Times New Roman" w:hAnsi="Times New Roman" w:eastAsia="仿宋_GB2312" w:cs="Times New Roman"/>
              </w:rPr>
              <w:t>　</w:t>
            </w:r>
          </w:p>
        </w:tc>
        <w:tc>
          <w:tcPr>
            <w:tcW w:w="176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553.71</w:t>
            </w:r>
            <w:r>
              <w:rPr>
                <w:rFonts w:ascii="Times New Roman" w:hAnsi="Times New Roman" w:eastAsia="仿宋_GB2312" w:cs="Times New Roman"/>
                <w:kern w:val="0"/>
                <w:sz w:val="24"/>
                <w:szCs w:val="24"/>
              </w:rPr>
              <w:t>　</w:t>
            </w:r>
          </w:p>
        </w:tc>
        <w:tc>
          <w:tcPr>
            <w:tcW w:w="148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5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7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37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2010302</w:t>
            </w:r>
          </w:p>
        </w:tc>
        <w:tc>
          <w:tcPr>
            <w:tcW w:w="2922"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一般行政管理事务</w:t>
            </w:r>
          </w:p>
        </w:tc>
        <w:tc>
          <w:tcPr>
            <w:tcW w:w="200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15.17</w:t>
            </w:r>
            <w:r>
              <w:rPr>
                <w:rFonts w:ascii="Times New Roman" w:hAnsi="Times New Roman" w:eastAsia="仿宋_GB2312" w:cs="Times New Roman"/>
              </w:rPr>
              <w:t>　</w:t>
            </w:r>
          </w:p>
        </w:tc>
        <w:tc>
          <w:tcPr>
            <w:tcW w:w="176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8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15.17</w:t>
            </w:r>
            <w:r>
              <w:rPr>
                <w:rFonts w:ascii="Times New Roman" w:hAnsi="Times New Roman" w:eastAsia="仿宋_GB2312" w:cs="Times New Roman"/>
                <w:kern w:val="0"/>
                <w:sz w:val="24"/>
                <w:szCs w:val="24"/>
              </w:rPr>
              <w:t>　</w:t>
            </w:r>
          </w:p>
        </w:tc>
        <w:tc>
          <w:tcPr>
            <w:tcW w:w="145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7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37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2019999</w:t>
            </w:r>
          </w:p>
        </w:tc>
        <w:tc>
          <w:tcPr>
            <w:tcW w:w="2922"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其他一般公共服务支出</w:t>
            </w:r>
          </w:p>
        </w:tc>
        <w:tc>
          <w:tcPr>
            <w:tcW w:w="200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116.61</w:t>
            </w:r>
            <w:r>
              <w:rPr>
                <w:rFonts w:ascii="Times New Roman" w:hAnsi="Times New Roman" w:eastAsia="仿宋_GB2312" w:cs="Times New Roman"/>
              </w:rPr>
              <w:t>　</w:t>
            </w:r>
          </w:p>
        </w:tc>
        <w:tc>
          <w:tcPr>
            <w:tcW w:w="176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2.72</w:t>
            </w:r>
            <w:r>
              <w:rPr>
                <w:rFonts w:ascii="Times New Roman" w:hAnsi="Times New Roman" w:eastAsia="仿宋_GB2312" w:cs="Times New Roman"/>
                <w:kern w:val="0"/>
                <w:sz w:val="24"/>
                <w:szCs w:val="24"/>
              </w:rPr>
              <w:t>　</w:t>
            </w:r>
          </w:p>
        </w:tc>
        <w:tc>
          <w:tcPr>
            <w:tcW w:w="148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113.89</w:t>
            </w:r>
            <w:r>
              <w:rPr>
                <w:rFonts w:ascii="Times New Roman" w:hAnsi="Times New Roman" w:eastAsia="仿宋_GB2312" w:cs="Times New Roman"/>
                <w:kern w:val="0"/>
                <w:sz w:val="24"/>
                <w:szCs w:val="24"/>
              </w:rPr>
              <w:t>　</w:t>
            </w:r>
          </w:p>
        </w:tc>
        <w:tc>
          <w:tcPr>
            <w:tcW w:w="145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7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37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2069999</w:t>
            </w:r>
          </w:p>
        </w:tc>
        <w:tc>
          <w:tcPr>
            <w:tcW w:w="2922"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其他科学技术支出</w:t>
            </w:r>
          </w:p>
        </w:tc>
        <w:tc>
          <w:tcPr>
            <w:tcW w:w="200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2550.91</w:t>
            </w:r>
            <w:r>
              <w:rPr>
                <w:rFonts w:ascii="Times New Roman" w:hAnsi="Times New Roman" w:eastAsia="仿宋_GB2312" w:cs="Times New Roman"/>
              </w:rPr>
              <w:t>　</w:t>
            </w:r>
          </w:p>
        </w:tc>
        <w:tc>
          <w:tcPr>
            <w:tcW w:w="176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8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2550.91</w:t>
            </w:r>
            <w:r>
              <w:rPr>
                <w:rFonts w:ascii="Times New Roman" w:hAnsi="Times New Roman" w:eastAsia="仿宋_GB2312" w:cs="Times New Roman"/>
                <w:kern w:val="0"/>
                <w:sz w:val="24"/>
                <w:szCs w:val="24"/>
              </w:rPr>
              <w:t>　</w:t>
            </w:r>
          </w:p>
        </w:tc>
        <w:tc>
          <w:tcPr>
            <w:tcW w:w="145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7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37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2080505</w:t>
            </w:r>
          </w:p>
        </w:tc>
        <w:tc>
          <w:tcPr>
            <w:tcW w:w="2922"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200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49.15</w:t>
            </w:r>
            <w:r>
              <w:rPr>
                <w:rFonts w:ascii="Times New Roman" w:hAnsi="Times New Roman" w:eastAsia="仿宋_GB2312" w:cs="Times New Roman"/>
              </w:rPr>
              <w:t>　</w:t>
            </w:r>
          </w:p>
        </w:tc>
        <w:tc>
          <w:tcPr>
            <w:tcW w:w="176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49.15</w:t>
            </w:r>
            <w:r>
              <w:rPr>
                <w:rFonts w:ascii="Times New Roman" w:hAnsi="Times New Roman" w:eastAsia="仿宋_GB2312" w:cs="Times New Roman"/>
                <w:kern w:val="0"/>
                <w:sz w:val="24"/>
                <w:szCs w:val="24"/>
              </w:rPr>
              <w:t>　</w:t>
            </w:r>
          </w:p>
        </w:tc>
        <w:tc>
          <w:tcPr>
            <w:tcW w:w="148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5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7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37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2080599</w:t>
            </w:r>
          </w:p>
        </w:tc>
        <w:tc>
          <w:tcPr>
            <w:tcW w:w="2922"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其他行政事业单位养老支出</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4.5</w:t>
            </w:r>
            <w:r>
              <w:rPr>
                <w:rFonts w:ascii="Times New Roman" w:hAnsi="Times New Roman" w:eastAsia="仿宋_GB2312" w:cs="Times New Roman"/>
              </w:rPr>
              <w:t>　</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4.5</w:t>
            </w:r>
            <w:r>
              <w:rPr>
                <w:rFonts w:ascii="Times New Roman" w:hAnsi="Times New Roman" w:eastAsia="仿宋_GB2312" w:cs="Times New Roman"/>
                <w:kern w:val="0"/>
                <w:sz w:val="24"/>
                <w:szCs w:val="24"/>
              </w:rPr>
              <w:t>　</w:t>
            </w: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37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2080801</w:t>
            </w:r>
          </w:p>
        </w:tc>
        <w:tc>
          <w:tcPr>
            <w:tcW w:w="2922"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0.86</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0.86</w:t>
            </w: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37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2080802</w:t>
            </w:r>
          </w:p>
        </w:tc>
        <w:tc>
          <w:tcPr>
            <w:tcW w:w="2922"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伤残抚恤</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0.57</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0.57</w:t>
            </w: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37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2101101</w:t>
            </w:r>
          </w:p>
        </w:tc>
        <w:tc>
          <w:tcPr>
            <w:tcW w:w="2922"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行政单位医疗</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13.08</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13.08</w:t>
            </w: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37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2120303</w:t>
            </w:r>
          </w:p>
        </w:tc>
        <w:tc>
          <w:tcPr>
            <w:tcW w:w="2922"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小城镇基础设施建设</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391.57</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391.57</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37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2120899</w:t>
            </w:r>
          </w:p>
        </w:tc>
        <w:tc>
          <w:tcPr>
            <w:tcW w:w="2922"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其他国有土地使用权出让收入安排的支出</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56.8</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56.8</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37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2121301</w:t>
            </w:r>
          </w:p>
        </w:tc>
        <w:tc>
          <w:tcPr>
            <w:tcW w:w="2922"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城市公共设施</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107.45</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107.45</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37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2129999</w:t>
            </w:r>
          </w:p>
        </w:tc>
        <w:tc>
          <w:tcPr>
            <w:tcW w:w="2922"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其他城乡社区支出</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23.13</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23.13</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37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2150299</w:t>
            </w:r>
          </w:p>
        </w:tc>
        <w:tc>
          <w:tcPr>
            <w:tcW w:w="2922"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其他制造业支出</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200</w:t>
            </w:r>
            <w:r>
              <w:rPr>
                <w:rFonts w:hint="eastAsia" w:ascii="Times New Roman" w:hAnsi="Times New Roman" w:eastAsia="仿宋_GB2312" w:cs="Times New Roman"/>
                <w:lang w:val="en-US" w:eastAsia="zh-CN"/>
              </w:rPr>
              <w:t>.00</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200.00</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37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2150899</w:t>
            </w:r>
          </w:p>
        </w:tc>
        <w:tc>
          <w:tcPr>
            <w:tcW w:w="2922"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其他支持中小企业发展和管理支出</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3981.64</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3981.64</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37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2160299</w:t>
            </w:r>
          </w:p>
        </w:tc>
        <w:tc>
          <w:tcPr>
            <w:tcW w:w="2922"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其他商业流通事务支出</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25</w:t>
            </w:r>
            <w:r>
              <w:rPr>
                <w:rFonts w:hint="eastAsia" w:ascii="Times New Roman" w:hAnsi="Times New Roman" w:eastAsia="仿宋_GB2312" w:cs="Times New Roman"/>
                <w:lang w:val="en-US" w:eastAsia="zh-CN"/>
              </w:rPr>
              <w:t>.00</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25.00</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37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2290401</w:t>
            </w:r>
          </w:p>
        </w:tc>
        <w:tc>
          <w:tcPr>
            <w:tcW w:w="2922"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其他政府性基金安排的支出</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30.82</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30.82</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湖南蓝山经济开发区管理委员会</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12"/>
        <w:tblW w:w="14220" w:type="dxa"/>
        <w:jc w:val="center"/>
        <w:tblInd w:w="0" w:type="dxa"/>
        <w:tblLayout w:type="fixed"/>
        <w:tblCellMar>
          <w:top w:w="0" w:type="dxa"/>
          <w:left w:w="108" w:type="dxa"/>
          <w:bottom w:w="0" w:type="dxa"/>
          <w:right w:w="108" w:type="dxa"/>
        </w:tblCellMar>
      </w:tblPr>
      <w:tblGrid>
        <w:gridCol w:w="3516"/>
        <w:gridCol w:w="616"/>
        <w:gridCol w:w="931"/>
        <w:gridCol w:w="3309"/>
        <w:gridCol w:w="616"/>
        <w:gridCol w:w="931"/>
        <w:gridCol w:w="1560"/>
        <w:gridCol w:w="1548"/>
        <w:gridCol w:w="1193"/>
      </w:tblGrid>
      <w:tr>
        <w:tblPrEx>
          <w:tblLayout w:type="fixed"/>
          <w:tblCellMar>
            <w:top w:w="0" w:type="dxa"/>
            <w:left w:w="108" w:type="dxa"/>
            <w:bottom w:w="0" w:type="dxa"/>
            <w:right w:w="108" w:type="dxa"/>
          </w:tblCellMar>
        </w:tblPrEx>
        <w:trPr>
          <w:trHeight w:val="402" w:hRule="atLeast"/>
          <w:jc w:val="center"/>
        </w:trPr>
        <w:tc>
          <w:tcPr>
            <w:tcW w:w="50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15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3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1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3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1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931"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7925.89</w:t>
            </w:r>
          </w:p>
        </w:tc>
        <w:tc>
          <w:tcPr>
            <w:tcW w:w="3309" w:type="dxa"/>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931"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685.49</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color w:val="000000"/>
                <w:sz w:val="22"/>
                <w:lang w:val="en-US" w:eastAsia="zh-CN"/>
              </w:rPr>
              <w:t>685.49</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931"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195.07</w:t>
            </w:r>
          </w:p>
        </w:tc>
        <w:tc>
          <w:tcPr>
            <w:tcW w:w="3309" w:type="dxa"/>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93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2"/>
                <w:sz w:val="22"/>
                <w:szCs w:val="22"/>
                <w:lang w:val="en-US" w:eastAsia="zh-CN" w:bidi="ar-SA"/>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09" w:type="dxa"/>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93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2"/>
                <w:sz w:val="22"/>
                <w:szCs w:val="22"/>
                <w:lang w:val="en-US" w:eastAsia="zh-CN" w:bidi="ar-SA"/>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09" w:type="dxa"/>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93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2"/>
                <w:sz w:val="22"/>
                <w:szCs w:val="22"/>
                <w:lang w:val="en-US" w:eastAsia="zh-CN" w:bidi="ar-SA"/>
              </w:rPr>
            </w:pP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09" w:type="dxa"/>
            <w:tcBorders>
              <w:top w:val="nil"/>
              <w:left w:val="nil"/>
              <w:bottom w:val="single" w:color="auto" w:sz="4" w:space="0"/>
              <w:right w:val="single" w:color="auto" w:sz="4" w:space="0"/>
            </w:tcBorders>
            <w:shd w:val="clear" w:color="auto" w:fill="FFFFFF"/>
            <w:vAlign w:val="center"/>
          </w:tcPr>
          <w:p>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六、科学技术支出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931"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2550.91</w:t>
            </w:r>
          </w:p>
        </w:tc>
        <w:tc>
          <w:tcPr>
            <w:tcW w:w="1560"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2550.91</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09"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0"/>
                <w:sz w:val="24"/>
                <w:szCs w:val="24"/>
                <w:lang w:bidi="ar"/>
              </w:rPr>
              <w:t>八、社会保障和就业支出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931"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55.08</w:t>
            </w:r>
          </w:p>
        </w:tc>
        <w:tc>
          <w:tcPr>
            <w:tcW w:w="1560"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55.08</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09"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九、卫生健康支出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931"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13.08</w:t>
            </w:r>
          </w:p>
        </w:tc>
        <w:tc>
          <w:tcPr>
            <w:tcW w:w="1560"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13.08</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93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09" w:type="dxa"/>
            <w:tcBorders>
              <w:top w:val="nil"/>
              <w:left w:val="nil"/>
              <w:bottom w:val="single" w:color="auto" w:sz="4" w:space="0"/>
              <w:right w:val="single" w:color="auto" w:sz="4" w:space="0"/>
            </w:tcBorders>
            <w:shd w:val="clear" w:color="auto" w:fill="auto"/>
            <w:vAlign w:val="center"/>
          </w:tcPr>
          <w:p>
            <w:pPr>
              <w:jc w:val="both"/>
              <w:rPr>
                <w:rFonts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十一、城乡社区支出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931"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578.95</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414.70</w:t>
            </w:r>
            <w:r>
              <w:rPr>
                <w:rFonts w:ascii="Times New Roman" w:hAnsi="Times New Roman" w:eastAsia="仿宋_GB2312" w:cs="Times New Roman"/>
                <w:kern w:val="0"/>
                <w:sz w:val="22"/>
              </w:rPr>
              <w:t>　</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164.25</w:t>
            </w:r>
          </w:p>
        </w:tc>
        <w:tc>
          <w:tcPr>
            <w:tcW w:w="11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8120.97</w:t>
            </w:r>
            <w:r>
              <w:rPr>
                <w:rFonts w:ascii="Times New Roman" w:hAnsi="Times New Roman" w:eastAsia="仿宋_GB2312" w:cs="Times New Roman"/>
                <w:kern w:val="0"/>
                <w:sz w:val="22"/>
              </w:rPr>
              <w:t>　</w:t>
            </w:r>
          </w:p>
        </w:tc>
        <w:tc>
          <w:tcPr>
            <w:tcW w:w="3309" w:type="dxa"/>
            <w:tcBorders>
              <w:top w:val="nil"/>
              <w:left w:val="nil"/>
              <w:bottom w:val="single" w:color="auto" w:sz="4" w:space="0"/>
              <w:right w:val="single" w:color="auto" w:sz="4" w:space="0"/>
            </w:tcBorders>
            <w:shd w:val="clear" w:color="auto" w:fill="auto"/>
            <w:vAlign w:val="center"/>
          </w:tcPr>
          <w:p>
            <w:pPr>
              <w:widowControl/>
              <w:jc w:val="both"/>
              <w:textAlignment w:val="center"/>
              <w:rPr>
                <w:rFonts w:ascii="Times New Roman" w:hAnsi="Times New Roman" w:eastAsia="仿宋_GB2312" w:cs="Times New Roman"/>
                <w:b/>
                <w:color w:val="000000"/>
                <w:kern w:val="2"/>
                <w:sz w:val="22"/>
                <w:szCs w:val="22"/>
                <w:lang w:val="en-US" w:eastAsia="zh-CN" w:bidi="ar-SA"/>
              </w:rPr>
            </w:pPr>
            <w:r>
              <w:rPr>
                <w:rFonts w:hint="eastAsia" w:ascii="Times New Roman" w:hAnsi="Times New Roman" w:eastAsia="仿宋_GB2312" w:cs="Times New Roman"/>
                <w:b/>
                <w:color w:val="000000"/>
                <w:sz w:val="22"/>
              </w:rPr>
              <w:t>十四、资源勘探工业信息等支出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931"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4181.64</w:t>
            </w:r>
          </w:p>
        </w:tc>
        <w:tc>
          <w:tcPr>
            <w:tcW w:w="1560"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4181.64</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09"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十五、商业服务业等支出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931"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25</w:t>
            </w:r>
          </w:p>
        </w:tc>
        <w:tc>
          <w:tcPr>
            <w:tcW w:w="1560"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25</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09"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二十三、其他支出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931"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30.82</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30.82</w:t>
            </w:r>
            <w:r>
              <w:rPr>
                <w:rFonts w:ascii="Times New Roman" w:hAnsi="Times New Roman" w:eastAsia="仿宋_GB2312" w:cs="Times New Roman"/>
                <w:kern w:val="0"/>
                <w:sz w:val="22"/>
              </w:rPr>
              <w:t>　</w:t>
            </w:r>
          </w:p>
        </w:tc>
        <w:tc>
          <w:tcPr>
            <w:tcW w:w="11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szCs w:val="22"/>
                <w:lang w:val="en-US" w:eastAsia="zh-CN" w:bidi="ar-SA"/>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8120.97</w:t>
            </w:r>
            <w:r>
              <w:rPr>
                <w:rFonts w:ascii="Times New Roman" w:hAnsi="Times New Roman" w:eastAsia="仿宋_GB2312" w:cs="Times New Roman"/>
                <w:kern w:val="0"/>
                <w:sz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7925.89</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195.07</w:t>
            </w:r>
          </w:p>
        </w:tc>
        <w:tc>
          <w:tcPr>
            <w:tcW w:w="11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8120.97</w:t>
            </w:r>
            <w:r>
              <w:rPr>
                <w:rFonts w:ascii="Times New Roman" w:hAnsi="Times New Roman" w:eastAsia="仿宋_GB2312" w:cs="Times New Roman"/>
                <w:kern w:val="0"/>
                <w:sz w:val="22"/>
              </w:rPr>
              <w:t>　</w:t>
            </w:r>
          </w:p>
        </w:tc>
        <w:tc>
          <w:tcPr>
            <w:tcW w:w="3309"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93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8120.97</w:t>
            </w:r>
            <w:r>
              <w:rPr>
                <w:rFonts w:ascii="Times New Roman" w:hAnsi="Times New Roman" w:eastAsia="仿宋_GB2312" w:cs="Times New Roman"/>
                <w:kern w:val="0"/>
                <w:sz w:val="22"/>
              </w:rPr>
              <w:t>　</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4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1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bidi="ar"/>
        </w:rPr>
        <w:t>湖南蓝山经济开发区管理委员会</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2"/>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7925.89</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624.59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7301.31</w:t>
            </w: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2010301</w:t>
            </w:r>
          </w:p>
        </w:tc>
        <w:tc>
          <w:tcPr>
            <w:tcW w:w="3527"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553.71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553.71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2010302</w:t>
            </w:r>
          </w:p>
        </w:tc>
        <w:tc>
          <w:tcPr>
            <w:tcW w:w="3527"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15.17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15.17</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2019999</w:t>
            </w:r>
          </w:p>
        </w:tc>
        <w:tc>
          <w:tcPr>
            <w:tcW w:w="3527"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116.61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2.72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113.89</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2069999</w:t>
            </w:r>
          </w:p>
        </w:tc>
        <w:tc>
          <w:tcPr>
            <w:tcW w:w="3527"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其他科学技术支出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2550.91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2550.91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2080505</w:t>
            </w:r>
          </w:p>
        </w:tc>
        <w:tc>
          <w:tcPr>
            <w:tcW w:w="3527"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49.15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49.15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2080599</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2080801</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0.86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0.86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2080802</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伤残抚恤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0.57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0.57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2101101</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13.08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13.08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2120303</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小城镇基础设施建设</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391.57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391.57</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2129999</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其他城乡社区支出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23.13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23.13</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2150299</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其他制造业支出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200</w:t>
            </w:r>
            <w:r>
              <w:rPr>
                <w:rFonts w:hint="eastAsia" w:ascii="Times New Roman" w:hAnsi="Times New Roman" w:eastAsia="仿宋_GB2312" w:cs="Times New Roman"/>
                <w:kern w:val="0"/>
                <w:szCs w:val="21"/>
                <w:lang w:val="en-US" w:eastAsia="zh-CN"/>
              </w:rPr>
              <w:t>.00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200</w:t>
            </w:r>
            <w:r>
              <w:rPr>
                <w:rFonts w:hint="eastAsia" w:ascii="Times New Roman" w:hAnsi="Times New Roman" w:eastAsia="仿宋_GB2312" w:cs="Times New Roman"/>
                <w:kern w:val="0"/>
                <w:szCs w:val="21"/>
                <w:lang w:val="en-US" w:eastAsia="zh-CN"/>
              </w:rPr>
              <w:t>.00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2150899</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其他支持中小企业发展和管理支出</w:t>
            </w:r>
          </w:p>
        </w:tc>
        <w:tc>
          <w:tcPr>
            <w:tcW w:w="3000"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3981.64</w:t>
            </w:r>
          </w:p>
        </w:tc>
        <w:tc>
          <w:tcPr>
            <w:tcW w:w="3492"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3981.64</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2160299</w:t>
            </w:r>
          </w:p>
        </w:tc>
        <w:tc>
          <w:tcPr>
            <w:tcW w:w="352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其他商业流通事务支出</w:t>
            </w:r>
          </w:p>
        </w:tc>
        <w:tc>
          <w:tcPr>
            <w:tcW w:w="3000" w:type="dxa"/>
            <w:tcBorders>
              <w:top w:val="single" w:color="auto" w:sz="4" w:space="0"/>
              <w:left w:val="single" w:color="auto" w:sz="4" w:space="0"/>
              <w:bottom w:val="single" w:color="auto" w:sz="4" w:space="0"/>
              <w:right w:val="single" w:color="auto" w:sz="4" w:space="0"/>
            </w:tcBorders>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25</w:t>
            </w:r>
            <w:r>
              <w:rPr>
                <w:rFonts w:hint="eastAsia" w:ascii="Times New Roman" w:hAnsi="Times New Roman" w:eastAsia="仿宋_GB2312" w:cs="Times New Roman"/>
                <w:kern w:val="0"/>
                <w:szCs w:val="21"/>
                <w:lang w:val="en-US" w:eastAsia="zh-CN"/>
              </w:rPr>
              <w:t>.00</w:t>
            </w:r>
          </w:p>
        </w:tc>
        <w:tc>
          <w:tcPr>
            <w:tcW w:w="3492"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25</w:t>
            </w:r>
            <w:r>
              <w:rPr>
                <w:rFonts w:hint="eastAsia" w:ascii="Times New Roman" w:hAnsi="Times New Roman" w:eastAsia="仿宋_GB2312" w:cs="Times New Roman"/>
                <w:kern w:val="0"/>
                <w:szCs w:val="21"/>
                <w:lang w:val="en-US" w:eastAsia="zh-CN"/>
              </w:rPr>
              <w:t>.00</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bidi="ar"/>
        </w:rPr>
        <w:t>湖南蓝山经济开发区管理委员会</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Cs w:val="21"/>
        </w:rPr>
        <w:t>单位：万元</w:t>
      </w:r>
    </w:p>
    <w:tbl>
      <w:tblPr>
        <w:tblStyle w:val="12"/>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527.13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91.15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111.40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4.11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73.94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152.70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6.22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17.93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75.67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2.11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12.22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25.67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8.45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3.55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32.68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16.47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6.31</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0.81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4.98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15.34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13.98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Layout w:type="fixed"/>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24.64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15.37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533.44</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91.15</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湖南蓝山经济开发区管理委员会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326" w:type="dxa"/>
        <w:jc w:val="center"/>
        <w:tblInd w:w="0" w:type="dxa"/>
        <w:tblLayout w:type="fixed"/>
        <w:tblCellMar>
          <w:top w:w="0" w:type="dxa"/>
          <w:left w:w="108" w:type="dxa"/>
          <w:bottom w:w="0" w:type="dxa"/>
          <w:right w:w="108" w:type="dxa"/>
        </w:tblCellMar>
      </w:tblPr>
      <w:tblGrid>
        <w:gridCol w:w="1031"/>
        <w:gridCol w:w="2068"/>
        <w:gridCol w:w="1593"/>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3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Layout w:type="fixed"/>
          <w:tblCellMar>
            <w:top w:w="0" w:type="dxa"/>
            <w:left w:w="108" w:type="dxa"/>
            <w:bottom w:w="0" w:type="dxa"/>
            <w:right w:w="108" w:type="dxa"/>
          </w:tblCellMar>
        </w:tblPrEx>
        <w:trPr>
          <w:trHeight w:val="312" w:hRule="exact"/>
          <w:jc w:val="center"/>
        </w:trPr>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2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2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2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3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Layout w:type="fixed"/>
          <w:tblCellMar>
            <w:top w:w="0" w:type="dxa"/>
            <w:left w:w="108" w:type="dxa"/>
            <w:bottom w:w="0" w:type="dxa"/>
            <w:right w:w="108" w:type="dxa"/>
          </w:tblCellMar>
        </w:tblPrEx>
        <w:trPr>
          <w:trHeight w:val="509" w:hRule="atLeast"/>
          <w:jc w:val="center"/>
        </w:trPr>
        <w:tc>
          <w:tcPr>
            <w:tcW w:w="3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195.07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195.07</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195.07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2120899</w:t>
            </w:r>
          </w:p>
        </w:tc>
        <w:tc>
          <w:tcPr>
            <w:tcW w:w="20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其他国有土地使用权出让收入安排的支出</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rPr>
              <w:t>56.8</w:t>
            </w: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56.8</w:t>
            </w: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56.8</w:t>
            </w: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2121301</w:t>
            </w:r>
          </w:p>
        </w:tc>
        <w:tc>
          <w:tcPr>
            <w:tcW w:w="20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城市公共设施</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107.45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107.45</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107.45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2290401</w:t>
            </w:r>
          </w:p>
        </w:tc>
        <w:tc>
          <w:tcPr>
            <w:tcW w:w="206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其他政府性基金安排的支出</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30.82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30.82</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30.82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湖南蓝山经济开发区管理委员会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无</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9"/>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kern w:val="0"/>
          <w:sz w:val="20"/>
          <w:szCs w:val="20"/>
          <w:lang w:bidi="ar"/>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湖南蓝山经济开发区管理委员会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tbl>
      <w:tblPr>
        <w:tblStyle w:val="12"/>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0.46</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snapToGrid w:val="0"/>
        <w:spacing w:line="520" w:lineRule="exact"/>
        <w:ind w:firstLine="640" w:firstLineChars="200"/>
        <w:rPr>
          <w:rFonts w:hint="eastAsia" w:ascii="仿宋_GB2312" w:hAnsi="仿宋" w:eastAsia="仿宋_GB2312"/>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8120.97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6706.59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474.17</w:t>
      </w:r>
      <w:r>
        <w:rPr>
          <w:rFonts w:ascii="Times New Roman" w:hAnsi="Times New Roman" w:eastAsia="仿宋_GB2312" w:cs="Times New Roman"/>
          <w:sz w:val="32"/>
          <w:szCs w:val="32"/>
        </w:rPr>
        <w:t>%，主要是因为</w:t>
      </w:r>
      <w:r>
        <w:rPr>
          <w:rFonts w:hint="eastAsia" w:ascii="仿宋_GB2312" w:hAnsi="仿宋" w:eastAsia="仿宋_GB2312"/>
          <w:sz w:val="32"/>
          <w:szCs w:val="32"/>
          <w:lang w:val="en-US" w:eastAsia="zh-CN"/>
        </w:rPr>
        <w:t>2</w:t>
      </w:r>
      <w:r>
        <w:rPr>
          <w:rFonts w:hint="eastAsia" w:ascii="仿宋_GB2312" w:hAnsi="仿宋" w:eastAsia="仿宋_GB2312" w:cs="Times New Roman"/>
          <w:sz w:val="32"/>
          <w:szCs w:val="32"/>
          <w:lang w:val="en-US" w:eastAsia="zh-CN"/>
        </w:rPr>
        <w:t>024年度企业优惠政策补贴有所增加及增加了一笔税金及附加费用，</w:t>
      </w:r>
      <w:r>
        <w:rPr>
          <w:rFonts w:hint="eastAsia" w:ascii="仿宋_GB2312" w:hAnsi="仿宋" w:eastAsia="仿宋_GB2312"/>
          <w:sz w:val="32"/>
          <w:szCs w:val="32"/>
          <w:lang w:eastAsia="zh-CN"/>
        </w:rPr>
        <w:t>如</w:t>
      </w:r>
      <w:r>
        <w:rPr>
          <w:rFonts w:hint="eastAsia" w:ascii="仿宋_GB2312" w:hAnsi="仿宋" w:eastAsia="仿宋_GB2312"/>
          <w:sz w:val="32"/>
          <w:szCs w:val="32"/>
          <w:lang w:val="en-US" w:eastAsia="zh-CN"/>
        </w:rPr>
        <w:t>2024年兑现了：1.2023年第四批先进制造业高地建设专项资金（蓝山县皮具玩具产业发展促进中心）200万元；2.五里坪村预留用地项目资金437.99万元；3.蓝山鑫永源实业有限公司政策兑现建设补贴资金1366.05万元；4.湖南奥迪拉科技有限公司优惠兑现产业扶持专项资金1474.42万元；5.湖南飞腾家居有限公司优惠兑现产业扶持专项资金699.15万元；6.园区建设项目税费2550.91万元。机关运行经费较上年减少了</w:t>
      </w:r>
      <w:r>
        <w:rPr>
          <w:rFonts w:hint="eastAsia" w:ascii="仿宋_GB2312" w:hAnsi="仿宋" w:eastAsia="仿宋_GB2312"/>
          <w:color w:val="auto"/>
          <w:sz w:val="32"/>
          <w:szCs w:val="32"/>
          <w:lang w:val="en-US" w:eastAsia="zh-CN"/>
        </w:rPr>
        <w:t>20.46</w:t>
      </w:r>
      <w:r>
        <w:rPr>
          <w:rFonts w:hint="eastAsia" w:ascii="仿宋_GB2312" w:hAnsi="仿宋" w:eastAsia="仿宋_GB2312"/>
          <w:sz w:val="32"/>
          <w:szCs w:val="32"/>
          <w:lang w:val="en-US" w:eastAsia="zh-CN"/>
        </w:rPr>
        <w:t>万元，主要是厉行节俭，节约开支。</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8120.97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8120.97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8120.97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624.59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7.69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7496.38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92.31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snapToGrid w:val="0"/>
        <w:spacing w:line="520" w:lineRule="exact"/>
        <w:ind w:firstLine="640" w:firstLineChars="200"/>
        <w:rPr>
          <w:rFonts w:hint="eastAsia" w:ascii="仿宋_GB2312" w:hAnsi="仿宋" w:eastAsia="仿宋_GB2312"/>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8120.97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6706.59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474.17</w:t>
      </w:r>
      <w:r>
        <w:rPr>
          <w:rFonts w:ascii="Times New Roman" w:hAnsi="Times New Roman" w:eastAsia="仿宋_GB2312" w:cs="Times New Roman"/>
          <w:sz w:val="32"/>
          <w:szCs w:val="32"/>
        </w:rPr>
        <w:t>%，主要是因为主要是因为</w:t>
      </w:r>
      <w:r>
        <w:rPr>
          <w:rFonts w:hint="eastAsia" w:ascii="仿宋_GB2312" w:hAnsi="仿宋" w:eastAsia="仿宋_GB2312"/>
          <w:sz w:val="32"/>
          <w:szCs w:val="32"/>
          <w:lang w:val="en-US" w:eastAsia="zh-CN"/>
        </w:rPr>
        <w:t>2</w:t>
      </w:r>
      <w:r>
        <w:rPr>
          <w:rFonts w:hint="eastAsia" w:ascii="仿宋_GB2312" w:hAnsi="仿宋" w:eastAsia="仿宋_GB2312" w:cs="Times New Roman"/>
          <w:sz w:val="32"/>
          <w:szCs w:val="32"/>
          <w:lang w:val="en-US" w:eastAsia="zh-CN"/>
        </w:rPr>
        <w:t>024年度企业优惠政策补贴有所增加及增加了一笔税金及附加费用，</w:t>
      </w:r>
      <w:r>
        <w:rPr>
          <w:rFonts w:hint="eastAsia" w:ascii="仿宋_GB2312" w:hAnsi="仿宋" w:eastAsia="仿宋_GB2312"/>
          <w:sz w:val="32"/>
          <w:szCs w:val="32"/>
          <w:lang w:eastAsia="zh-CN"/>
        </w:rPr>
        <w:t>如</w:t>
      </w:r>
      <w:r>
        <w:rPr>
          <w:rFonts w:hint="eastAsia" w:ascii="仿宋_GB2312" w:hAnsi="仿宋" w:eastAsia="仿宋_GB2312"/>
          <w:sz w:val="32"/>
          <w:szCs w:val="32"/>
          <w:lang w:val="en-US" w:eastAsia="zh-CN"/>
        </w:rPr>
        <w:t>2024年兑现了：1.2023年第四批先进制造业高地建设专项资金（蓝山县皮具玩具产业发展促进中心）200万元；2.五里坪村预留用地项目资金437.99万元；3.蓝山鑫永源实业有限公司政策兑现建设补贴资金1366.05万元；4.湖南奥迪拉科技有限公司优惠兑现产业扶持专项资金1474.42万元；5.湖南飞腾家居有限公司优惠兑现产业扶持专项资金699.15万元；6.园区建设项目税费2550.91万元。机关运行经费较上年减少了</w:t>
      </w:r>
      <w:r>
        <w:rPr>
          <w:rFonts w:hint="eastAsia" w:ascii="仿宋_GB2312" w:hAnsi="仿宋" w:eastAsia="仿宋_GB2312"/>
          <w:color w:val="auto"/>
          <w:sz w:val="32"/>
          <w:szCs w:val="32"/>
          <w:lang w:val="en-US" w:eastAsia="zh-CN"/>
        </w:rPr>
        <w:t>20.46</w:t>
      </w:r>
      <w:r>
        <w:rPr>
          <w:rFonts w:hint="eastAsia" w:ascii="仿宋_GB2312" w:hAnsi="仿宋" w:eastAsia="仿宋_GB2312"/>
          <w:sz w:val="32"/>
          <w:szCs w:val="32"/>
          <w:lang w:val="en-US" w:eastAsia="zh-CN"/>
        </w:rPr>
        <w:t>万元，主要是厉行节俭，节约开支。</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7925.89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97.60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7138.24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906.27</w:t>
      </w:r>
      <w:r>
        <w:rPr>
          <w:rFonts w:ascii="Times New Roman" w:hAnsi="Times New Roman" w:eastAsia="仿宋_GB2312" w:cs="Times New Roman"/>
          <w:sz w:val="32"/>
          <w:szCs w:val="32"/>
        </w:rPr>
        <w:t>%，主要是因为</w:t>
      </w:r>
      <w:r>
        <w:rPr>
          <w:rFonts w:hint="eastAsia" w:ascii="仿宋_GB2312" w:hAnsi="仿宋" w:eastAsia="仿宋_GB2312"/>
          <w:sz w:val="32"/>
          <w:szCs w:val="32"/>
          <w:lang w:val="en-US" w:eastAsia="zh-CN"/>
        </w:rPr>
        <w:t>2</w:t>
      </w:r>
      <w:r>
        <w:rPr>
          <w:rFonts w:hint="eastAsia" w:ascii="仿宋_GB2312" w:hAnsi="仿宋" w:eastAsia="仿宋_GB2312" w:cs="Times New Roman"/>
          <w:sz w:val="32"/>
          <w:szCs w:val="32"/>
          <w:lang w:val="en-US" w:eastAsia="zh-CN"/>
        </w:rPr>
        <w:t>024年度企业优惠政策补贴有所增加及增加了一笔税金及附加费用，</w:t>
      </w:r>
      <w:r>
        <w:rPr>
          <w:rFonts w:hint="eastAsia" w:ascii="仿宋_GB2312" w:hAnsi="仿宋" w:eastAsia="仿宋_GB2312"/>
          <w:sz w:val="32"/>
          <w:szCs w:val="32"/>
          <w:lang w:eastAsia="zh-CN"/>
        </w:rPr>
        <w:t>如</w:t>
      </w:r>
      <w:r>
        <w:rPr>
          <w:rFonts w:hint="eastAsia" w:ascii="仿宋_GB2312" w:hAnsi="仿宋" w:eastAsia="仿宋_GB2312"/>
          <w:sz w:val="32"/>
          <w:szCs w:val="32"/>
          <w:lang w:val="en-US" w:eastAsia="zh-CN"/>
        </w:rPr>
        <w:t>2024年兑现了：1.2023年第四批先进制造业高地建设专项资金（蓝山县皮具玩具产业发展促进中心）200万元；2.五里坪村预留用地项目资金437.99万元；3.蓝山鑫永源实业有限公司政策兑现建设补贴资金1366.05万元；4.湖南奥迪拉科技有限公司优惠兑现产业扶持专项资金1474.42万元；5.湖南飞腾家居有限公司优惠兑现产业扶持专项资金699.15万元；6.园区建设项目税费2550.91万元。</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7925.89</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685.49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8.65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科学技术</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2550.91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32.18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；社会保障和就业（类）支出</w:t>
      </w:r>
      <w:r>
        <w:rPr>
          <w:rFonts w:hint="eastAsia" w:ascii="Times New Roman" w:hAnsi="Times New Roman" w:eastAsia="仿宋_GB2312" w:cs="Times New Roman"/>
          <w:sz w:val="32"/>
          <w:szCs w:val="32"/>
          <w:lang w:val="en-US" w:eastAsia="zh-CN"/>
        </w:rPr>
        <w:t>55.08万元，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0.69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卫生健康（类）支出</w:t>
      </w:r>
      <w:r>
        <w:rPr>
          <w:rFonts w:hint="eastAsia" w:ascii="Times New Roman" w:hAnsi="Times New Roman" w:eastAsia="仿宋_GB2312" w:cs="Times New Roman"/>
          <w:sz w:val="32"/>
          <w:szCs w:val="32"/>
          <w:lang w:val="en-US" w:eastAsia="zh-CN"/>
        </w:rPr>
        <w:t>13.08万元，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0.17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城乡社区（类）支出</w:t>
      </w:r>
      <w:r>
        <w:rPr>
          <w:rFonts w:hint="eastAsia" w:ascii="Times New Roman" w:hAnsi="Times New Roman" w:eastAsia="仿宋_GB2312" w:cs="Times New Roman"/>
          <w:sz w:val="32"/>
          <w:szCs w:val="32"/>
          <w:lang w:val="en-US" w:eastAsia="zh-CN"/>
        </w:rPr>
        <w:t>414.70万元，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5.23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资源勘探工业信息（类）支出</w:t>
      </w:r>
      <w:r>
        <w:rPr>
          <w:rFonts w:hint="eastAsia" w:ascii="Times New Roman" w:hAnsi="Times New Roman" w:eastAsia="仿宋_GB2312" w:cs="Times New Roman"/>
          <w:sz w:val="32"/>
          <w:szCs w:val="32"/>
          <w:lang w:val="en-US" w:eastAsia="zh-CN"/>
        </w:rPr>
        <w:t>4181.63万元，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52.76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商业服务（类）支出</w:t>
      </w:r>
      <w:r>
        <w:rPr>
          <w:rFonts w:hint="eastAsia" w:ascii="Times New Roman" w:hAnsi="Times New Roman" w:eastAsia="仿宋_GB2312" w:cs="Times New Roman"/>
          <w:sz w:val="32"/>
          <w:szCs w:val="32"/>
          <w:lang w:val="en-US" w:eastAsia="zh-CN"/>
        </w:rPr>
        <w:t>25万元，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0.32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（三）一般公共预算财政拨款支出决算具体情况</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2024年度财政拨款支出年初预算数为</w:t>
      </w:r>
      <w:r>
        <w:rPr>
          <w:rFonts w:hint="eastAsia" w:ascii="Times New Roman" w:hAnsi="Times New Roman" w:eastAsia="仿宋_GB2312" w:cs="Times New Roman"/>
          <w:color w:val="auto"/>
          <w:sz w:val="32"/>
          <w:szCs w:val="32"/>
          <w:lang w:val="en-US" w:eastAsia="zh-CN"/>
        </w:rPr>
        <w:t>1024.79</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7925.89</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773.42</w:t>
      </w:r>
      <w:r>
        <w:rPr>
          <w:rFonts w:ascii="Times New Roman" w:hAnsi="Times New Roman" w:eastAsia="仿宋_GB2312" w:cs="Times New Roman"/>
          <w:color w:val="auto"/>
          <w:sz w:val="32"/>
          <w:szCs w:val="32"/>
        </w:rPr>
        <w:t>%，其中：</w:t>
      </w:r>
    </w:p>
    <w:p>
      <w:pPr>
        <w:pStyle w:val="15"/>
        <w:numPr>
          <w:ilvl w:val="0"/>
          <w:numId w:val="1"/>
        </w:numP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一般公共服务</w:t>
      </w:r>
      <w:r>
        <w:rPr>
          <w:rFonts w:hint="eastAsia" w:ascii="Times New Roman" w:hAnsi="Times New Roman" w:eastAsia="仿宋_GB2312" w:cs="Times New Roman"/>
          <w:color w:val="auto"/>
          <w:sz w:val="32"/>
          <w:szCs w:val="32"/>
          <w:lang w:eastAsia="zh-CN"/>
        </w:rPr>
        <w:t>政府办公厅（室）及相关机构事务</w:t>
      </w:r>
      <w:r>
        <w:rPr>
          <w:rFonts w:ascii="Times New Roman" w:hAnsi="Times New Roman" w:eastAsia="仿宋_GB2312" w:cs="Times New Roman"/>
          <w:color w:val="auto"/>
          <w:sz w:val="32"/>
          <w:szCs w:val="32"/>
        </w:rPr>
        <w:t>。</w:t>
      </w:r>
    </w:p>
    <w:p>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936.10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568.88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73.23</w:t>
      </w:r>
      <w:r>
        <w:rPr>
          <w:rFonts w:ascii="Times New Roman" w:hAnsi="Times New Roman" w:eastAsia="仿宋_GB2312" w:cs="Times New Roman"/>
          <w:color w:val="auto"/>
          <w:sz w:val="32"/>
          <w:szCs w:val="32"/>
        </w:rPr>
        <w:t>%，决算数小于年初预算数的主要原因是：……</w:t>
      </w:r>
    </w:p>
    <w:p>
      <w:pPr>
        <w:pStyle w:val="15"/>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2、一般公共服务</w:t>
      </w:r>
      <w:r>
        <w:rPr>
          <w:rFonts w:hint="eastAsia" w:ascii="Times New Roman" w:hAnsi="Times New Roman" w:eastAsia="仿宋_GB2312" w:cs="Times New Roman"/>
          <w:color w:val="auto"/>
          <w:sz w:val="32"/>
          <w:szCs w:val="32"/>
          <w:lang w:eastAsia="zh-CN"/>
        </w:rPr>
        <w:t>其它</w:t>
      </w:r>
      <w:r>
        <w:rPr>
          <w:rFonts w:ascii="Times New Roman" w:hAnsi="Times New Roman" w:eastAsia="仿宋_GB2312" w:cs="Times New Roman"/>
          <w:color w:val="auto"/>
          <w:sz w:val="32"/>
          <w:szCs w:val="32"/>
        </w:rPr>
        <w:t>一般公共服务</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116.61</w:t>
      </w:r>
      <w:r>
        <w:rPr>
          <w:rFonts w:ascii="Times New Roman" w:hAnsi="Times New Roman" w:eastAsia="仿宋_GB2312" w:cs="Times New Roman"/>
          <w:color w:val="auto"/>
          <w:sz w:val="32"/>
          <w:szCs w:val="32"/>
        </w:rPr>
        <w:t>万元，完成年初预算的XX%，决算数大于年初预算数的主要原因是：</w:t>
      </w:r>
    </w:p>
    <w:p>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3、科学技术支出其他科学技术支出</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2550.91</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lang w:eastAsia="zh-CN"/>
        </w:rPr>
        <w:t>临时增加一笔园区建设项目印花税开支。</w:t>
      </w:r>
    </w:p>
    <w:p>
      <w:pPr>
        <w:pStyle w:val="15"/>
        <w:numPr>
          <w:ilvl w:val="0"/>
          <w:numId w:val="2"/>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社会保障和就业支出行政事业单位养老支出</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43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53.65</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lang w:eastAsia="zh-CN"/>
        </w:rPr>
        <w:t>人员变动及调整工资标准。</w:t>
      </w:r>
    </w:p>
    <w:p>
      <w:pPr>
        <w:pStyle w:val="15"/>
        <w:numPr>
          <w:ilvl w:val="0"/>
          <w:numId w:val="2"/>
        </w:numPr>
        <w:overflowPunct w:val="0"/>
        <w:autoSpaceDE/>
        <w:autoSpaceDN/>
        <w:spacing w:line="600" w:lineRule="exact"/>
        <w:ind w:left="0" w:leftChars="0"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社会保障和就业支出抚恤</w:t>
      </w:r>
    </w:p>
    <w:p>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1.43</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s="Times New Roman"/>
          <w:color w:val="auto"/>
          <w:sz w:val="32"/>
          <w:szCs w:val="32"/>
          <w:lang w:eastAsia="zh-CN"/>
        </w:rPr>
        <w:t>年初预算纳入公用经费预算，统计口径不一致。</w:t>
      </w:r>
    </w:p>
    <w:p>
      <w:pPr>
        <w:pStyle w:val="15"/>
        <w:keepNext w:val="0"/>
        <w:keepLines w:val="0"/>
        <w:pageBreakBefore w:val="0"/>
        <w:widowControl w:val="0"/>
        <w:numPr>
          <w:ilvl w:val="0"/>
          <w:numId w:val="2"/>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卫生健康支出行政事业单位医疗</w:t>
      </w:r>
    </w:p>
    <w:p>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13.44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13.08</w:t>
      </w:r>
      <w:r>
        <w:rPr>
          <w:rFonts w:ascii="Times New Roman" w:hAnsi="Times New Roman" w:eastAsia="仿宋_GB2312" w:cs="Times New Roman"/>
          <w:color w:val="auto"/>
          <w:sz w:val="32"/>
          <w:szCs w:val="32"/>
        </w:rPr>
        <w:t>万元，决算数</w:t>
      </w:r>
      <w:r>
        <w:rPr>
          <w:rFonts w:hint="eastAsia" w:ascii="Times New Roman" w:hAnsi="Times New Roman" w:eastAsia="仿宋_GB2312" w:cs="Times New Roman"/>
          <w:color w:val="auto"/>
          <w:sz w:val="32"/>
          <w:szCs w:val="32"/>
          <w:lang w:eastAsia="zh-CN"/>
        </w:rPr>
        <w:t>小</w:t>
      </w:r>
      <w:r>
        <w:rPr>
          <w:rFonts w:ascii="Times New Roman" w:hAnsi="Times New Roman" w:eastAsia="仿宋_GB2312" w:cs="Times New Roman"/>
          <w:color w:val="auto"/>
          <w:sz w:val="32"/>
          <w:szCs w:val="32"/>
        </w:rPr>
        <w:t>于年初预算数的主要原因是：</w:t>
      </w:r>
      <w:r>
        <w:rPr>
          <w:rFonts w:hint="eastAsia" w:ascii="Times New Roman" w:hAnsi="Times New Roman" w:eastAsia="仿宋_GB2312" w:cs="Times New Roman"/>
          <w:color w:val="auto"/>
          <w:sz w:val="32"/>
          <w:szCs w:val="32"/>
          <w:lang w:eastAsia="zh-CN"/>
        </w:rPr>
        <w:t>人员变动</w:t>
      </w:r>
    </w:p>
    <w:p>
      <w:pPr>
        <w:pStyle w:val="15"/>
        <w:keepNext w:val="0"/>
        <w:keepLines w:val="0"/>
        <w:pageBreakBefore w:val="0"/>
        <w:widowControl w:val="0"/>
        <w:numPr>
          <w:ilvl w:val="0"/>
          <w:numId w:val="2"/>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城乡社区公共设施</w:t>
      </w:r>
    </w:p>
    <w:p>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391.57</w:t>
      </w:r>
      <w:r>
        <w:rPr>
          <w:rFonts w:ascii="Times New Roman" w:hAnsi="Times New Roman" w:eastAsia="仿宋_GB2312" w:cs="Times New Roman"/>
          <w:color w:val="auto"/>
          <w:sz w:val="32"/>
          <w:szCs w:val="32"/>
        </w:rPr>
        <w:t>万元，决算数</w:t>
      </w:r>
      <w:r>
        <w:rPr>
          <w:rFonts w:hint="eastAsia" w:ascii="Times New Roman" w:hAnsi="Times New Roman" w:eastAsia="仿宋_GB2312" w:cs="Times New Roman"/>
          <w:color w:val="auto"/>
          <w:sz w:val="32"/>
          <w:szCs w:val="32"/>
          <w:lang w:eastAsia="zh-CN"/>
        </w:rPr>
        <w:t>大</w:t>
      </w:r>
      <w:r>
        <w:rPr>
          <w:rFonts w:ascii="Times New Roman" w:hAnsi="Times New Roman" w:eastAsia="仿宋_GB2312" w:cs="Times New Roman"/>
          <w:color w:val="auto"/>
          <w:sz w:val="32"/>
          <w:szCs w:val="32"/>
        </w:rPr>
        <w:t>于年初预算数的主要原因是：</w:t>
      </w:r>
      <w:r>
        <w:rPr>
          <w:rFonts w:hint="eastAsia" w:ascii="Times New Roman" w:hAnsi="Times New Roman" w:eastAsia="仿宋_GB2312" w:cs="Times New Roman"/>
          <w:color w:val="auto"/>
          <w:sz w:val="32"/>
          <w:szCs w:val="32"/>
          <w:lang w:eastAsia="zh-CN"/>
        </w:rPr>
        <w:t>临时性增加园区相关建设支出如园区企业变压器安装、果木路及安置小区工程进度款等。</w:t>
      </w:r>
    </w:p>
    <w:p>
      <w:pPr>
        <w:pStyle w:val="15"/>
        <w:keepNext w:val="0"/>
        <w:keepLines w:val="0"/>
        <w:pageBreakBefore w:val="0"/>
        <w:widowControl w:val="0"/>
        <w:numPr>
          <w:ilvl w:val="0"/>
          <w:numId w:val="2"/>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城乡社区其他城乡社区支出</w:t>
      </w:r>
    </w:p>
    <w:p>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23.13</w:t>
      </w:r>
      <w:r>
        <w:rPr>
          <w:rFonts w:ascii="Times New Roman" w:hAnsi="Times New Roman" w:eastAsia="仿宋_GB2312" w:cs="Times New Roman"/>
          <w:color w:val="auto"/>
          <w:sz w:val="32"/>
          <w:szCs w:val="32"/>
        </w:rPr>
        <w:t>万元，决算数</w:t>
      </w:r>
      <w:r>
        <w:rPr>
          <w:rFonts w:hint="eastAsia" w:ascii="Times New Roman" w:hAnsi="Times New Roman" w:eastAsia="仿宋_GB2312" w:cs="Times New Roman"/>
          <w:color w:val="auto"/>
          <w:sz w:val="32"/>
          <w:szCs w:val="32"/>
          <w:lang w:eastAsia="zh-CN"/>
        </w:rPr>
        <w:t>大</w:t>
      </w:r>
      <w:r>
        <w:rPr>
          <w:rFonts w:ascii="Times New Roman" w:hAnsi="Times New Roman" w:eastAsia="仿宋_GB2312" w:cs="Times New Roman"/>
          <w:color w:val="auto"/>
          <w:sz w:val="32"/>
          <w:szCs w:val="32"/>
        </w:rPr>
        <w:t>于年初预算数的主要原因是：</w:t>
      </w:r>
      <w:r>
        <w:rPr>
          <w:rFonts w:hint="eastAsia" w:ascii="Times New Roman" w:hAnsi="Times New Roman" w:eastAsia="仿宋_GB2312" w:cs="Times New Roman"/>
          <w:color w:val="auto"/>
          <w:sz w:val="32"/>
          <w:szCs w:val="32"/>
          <w:lang w:eastAsia="zh-CN"/>
        </w:rPr>
        <w:t>临时性增加园区相关服务支出如园区企业安全体检开支及省级高新技术产业开发区项目编制费。</w:t>
      </w:r>
    </w:p>
    <w:p>
      <w:pPr>
        <w:pStyle w:val="15"/>
        <w:keepNext w:val="0"/>
        <w:keepLines w:val="0"/>
        <w:pageBreakBefore w:val="0"/>
        <w:widowControl w:val="0"/>
        <w:numPr>
          <w:ilvl w:val="0"/>
          <w:numId w:val="2"/>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资源勘探工业信息制造业</w:t>
      </w:r>
    </w:p>
    <w:p>
      <w:pPr>
        <w:pStyle w:val="15"/>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200</w:t>
      </w:r>
      <w:r>
        <w:rPr>
          <w:rFonts w:ascii="Times New Roman" w:hAnsi="Times New Roman" w:eastAsia="仿宋_GB2312" w:cs="Times New Roman"/>
          <w:color w:val="auto"/>
          <w:sz w:val="32"/>
          <w:szCs w:val="32"/>
        </w:rPr>
        <w:t>万元，决算数</w:t>
      </w:r>
      <w:r>
        <w:rPr>
          <w:rFonts w:hint="eastAsia" w:ascii="Times New Roman" w:hAnsi="Times New Roman" w:eastAsia="仿宋_GB2312" w:cs="Times New Roman"/>
          <w:color w:val="auto"/>
          <w:sz w:val="32"/>
          <w:szCs w:val="32"/>
          <w:lang w:eastAsia="zh-CN"/>
        </w:rPr>
        <w:t>大</w:t>
      </w:r>
      <w:r>
        <w:rPr>
          <w:rFonts w:ascii="Times New Roman" w:hAnsi="Times New Roman" w:eastAsia="仿宋_GB2312" w:cs="Times New Roman"/>
          <w:color w:val="auto"/>
          <w:sz w:val="32"/>
          <w:szCs w:val="32"/>
        </w:rPr>
        <w:t>于年初预算数的主要原因是：</w:t>
      </w:r>
      <w:r>
        <w:rPr>
          <w:rFonts w:hint="eastAsia" w:ascii="Times New Roman" w:hAnsi="Times New Roman" w:eastAsia="仿宋_GB2312" w:cs="Times New Roman"/>
          <w:color w:val="auto"/>
          <w:sz w:val="32"/>
          <w:szCs w:val="32"/>
          <w:lang w:eastAsia="zh-CN"/>
        </w:rPr>
        <w:t>临时性增加先进制造业高地建设专项资金支出</w:t>
      </w:r>
    </w:p>
    <w:p>
      <w:pPr>
        <w:pStyle w:val="15"/>
        <w:keepNext w:val="0"/>
        <w:keepLines w:val="0"/>
        <w:pageBreakBefore w:val="0"/>
        <w:widowControl w:val="0"/>
        <w:numPr>
          <w:ilvl w:val="0"/>
          <w:numId w:val="2"/>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资源勘探工业信息支持中小企业发展和管理支出</w:t>
      </w:r>
    </w:p>
    <w:p>
      <w:pPr>
        <w:pStyle w:val="15"/>
        <w:overflowPunct w:val="0"/>
        <w:autoSpaceDE/>
        <w:autoSpaceDN/>
        <w:spacing w:line="600" w:lineRule="exact"/>
        <w:ind w:firstLine="640" w:firstLineChars="200"/>
        <w:jc w:val="both"/>
        <w:rPr>
          <w:rFonts w:hint="eastAsia" w:ascii="仿宋_GB2312" w:hAnsi="仿宋" w:eastAsia="仿宋_GB2312"/>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3981.64</w:t>
      </w:r>
      <w:r>
        <w:rPr>
          <w:rFonts w:ascii="Times New Roman" w:hAnsi="Times New Roman" w:eastAsia="仿宋_GB2312" w:cs="Times New Roman"/>
          <w:color w:val="auto"/>
          <w:sz w:val="32"/>
          <w:szCs w:val="32"/>
        </w:rPr>
        <w:t>万元，决算数</w:t>
      </w:r>
      <w:r>
        <w:rPr>
          <w:rFonts w:hint="eastAsia" w:ascii="Times New Roman" w:hAnsi="Times New Roman" w:eastAsia="仿宋_GB2312" w:cs="Times New Roman"/>
          <w:color w:val="auto"/>
          <w:sz w:val="32"/>
          <w:szCs w:val="32"/>
          <w:lang w:eastAsia="zh-CN"/>
        </w:rPr>
        <w:t>大</w:t>
      </w:r>
      <w:r>
        <w:rPr>
          <w:rFonts w:ascii="Times New Roman" w:hAnsi="Times New Roman" w:eastAsia="仿宋_GB2312" w:cs="Times New Roman"/>
          <w:color w:val="auto"/>
          <w:sz w:val="32"/>
          <w:szCs w:val="32"/>
        </w:rPr>
        <w:t>于年初预算数的主要原因是：</w:t>
      </w:r>
      <w:r>
        <w:rPr>
          <w:rFonts w:hint="eastAsia" w:ascii="仿宋_GB2312" w:hAnsi="仿宋" w:eastAsia="仿宋_GB2312"/>
          <w:color w:val="auto"/>
          <w:sz w:val="32"/>
          <w:szCs w:val="32"/>
          <w:lang w:val="en-US" w:eastAsia="zh-CN"/>
        </w:rPr>
        <w:t>2</w:t>
      </w:r>
      <w:r>
        <w:rPr>
          <w:rFonts w:hint="eastAsia" w:ascii="仿宋_GB2312" w:hAnsi="仿宋" w:eastAsia="仿宋_GB2312" w:cs="Times New Roman"/>
          <w:color w:val="auto"/>
          <w:sz w:val="32"/>
          <w:szCs w:val="32"/>
          <w:lang w:val="en-US" w:eastAsia="zh-CN"/>
        </w:rPr>
        <w:t>024年度企业优惠政策补贴有所增加，</w:t>
      </w:r>
      <w:r>
        <w:rPr>
          <w:rFonts w:hint="eastAsia" w:ascii="仿宋_GB2312" w:hAnsi="仿宋" w:eastAsia="仿宋_GB2312"/>
          <w:color w:val="auto"/>
          <w:sz w:val="32"/>
          <w:szCs w:val="32"/>
          <w:lang w:eastAsia="zh-CN"/>
        </w:rPr>
        <w:t>如</w:t>
      </w:r>
      <w:r>
        <w:rPr>
          <w:rFonts w:hint="eastAsia" w:ascii="仿宋_GB2312" w:hAnsi="仿宋" w:eastAsia="仿宋_GB2312"/>
          <w:color w:val="auto"/>
          <w:sz w:val="32"/>
          <w:szCs w:val="32"/>
          <w:lang w:val="en-US" w:eastAsia="zh-CN"/>
        </w:rPr>
        <w:t>2024年兑现了：1.五里坪村预留用地项目资金437.99万元；2.蓝山鑫永源实业有限公司政策兑现建设补贴资金1366.05万元；3.湖南奥迪拉科技有限公司优惠兑现产业扶持专项资金1474.42万元；4.湖南飞腾家居有限公司优惠兑现产业扶持专项资金699.15万元等。而企业政策兑现未批复到本单位一级，纳入县财政部门预算。</w:t>
      </w:r>
    </w:p>
    <w:p>
      <w:pPr>
        <w:pStyle w:val="15"/>
        <w:numPr>
          <w:ilvl w:val="0"/>
          <w:numId w:val="2"/>
        </w:numPr>
        <w:overflowPunct w:val="0"/>
        <w:autoSpaceDE/>
        <w:autoSpaceDN/>
        <w:spacing w:line="600" w:lineRule="exact"/>
        <w:ind w:left="0" w:leftChars="0" w:firstLine="640" w:firstLineChars="200"/>
        <w:jc w:val="both"/>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商业服务其他商业流通事务支出</w:t>
      </w:r>
    </w:p>
    <w:p>
      <w:pPr>
        <w:pStyle w:val="15"/>
        <w:numPr>
          <w:ilvl w:val="0"/>
          <w:numId w:val="0"/>
        </w:numPr>
        <w:overflowPunct w:val="0"/>
        <w:autoSpaceDE/>
        <w:autoSpaceDN/>
        <w:spacing w:line="240" w:lineRule="auto"/>
        <w:ind w:left="0" w:leftChars="0" w:firstLine="640" w:firstLineChars="200"/>
        <w:jc w:val="both"/>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25</w:t>
      </w:r>
      <w:r>
        <w:rPr>
          <w:rFonts w:ascii="Times New Roman" w:hAnsi="Times New Roman" w:eastAsia="仿宋_GB2312" w:cs="Times New Roman"/>
          <w:color w:val="auto"/>
          <w:sz w:val="32"/>
          <w:szCs w:val="32"/>
        </w:rPr>
        <w:t>万元，决算数</w:t>
      </w:r>
      <w:r>
        <w:rPr>
          <w:rFonts w:hint="eastAsia" w:ascii="Times New Roman" w:hAnsi="Times New Roman" w:eastAsia="仿宋_GB2312" w:cs="Times New Roman"/>
          <w:color w:val="auto"/>
          <w:sz w:val="32"/>
          <w:szCs w:val="32"/>
          <w:lang w:eastAsia="zh-CN"/>
        </w:rPr>
        <w:t>大</w:t>
      </w:r>
      <w:r>
        <w:rPr>
          <w:rFonts w:ascii="Times New Roman" w:hAnsi="Times New Roman" w:eastAsia="仿宋_GB2312" w:cs="Times New Roman"/>
          <w:color w:val="auto"/>
          <w:sz w:val="32"/>
          <w:szCs w:val="32"/>
        </w:rPr>
        <w:t>于年初预算数的主要原因是：</w:t>
      </w:r>
      <w:r>
        <w:rPr>
          <w:rFonts w:hint="eastAsia" w:ascii="Times New Roman" w:hAnsi="Times New Roman" w:eastAsia="仿宋_GB2312" w:cs="Times New Roman"/>
          <w:color w:val="auto"/>
          <w:sz w:val="32"/>
          <w:szCs w:val="32"/>
          <w:lang w:eastAsia="zh-CN"/>
        </w:rPr>
        <w:t>园区产业发展编制规划开支，与年初预算统计口径不一致。</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624.59</w:t>
      </w:r>
      <w:r>
        <w:rPr>
          <w:rFonts w:ascii="Times New Roman" w:hAnsi="Times New Roman" w:eastAsia="仿宋_GB2312" w:cs="Times New Roman"/>
          <w:sz w:val="32"/>
          <w:szCs w:val="32"/>
        </w:rPr>
        <w:t>万元，其中：</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533.44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85.41</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主要包括基本工资、津贴补贴、奖金、</w:t>
      </w:r>
      <w:r>
        <w:rPr>
          <w:rFonts w:hint="eastAsia" w:ascii="Times New Roman" w:hAnsi="Times New Roman" w:eastAsia="仿宋_GB2312" w:cs="Times New Roman"/>
          <w:color w:val="auto"/>
          <w:sz w:val="32"/>
          <w:szCs w:val="32"/>
        </w:rPr>
        <w:t>机关事业单位基本养老保险缴费</w:t>
      </w:r>
      <w:r>
        <w:rPr>
          <w:rFonts w:hint="eastAsia" w:ascii="Times New Roman" w:hAnsi="Times New Roman" w:eastAsia="仿宋_GB2312" w:cs="Times New Roman"/>
          <w:color w:val="auto"/>
          <w:sz w:val="32"/>
          <w:szCs w:val="32"/>
          <w:lang w:eastAsia="zh-CN"/>
        </w:rPr>
        <w:t>、职业年金缴费、职工基本医疗保险缴费、其他社会保障缴费、住房公积金、其他工资福利支出、抚恤金、生活补助等。</w:t>
      </w:r>
    </w:p>
    <w:p>
      <w:pPr>
        <w:pStyle w:val="15"/>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91.15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14.59</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主要包括办公费、印刷费、</w:t>
      </w:r>
      <w:r>
        <w:rPr>
          <w:rFonts w:hint="eastAsia" w:ascii="Times New Roman" w:hAnsi="Times New Roman" w:eastAsia="仿宋_GB2312" w:cs="Times New Roman"/>
          <w:color w:val="auto"/>
          <w:sz w:val="32"/>
          <w:szCs w:val="32"/>
          <w:lang w:eastAsia="zh-CN"/>
        </w:rPr>
        <w:t>咨询费、水</w:t>
      </w:r>
      <w:r>
        <w:rPr>
          <w:rFonts w:ascii="Times New Roman" w:hAnsi="Times New Roman" w:eastAsia="仿宋_GB2312" w:cs="Times New Roman"/>
          <w:color w:val="auto"/>
          <w:sz w:val="32"/>
          <w:szCs w:val="32"/>
        </w:rPr>
        <w:t>费、</w:t>
      </w:r>
      <w:r>
        <w:rPr>
          <w:rFonts w:hint="eastAsia" w:ascii="Times New Roman" w:hAnsi="Times New Roman" w:eastAsia="仿宋_GB2312" w:cs="Times New Roman"/>
          <w:color w:val="auto"/>
          <w:sz w:val="32"/>
          <w:szCs w:val="32"/>
          <w:lang w:eastAsia="zh-CN"/>
        </w:rPr>
        <w:t>电</w:t>
      </w:r>
      <w:r>
        <w:rPr>
          <w:rFonts w:ascii="Times New Roman" w:hAnsi="Times New Roman" w:eastAsia="仿宋_GB2312" w:cs="Times New Roman"/>
          <w:color w:val="auto"/>
          <w:sz w:val="32"/>
          <w:szCs w:val="32"/>
        </w:rPr>
        <w:t>费</w:t>
      </w:r>
      <w:r>
        <w:rPr>
          <w:rFonts w:hint="eastAsia" w:ascii="Times New Roman" w:hAnsi="Times New Roman" w:eastAsia="仿宋_GB2312" w:cs="Times New Roman"/>
          <w:color w:val="auto"/>
          <w:sz w:val="32"/>
          <w:szCs w:val="32"/>
          <w:lang w:eastAsia="zh-CN"/>
        </w:rPr>
        <w:t>、邮电费、差旅费、维修（护）费、会议费、培训费、公务接待费、劳务费、工会经费、福利费、其他交通费用、其他商品和服务支出等。</w:t>
      </w:r>
    </w:p>
    <w:p>
      <w:pPr>
        <w:pStyle w:val="15"/>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cs="Times New Roman"/>
          <w:bCs/>
          <w:color w:val="auto"/>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15"/>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yellow"/>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0.46</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23</w:t>
      </w:r>
      <w:r>
        <w:rPr>
          <w:rFonts w:ascii="Times New Roman" w:hAnsi="Times New Roman" w:eastAsia="仿宋_GB2312" w:cs="Times New Roman"/>
          <w:color w:val="auto"/>
          <w:sz w:val="32"/>
          <w:szCs w:val="32"/>
        </w:rPr>
        <w:t>%；与上年相比减少</w:t>
      </w:r>
      <w:r>
        <w:rPr>
          <w:rFonts w:hint="eastAsia" w:ascii="Times New Roman" w:hAnsi="Times New Roman" w:eastAsia="仿宋_GB2312" w:cs="Times New Roman"/>
          <w:color w:val="auto"/>
          <w:sz w:val="32"/>
          <w:szCs w:val="32"/>
          <w:lang w:val="en-US" w:eastAsia="zh-CN"/>
        </w:rPr>
        <w:t>2.05</w:t>
      </w:r>
      <w:r>
        <w:rPr>
          <w:rFonts w:ascii="Times New Roman" w:hAnsi="Times New Roman" w:eastAsia="仿宋_GB2312" w:cs="Times New Roman"/>
          <w:color w:val="auto"/>
          <w:sz w:val="32"/>
          <w:szCs w:val="32"/>
        </w:rPr>
        <w:t>万元，降低</w:t>
      </w:r>
      <w:r>
        <w:rPr>
          <w:rFonts w:hint="eastAsia" w:ascii="Times New Roman" w:hAnsi="Times New Roman" w:eastAsia="仿宋_GB2312" w:cs="Times New Roman"/>
          <w:color w:val="auto"/>
          <w:sz w:val="32"/>
          <w:szCs w:val="32"/>
          <w:lang w:val="en-US" w:eastAsia="zh-CN"/>
        </w:rPr>
        <w:t>81.67</w:t>
      </w:r>
      <w:r>
        <w:rPr>
          <w:rFonts w:ascii="Times New Roman" w:hAnsi="Times New Roman" w:eastAsia="仿宋_GB2312" w:cs="Times New Roman"/>
          <w:color w:val="auto"/>
          <w:sz w:val="32"/>
          <w:szCs w:val="32"/>
        </w:rPr>
        <w:t>%。决算数小于预算数的主要原因是</w:t>
      </w:r>
      <w:r>
        <w:rPr>
          <w:rFonts w:hint="eastAsia" w:ascii="Times New Roman" w:hAnsi="Times New Roman" w:eastAsia="仿宋_GB2312" w:cs="Times New Roman"/>
          <w:color w:val="auto"/>
          <w:sz w:val="32"/>
          <w:szCs w:val="32"/>
          <w:lang w:eastAsia="zh-CN"/>
        </w:rPr>
        <w:t>严格控制公务接待标准，节约开支</w:t>
      </w:r>
      <w:r>
        <w:rPr>
          <w:rFonts w:ascii="Times New Roman" w:hAnsi="Times New Roman" w:eastAsia="仿宋_GB2312" w:cs="Times New Roman"/>
          <w:color w:val="auto"/>
          <w:sz w:val="32"/>
          <w:szCs w:val="32"/>
        </w:rPr>
        <w:t>。决算数小于上年数的主要原因是</w:t>
      </w:r>
      <w:r>
        <w:rPr>
          <w:rFonts w:hint="eastAsia" w:ascii="Times New Roman" w:hAnsi="Times New Roman" w:eastAsia="仿宋_GB2312" w:cs="Times New Roman"/>
          <w:color w:val="auto"/>
          <w:sz w:val="32"/>
          <w:szCs w:val="32"/>
          <w:lang w:eastAsia="zh-CN"/>
        </w:rPr>
        <w:t>严格控制公务接待标准，节约开支</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5"/>
        <w:overflowPunct w:val="0"/>
        <w:autoSpaceDE/>
        <w:autoSpaceDN/>
        <w:spacing w:line="600" w:lineRule="exact"/>
        <w:ind w:firstLine="640" w:firstLineChars="200"/>
        <w:jc w:val="both"/>
        <w:rPr>
          <w:rFonts w:hint="eastAsia" w:ascii="Times New Roman" w:hAnsi="Times New Roman" w:eastAsia="楷体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%。决算数大于（小于）预算数的主要原因是……。决算数大于（小于）上年数的主要原因</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ascii="Times New Roman" w:hAnsi="Times New Roman" w:eastAsia="楷体_GB2312" w:cs="Times New Roman"/>
          <w:b/>
          <w:bCs/>
          <w:i/>
          <w:color w:val="auto"/>
          <w:sz w:val="32"/>
          <w:szCs w:val="32"/>
        </w:rPr>
        <w:t>（精确到个位数）</w:t>
      </w:r>
      <w:r>
        <w:rPr>
          <w:rFonts w:hint="eastAsia" w:ascii="Times New Roman" w:hAnsi="Times New Roman" w:eastAsia="楷体_GB2312" w:cs="Times New Roman"/>
          <w:b/>
          <w:bCs/>
          <w:i/>
          <w:color w:val="auto"/>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%。决算数大于（小于）预算数的主要原因</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本单位无公务用车。</w:t>
      </w:r>
    </w:p>
    <w:p>
      <w:pPr>
        <w:pStyle w:val="15"/>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楷体_GB2312" w:cs="Times New Roman"/>
          <w:b/>
          <w:bCs/>
          <w:i/>
          <w:color w:val="auto"/>
          <w:sz w:val="32"/>
          <w:szCs w:val="32"/>
        </w:rPr>
        <w:t>（三公经费支出口径应在专业名词解释中予以说明）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2.05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81.67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color w:val="auto"/>
          <w:sz w:val="32"/>
          <w:szCs w:val="32"/>
          <w:lang w:eastAsia="zh-CN"/>
        </w:rPr>
        <w:t>严格控制公务接待标准，节约开支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color w:val="auto"/>
          <w:sz w:val="32"/>
          <w:szCs w:val="32"/>
          <w:lang w:eastAsia="zh-CN"/>
        </w:rPr>
        <w:t>严格控制公务接待标准，节约开支</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39</w:t>
      </w:r>
      <w:r>
        <w:rPr>
          <w:rFonts w:ascii="Times New Roman" w:hAnsi="Times New Roman" w:eastAsia="仿宋_GB2312" w:cs="Times New Roman"/>
          <w:sz w:val="32"/>
          <w:szCs w:val="32"/>
        </w:rPr>
        <w:t>人次</w:t>
      </w:r>
      <w:r>
        <w:rPr>
          <w:rFonts w:ascii="Times New Roman" w:hAnsi="Times New Roman" w:eastAsia="楷体_GB2312" w:cs="Times New Roman"/>
          <w:b/>
          <w:bCs/>
          <w:i/>
          <w:color w:val="auto"/>
          <w:sz w:val="32"/>
          <w:szCs w:val="32"/>
        </w:rPr>
        <w:t>（精确到个位数）</w:t>
      </w:r>
      <w:r>
        <w:rPr>
          <w:rFonts w:ascii="Times New Roman" w:hAnsi="Times New Roman" w:eastAsia="仿宋_GB2312" w:cs="Times New Roman"/>
          <w:sz w:val="32"/>
          <w:szCs w:val="32"/>
        </w:rPr>
        <w:t>，主要是</w:t>
      </w:r>
      <w:r>
        <w:rPr>
          <w:rFonts w:hint="eastAsia" w:ascii="Times New Roman" w:hAnsi="Times New Roman" w:eastAsia="仿宋_GB2312" w:cs="Times New Roman"/>
          <w:color w:val="auto"/>
          <w:sz w:val="32"/>
          <w:szCs w:val="32"/>
          <w:lang w:val="en-US" w:eastAsia="zh-CN"/>
        </w:rPr>
        <w:t>上级部门来考察及周边县区来参观园区发生的接待支出</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195.07</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195.07</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r>
        <w:rPr>
          <w:rFonts w:ascii="Times New Roman" w:hAnsi="Times New Roman" w:eastAsia="楷体_GB2312" w:cs="Times New Roman"/>
          <w:b/>
          <w:bCs/>
          <w:i/>
          <w:color w:val="auto"/>
          <w:sz w:val="32"/>
          <w:szCs w:val="32"/>
        </w:rPr>
        <w:t>（无政府性基金收支也需要说明本单位无政府性基金收支）</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城乡社区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其他国有土地使用权出让收入安排的支出</w:t>
      </w:r>
      <w:r>
        <w:rPr>
          <w:rFonts w:ascii="Times New Roman" w:hAnsi="Times New Roman" w:eastAsia="仿宋_GB2312" w:cs="Times New Roman"/>
          <w:sz w:val="32"/>
          <w:szCs w:val="32"/>
        </w:rPr>
        <w:t>（项）。</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56.8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2024年度临时增加协助自然资源局退</w:t>
      </w:r>
      <w:r>
        <w:rPr>
          <w:rFonts w:hint="eastAsia" w:ascii="Times New Roman" w:hAnsi="Times New Roman" w:eastAsia="仿宋_GB2312" w:cs="Times New Roman"/>
          <w:sz w:val="32"/>
          <w:szCs w:val="32"/>
          <w:lang w:eastAsia="zh-CN"/>
        </w:rPr>
        <w:t>永州</w:t>
      </w:r>
      <w:r>
        <w:rPr>
          <w:rFonts w:hint="eastAsia" w:ascii="Times New Roman" w:hAnsi="Times New Roman" w:eastAsia="仿宋_GB2312" w:cs="Times New Roman"/>
          <w:sz w:val="32"/>
          <w:szCs w:val="32"/>
          <w:lang w:val="en-US" w:eastAsia="zh-CN"/>
        </w:rPr>
        <w:t>-俊一科技有限公司国有建设用地使用权收回退土地出让金开支。</w:t>
      </w:r>
    </w:p>
    <w:p>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城乡社区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城市基础设施配套费安排的支出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城市公共设施</w:t>
      </w:r>
      <w:r>
        <w:rPr>
          <w:rFonts w:ascii="Times New Roman" w:hAnsi="Times New Roman" w:eastAsia="仿宋_GB2312" w:cs="Times New Roman"/>
          <w:sz w:val="32"/>
          <w:szCs w:val="32"/>
        </w:rPr>
        <w:t>（项）。</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107.45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2024年度临时增加支付蓝山县第三届皮具箱包博览会创品物流园及龙泉路道路两侧（南段）绿化景观工程款及相关设计费等。</w:t>
      </w:r>
    </w:p>
    <w:p>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其他政府性基金及对应专项债务收入安排的支出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其他政府性基金安排的支出</w:t>
      </w:r>
      <w:r>
        <w:rPr>
          <w:rFonts w:ascii="Times New Roman" w:hAnsi="Times New Roman" w:eastAsia="仿宋_GB2312" w:cs="Times New Roman"/>
          <w:sz w:val="32"/>
          <w:szCs w:val="32"/>
        </w:rPr>
        <w:t>（项）。</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30.82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2024年度临时增加支付蓝山县第三届皮具箱包博览会奇秀工业园研发大楼包装工程开支。</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91.15</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，比上年决算数减少</w:t>
      </w:r>
      <w:r>
        <w:rPr>
          <w:rFonts w:hint="eastAsia" w:ascii="Times New Roman" w:hAnsi="Times New Roman" w:eastAsia="仿宋_GB2312" w:cs="Times New Roman"/>
          <w:sz w:val="32"/>
          <w:szCs w:val="32"/>
          <w:lang w:val="en-US" w:eastAsia="zh-CN"/>
        </w:rPr>
        <w:t>20.46</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18.33</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厉行节约，控制开支。</w:t>
      </w:r>
      <w:r>
        <w:rPr>
          <w:rFonts w:ascii="Times New Roman" w:hAnsi="Times New Roman" w:eastAsia="楷体_GB2312" w:cs="Times New Roman"/>
          <w:b/>
          <w:bCs/>
          <w:i/>
          <w:color w:val="auto"/>
          <w:sz w:val="32"/>
          <w:szCs w:val="32"/>
        </w:rPr>
        <w:t>（具体增减原因由部门根据实际情况填列，机关运行经费支出口径应在专业名词解释中予以说明）</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0.18</w:t>
      </w:r>
      <w:r>
        <w:rPr>
          <w:rFonts w:ascii="Times New Roman" w:hAnsi="Times New Roman" w:eastAsia="仿宋_GB2312" w:cs="Times New Roman"/>
          <w:sz w:val="32"/>
          <w:szCs w:val="32"/>
        </w:rPr>
        <w:t>万元，用于</w:t>
      </w:r>
      <w:r>
        <w:rPr>
          <w:rFonts w:hint="eastAsia" w:eastAsia="仿宋_GB2312"/>
          <w:kern w:val="0"/>
          <w:sz w:val="32"/>
          <w:szCs w:val="32"/>
          <w:lang w:val="en-US" w:eastAsia="zh-CN"/>
        </w:rPr>
        <w:t>召开企业员工职业病培训会</w:t>
      </w:r>
      <w:r>
        <w:rPr>
          <w:rFonts w:eastAsia="仿宋_GB2312"/>
          <w:kern w:val="0"/>
          <w:sz w:val="32"/>
          <w:szCs w:val="32"/>
        </w:rPr>
        <w:t>议</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人，内容为</w:t>
      </w:r>
      <w:r>
        <w:rPr>
          <w:rFonts w:hint="eastAsia" w:ascii="Times New Roman" w:hAnsi="Times New Roman" w:eastAsia="仿宋_GB2312" w:cs="Times New Roman"/>
          <w:kern w:val="0"/>
          <w:sz w:val="32"/>
          <w:szCs w:val="32"/>
          <w:lang w:val="en-US" w:eastAsia="zh-CN"/>
        </w:rPr>
        <w:t>关于企业员工职业病培训会</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0.81</w:t>
      </w:r>
      <w:r>
        <w:rPr>
          <w:rFonts w:ascii="Times New Roman" w:hAnsi="Times New Roman" w:eastAsia="仿宋_GB2312" w:cs="Times New Roman"/>
          <w:sz w:val="32"/>
          <w:szCs w:val="32"/>
        </w:rPr>
        <w:t>万元，用于开展</w:t>
      </w:r>
      <w:r>
        <w:rPr>
          <w:rFonts w:hint="eastAsia" w:eastAsia="仿宋_GB2312"/>
          <w:kern w:val="0"/>
          <w:sz w:val="32"/>
          <w:szCs w:val="32"/>
          <w:lang w:eastAsia="zh-CN"/>
        </w:rPr>
        <w:t>单位干部职工外出学习培训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人，内容为</w:t>
      </w:r>
      <w:r>
        <w:rPr>
          <w:rFonts w:hint="eastAsia" w:eastAsia="仿宋_GB2312"/>
          <w:kern w:val="0"/>
          <w:sz w:val="32"/>
          <w:szCs w:val="32"/>
          <w:lang w:eastAsia="zh-CN"/>
        </w:rPr>
        <w:t>单位干部职工外出学习培训</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楷体" w:cs="Times New Roman"/>
          <w:b/>
          <w:bCs/>
          <w:i/>
          <w:color w:val="auto"/>
          <w:sz w:val="32"/>
          <w:szCs w:val="32"/>
        </w:rPr>
        <w:t>（注：三类会议、培训活动，节庆、晚会、论坛、赛事等活动，请分项列明活动计划及经费预算情况）</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299.49</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13.08</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68.24</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218.17</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27</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7496.37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7301.3</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92.12</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195.07</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2.46</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r>
        <w:rPr>
          <w:rFonts w:ascii="Times New Roman" w:hAnsi="Times New Roman" w:eastAsia="仿宋_GB2312" w:cs="Times New Roman"/>
          <w:kern w:val="0"/>
          <w:sz w:val="32"/>
          <w:szCs w:val="32"/>
        </w:rPr>
        <w:t>组织对所属单位2024年度“</w:t>
      </w:r>
      <w:r>
        <w:rPr>
          <w:rFonts w:hint="eastAsia" w:ascii="仿宋_GB2312" w:hAnsi="仿宋_GB2312" w:eastAsia="仿宋_GB2312" w:cs="仿宋_GB2312"/>
          <w:color w:val="auto"/>
          <w:kern w:val="0"/>
          <w:sz w:val="32"/>
          <w:szCs w:val="32"/>
          <w:lang w:val="en-US" w:eastAsia="zh-CN" w:bidi="ar-SA"/>
        </w:rPr>
        <w:t>企业政策兑现</w:t>
      </w:r>
      <w:r>
        <w:rPr>
          <w:rFonts w:ascii="Times New Roman" w:hAnsi="Times New Roman" w:eastAsia="仿宋_GB2312" w:cs="Times New Roman"/>
          <w:kern w:val="0"/>
          <w:sz w:val="32"/>
          <w:szCs w:val="32"/>
        </w:rPr>
        <w:t>”“</w:t>
      </w:r>
      <w:r>
        <w:rPr>
          <w:rFonts w:hint="eastAsia" w:ascii="仿宋_GB2312" w:hAnsi="仿宋_GB2312" w:eastAsia="仿宋_GB2312" w:cs="仿宋_GB2312"/>
          <w:color w:val="auto"/>
          <w:kern w:val="0"/>
          <w:sz w:val="32"/>
          <w:szCs w:val="32"/>
          <w:lang w:val="en-US" w:eastAsia="zh-CN" w:bidi="ar-SA"/>
        </w:rPr>
        <w:t>园区建设项目税费缴纳</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hint="eastAsia" w:ascii="宋体" w:hAnsi="宋体" w:cs="宋体"/>
          <w:sz w:val="28"/>
          <w:szCs w:val="28"/>
          <w:lang w:val="en-US" w:eastAsia="zh-CN"/>
        </w:rPr>
        <w:t>园区建设</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7301.3</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195.07</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1024.79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8120.96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”。绩效目标完成情况：一是</w:t>
      </w:r>
      <w:r>
        <w:rPr>
          <w:rFonts w:hint="eastAsia" w:ascii="仿宋_GB2312" w:hAnsi="仿宋_GB2312" w:eastAsia="仿宋_GB2312" w:cs="仿宋_GB2312"/>
          <w:color w:val="auto"/>
          <w:kern w:val="0"/>
          <w:sz w:val="32"/>
          <w:szCs w:val="32"/>
          <w:lang w:val="en-US" w:eastAsia="zh-CN" w:bidi="ar-SA"/>
        </w:rPr>
        <w:t>2024年部门整体支出绩效情况较好，能按年初设定的目标任务积极完成了各项工作</w:t>
      </w:r>
      <w:r>
        <w:rPr>
          <w:rFonts w:ascii="Times New Roman" w:hAnsi="Times New Roman" w:eastAsia="仿宋_GB2312" w:cs="Times New Roman"/>
          <w:sz w:val="32"/>
          <w:szCs w:val="32"/>
        </w:rPr>
        <w:t>；二是</w:t>
      </w:r>
      <w:r>
        <w:rPr>
          <w:rFonts w:hint="eastAsia" w:ascii="仿宋_GB2312" w:hAnsi="仿宋_GB2312" w:eastAsia="仿宋_GB2312" w:cs="仿宋_GB2312"/>
          <w:color w:val="auto"/>
          <w:kern w:val="0"/>
          <w:sz w:val="32"/>
          <w:szCs w:val="32"/>
          <w:lang w:val="en-US" w:eastAsia="zh-CN" w:bidi="ar-SA"/>
        </w:rPr>
        <w:t>2024年部门整体支出绩效情况较好，调动了单位干部职工的积极性，激发了园区企业的干劲，促进园区高质量发展</w:t>
      </w:r>
      <w:r>
        <w:rPr>
          <w:rFonts w:ascii="Times New Roman" w:hAnsi="Times New Roman" w:eastAsia="仿宋_GB2312" w:cs="Times New Roman"/>
          <w:sz w:val="32"/>
          <w:szCs w:val="32"/>
        </w:rPr>
        <w:t>。发现的主要问题及原因：一是</w:t>
      </w:r>
      <w:r>
        <w:rPr>
          <w:rFonts w:hint="eastAsia" w:ascii="仿宋_GB2312" w:hAnsi="仿宋_GB2312" w:eastAsia="仿宋_GB2312" w:cs="仿宋_GB2312"/>
          <w:color w:val="auto"/>
          <w:kern w:val="0"/>
          <w:sz w:val="32"/>
          <w:szCs w:val="32"/>
          <w:lang w:val="en-US" w:eastAsia="zh-CN" w:bidi="ar-SA"/>
        </w:rPr>
        <w:t>预算项目在编制预算时未充分考虑</w:t>
      </w:r>
      <w:r>
        <w:rPr>
          <w:rFonts w:ascii="Times New Roman" w:hAnsi="Times New Roman" w:eastAsia="仿宋_GB2312" w:cs="Times New Roman"/>
          <w:sz w:val="32"/>
          <w:szCs w:val="32"/>
        </w:rPr>
        <w:t>；二是</w:t>
      </w:r>
      <w:r>
        <w:rPr>
          <w:rFonts w:hint="eastAsia" w:ascii="仿宋_GB2312" w:hAnsi="仿宋_GB2312" w:eastAsia="仿宋_GB2312" w:cs="仿宋_GB2312"/>
          <w:color w:val="auto"/>
          <w:kern w:val="0"/>
          <w:sz w:val="32"/>
          <w:szCs w:val="32"/>
          <w:lang w:val="en-US" w:eastAsia="zh-CN" w:bidi="ar-SA"/>
        </w:rPr>
        <w:t>市委市政府、县委县政府临时交办园区项目支出导致本单位项目预算经费紧张；原因三是县级产业扶持资金财政局未批复到本单位，增加了本级单位对企业政策兑现的支付金额。</w:t>
      </w:r>
      <w:r>
        <w:rPr>
          <w:rFonts w:ascii="Times New Roman" w:hAnsi="Times New Roman" w:eastAsia="仿宋_GB2312" w:cs="Times New Roman"/>
          <w:sz w:val="32"/>
          <w:szCs w:val="32"/>
        </w:rPr>
        <w:t>下一步改进措施：一是</w:t>
      </w:r>
      <w:r>
        <w:rPr>
          <w:rFonts w:hint="eastAsia" w:ascii="仿宋_GB2312" w:hAnsi="仿宋_GB2312" w:eastAsia="仿宋_GB2312" w:cs="仿宋_GB2312"/>
          <w:color w:val="auto"/>
          <w:kern w:val="0"/>
          <w:sz w:val="32"/>
          <w:szCs w:val="32"/>
          <w:lang w:val="en-US" w:eastAsia="zh-CN" w:bidi="ar-SA"/>
        </w:rPr>
        <w:t>细化预算编制工作，精准编制项目支出预算，认真做好预算的编制</w:t>
      </w:r>
      <w:r>
        <w:rPr>
          <w:rFonts w:ascii="Times New Roman" w:hAnsi="Times New Roman" w:eastAsia="仿宋_GB2312" w:cs="Times New Roman"/>
          <w:sz w:val="32"/>
          <w:szCs w:val="32"/>
        </w:rPr>
        <w:t>；二是</w:t>
      </w:r>
      <w:r>
        <w:rPr>
          <w:rFonts w:hint="eastAsia" w:ascii="仿宋_GB2312" w:hAnsi="仿宋_GB2312" w:eastAsia="仿宋_GB2312" w:cs="仿宋_GB2312"/>
          <w:color w:val="auto"/>
          <w:kern w:val="0"/>
          <w:sz w:val="32"/>
          <w:szCs w:val="32"/>
          <w:lang w:val="en-US" w:eastAsia="zh-CN" w:bidi="ar-SA"/>
        </w:rPr>
        <w:t>进一步加强单位内部机构各局室的预算管理意识，严格按照预算编制的相关制度和要求进行预算编制</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（请</w:t>
      </w:r>
      <w:r>
        <w:rPr>
          <w:rFonts w:ascii="Times New Roman" w:hAnsi="Times New Roman" w:eastAsia="仿宋_GB2312" w:cs="Times New Roman"/>
          <w:sz w:val="32"/>
          <w:szCs w:val="32"/>
        </w:rPr>
        <w:t>对本部门整体支出的绩效目标完成情况，存在的问题及原因，下一步改进措施等进行简要说明</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二是部门评价结果（如有，一级预算部门填写）。</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1024.79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8120.96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”。绩效目标完成情况：一是</w:t>
      </w:r>
      <w:r>
        <w:rPr>
          <w:rFonts w:hint="eastAsia" w:ascii="仿宋_GB2312" w:hAnsi="仿宋_GB2312" w:eastAsia="仿宋_GB2312" w:cs="仿宋_GB2312"/>
          <w:color w:val="auto"/>
          <w:kern w:val="0"/>
          <w:sz w:val="32"/>
          <w:szCs w:val="32"/>
          <w:lang w:val="en-US" w:eastAsia="zh-CN" w:bidi="ar-SA"/>
        </w:rPr>
        <w:t>2024年部门整体支出绩效情况较好，能按年初设定的目标任务积极完成了各项工作</w:t>
      </w:r>
      <w:r>
        <w:rPr>
          <w:rFonts w:ascii="Times New Roman" w:hAnsi="Times New Roman" w:eastAsia="仿宋_GB2312" w:cs="Times New Roman"/>
          <w:sz w:val="32"/>
          <w:szCs w:val="32"/>
        </w:rPr>
        <w:t>；二是</w:t>
      </w:r>
      <w:r>
        <w:rPr>
          <w:rFonts w:hint="eastAsia" w:ascii="仿宋_GB2312" w:hAnsi="仿宋_GB2312" w:eastAsia="仿宋_GB2312" w:cs="仿宋_GB2312"/>
          <w:color w:val="auto"/>
          <w:kern w:val="0"/>
          <w:sz w:val="32"/>
          <w:szCs w:val="32"/>
          <w:lang w:val="en-US" w:eastAsia="zh-CN" w:bidi="ar-SA"/>
        </w:rPr>
        <w:t>2024年部门整体支出绩效情况较好，调动了单位干部职工的积极性，激发了园区企业的干劲，促进园区高质量发展</w:t>
      </w:r>
      <w:r>
        <w:rPr>
          <w:rFonts w:ascii="Times New Roman" w:hAnsi="Times New Roman" w:eastAsia="仿宋_GB2312" w:cs="Times New Roman"/>
          <w:sz w:val="32"/>
          <w:szCs w:val="32"/>
        </w:rPr>
        <w:t>。发现的主要问题及原因：一是</w:t>
      </w:r>
      <w:r>
        <w:rPr>
          <w:rFonts w:hint="eastAsia" w:ascii="仿宋_GB2312" w:hAnsi="仿宋_GB2312" w:eastAsia="仿宋_GB2312" w:cs="仿宋_GB2312"/>
          <w:color w:val="auto"/>
          <w:kern w:val="0"/>
          <w:sz w:val="32"/>
          <w:szCs w:val="32"/>
          <w:lang w:val="en-US" w:eastAsia="zh-CN" w:bidi="ar-SA"/>
        </w:rPr>
        <w:t>预算项目在编制预算时未充分考虑</w:t>
      </w:r>
      <w:r>
        <w:rPr>
          <w:rFonts w:ascii="Times New Roman" w:hAnsi="Times New Roman" w:eastAsia="仿宋_GB2312" w:cs="Times New Roman"/>
          <w:sz w:val="32"/>
          <w:szCs w:val="32"/>
        </w:rPr>
        <w:t>；二是</w:t>
      </w:r>
      <w:r>
        <w:rPr>
          <w:rFonts w:hint="eastAsia" w:ascii="仿宋_GB2312" w:hAnsi="仿宋_GB2312" w:eastAsia="仿宋_GB2312" w:cs="仿宋_GB2312"/>
          <w:color w:val="auto"/>
          <w:kern w:val="0"/>
          <w:sz w:val="32"/>
          <w:szCs w:val="32"/>
          <w:lang w:val="en-US" w:eastAsia="zh-CN" w:bidi="ar-SA"/>
        </w:rPr>
        <w:t>市委市政府、县委县政府临时交办园区项目支出导致本单位项目预算经费紧张；原因三是县级产业扶持资金财政局未批复到本单位，增加了本级单位对企业政策兑现的支付金额。</w:t>
      </w:r>
      <w:r>
        <w:rPr>
          <w:rFonts w:ascii="Times New Roman" w:hAnsi="Times New Roman" w:eastAsia="仿宋_GB2312" w:cs="Times New Roman"/>
          <w:sz w:val="32"/>
          <w:szCs w:val="32"/>
        </w:rPr>
        <w:t>下一步改进措施：一是</w:t>
      </w:r>
      <w:r>
        <w:rPr>
          <w:rFonts w:hint="eastAsia" w:ascii="仿宋_GB2312" w:hAnsi="仿宋_GB2312" w:eastAsia="仿宋_GB2312" w:cs="仿宋_GB2312"/>
          <w:color w:val="auto"/>
          <w:kern w:val="0"/>
          <w:sz w:val="32"/>
          <w:szCs w:val="32"/>
          <w:lang w:val="en-US" w:eastAsia="zh-CN" w:bidi="ar-SA"/>
        </w:rPr>
        <w:t>细化预算编制工作，精准编制项目支出预算，认真做好预算的编制</w:t>
      </w:r>
      <w:r>
        <w:rPr>
          <w:rFonts w:ascii="Times New Roman" w:hAnsi="Times New Roman" w:eastAsia="仿宋_GB2312" w:cs="Times New Roman"/>
          <w:sz w:val="32"/>
          <w:szCs w:val="32"/>
        </w:rPr>
        <w:t>；二是</w:t>
      </w:r>
      <w:r>
        <w:rPr>
          <w:rFonts w:hint="eastAsia" w:ascii="仿宋_GB2312" w:hAnsi="仿宋_GB2312" w:eastAsia="仿宋_GB2312" w:cs="仿宋_GB2312"/>
          <w:color w:val="auto"/>
          <w:kern w:val="0"/>
          <w:sz w:val="32"/>
          <w:szCs w:val="32"/>
          <w:lang w:val="en-US" w:eastAsia="zh-CN" w:bidi="ar-SA"/>
        </w:rPr>
        <w:t>进一步加强单位内部机构各局室的预算管理意识，严格按照预算编制的相关制度和要求进行预算编制</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三是事前绩效评估结果（如有，一级预算部门填写）。</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640" w:firstLineChars="200"/>
        <w:jc w:val="both"/>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针对绩效自评工作中发现的问题和不足，针对绩效有偏差的项目，我单位将细化预算编制工作，精准编制项目支出预算，认真做好预算的编制。进一步加强单位内部机构各局室的预算管理意识，严格按照预算编制的相关制度和要求进行预算编制。同时，本单位将自评结果作为下一年度预算安排和编制的依据，不断提高预算制定的科学性和有效性。</w:t>
      </w:r>
    </w:p>
    <w:p>
      <w:pPr>
        <w:pStyle w:val="15"/>
        <w:jc w:val="both"/>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ascii="Times New Roman" w:hAnsi="Times New Roman" w:cs="Times New Roman"/>
          <w:sz w:val="72"/>
          <w:szCs w:val="7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pStyle w:val="15"/>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bookmarkStart w:id="3" w:name="_GoBack"/>
      <w:bookmarkEnd w:id="3"/>
    </w:p>
    <w:p>
      <w:pPr>
        <w:pStyle w:val="15"/>
        <w:spacing w:line="600" w:lineRule="exact"/>
        <w:ind w:firstLine="640" w:firstLineChars="200"/>
        <w:rPr>
          <w:rFonts w:ascii="Times New Roman" w:hAnsi="Times New Roman" w:eastAsia="仿宋_GB2312" w:cs="Times New Roman"/>
          <w:sz w:val="32"/>
          <w:szCs w:val="3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90BB23-EDB0-47A0-8F51-531C8E5071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0AE0A7BB-E251-4E56-912A-13599E5899DF}"/>
  </w:font>
  <w:font w:name="仿宋_GB2312">
    <w:panose1 w:val="02010609030101010101"/>
    <w:charset w:val="86"/>
    <w:family w:val="modern"/>
    <w:pitch w:val="default"/>
    <w:sig w:usb0="00000001" w:usb1="080E0000" w:usb2="00000000" w:usb3="00000000" w:csb0="00040000" w:csb1="00000000"/>
    <w:embedRegular r:id="rId3" w:fontKey="{E000DC2F-CF71-4B3B-AE2E-A1F1C8201D79}"/>
  </w:font>
  <w:font w:name="仿宋">
    <w:panose1 w:val="02010609060101010101"/>
    <w:charset w:val="86"/>
    <w:family w:val="auto"/>
    <w:pitch w:val="default"/>
    <w:sig w:usb0="800002BF" w:usb1="38CF7CFA" w:usb2="00000016" w:usb3="00000000" w:csb0="00040001" w:csb1="00000000"/>
    <w:embedRegular r:id="rId4" w:fontKey="{589DE390-8B24-4781-9368-DE766732C71F}"/>
  </w:font>
  <w:font w:name="华文中宋">
    <w:altName w:val="宋体"/>
    <w:panose1 w:val="02010600040101010101"/>
    <w:charset w:val="86"/>
    <w:family w:val="auto"/>
    <w:pitch w:val="default"/>
    <w:sig w:usb0="00000000" w:usb1="00000000" w:usb2="00000010" w:usb3="00000000" w:csb0="0004009F" w:csb1="00000000"/>
    <w:embedRegular r:id="rId5" w:fontKey="{B939617B-281A-468F-8C15-43F81B758E1D}"/>
  </w:font>
  <w:font w:name="楷体_GB2312">
    <w:panose1 w:val="02010609030101010101"/>
    <w:charset w:val="86"/>
    <w:family w:val="modern"/>
    <w:pitch w:val="default"/>
    <w:sig w:usb0="00000001" w:usb1="080E0000" w:usb2="00000000" w:usb3="00000000" w:csb0="00040000" w:csb1="00000000"/>
    <w:embedRegular r:id="rId6" w:fontKey="{C3133BF3-3D93-401B-A1E6-A1B155ACDC4A}"/>
  </w:font>
  <w:font w:name="楷体">
    <w:panose1 w:val="02010609060101010101"/>
    <w:charset w:val="86"/>
    <w:family w:val="modern"/>
    <w:pitch w:val="default"/>
    <w:sig w:usb0="800002BF" w:usb1="38CF7CFA" w:usb2="00000016" w:usb3="00000000" w:csb0="00040001" w:csb1="00000000"/>
    <w:embedRegular r:id="rId7" w:fontKey="{BE7A7C2B-0A80-437D-B660-0CC7EC4F2E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303696"/>
    <w:multiLevelType w:val="singleLevel"/>
    <w:tmpl w:val="88303696"/>
    <w:lvl w:ilvl="0" w:tentative="0">
      <w:start w:val="4"/>
      <w:numFmt w:val="decimal"/>
      <w:suff w:val="nothing"/>
      <w:lvlText w:val="%1、"/>
      <w:lvlJc w:val="left"/>
    </w:lvl>
  </w:abstractNum>
  <w:abstractNum w:abstractNumId="1">
    <w:nsid w:val="BE1E89C7"/>
    <w:multiLevelType w:val="singleLevel"/>
    <w:tmpl w:val="BE1E89C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34DAD"/>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EF7950"/>
    <w:rsid w:val="00F74360"/>
    <w:rsid w:val="00FB462F"/>
    <w:rsid w:val="00FE16FA"/>
    <w:rsid w:val="00FE328A"/>
    <w:rsid w:val="00FE6269"/>
    <w:rsid w:val="00FF5CD6"/>
    <w:rsid w:val="028D7421"/>
    <w:rsid w:val="02E132C9"/>
    <w:rsid w:val="03BE185C"/>
    <w:rsid w:val="03D8291E"/>
    <w:rsid w:val="04D8694E"/>
    <w:rsid w:val="06C4362D"/>
    <w:rsid w:val="0721282E"/>
    <w:rsid w:val="0797489E"/>
    <w:rsid w:val="07BB058C"/>
    <w:rsid w:val="090B72F2"/>
    <w:rsid w:val="0AD61B81"/>
    <w:rsid w:val="0AFA13CC"/>
    <w:rsid w:val="0C0B585A"/>
    <w:rsid w:val="0C34090D"/>
    <w:rsid w:val="0C6C454B"/>
    <w:rsid w:val="0C7927C4"/>
    <w:rsid w:val="0CB832EC"/>
    <w:rsid w:val="0CCA1272"/>
    <w:rsid w:val="0D0F4ED6"/>
    <w:rsid w:val="0DAB2E51"/>
    <w:rsid w:val="0E1704E7"/>
    <w:rsid w:val="0E80608C"/>
    <w:rsid w:val="0ED168E7"/>
    <w:rsid w:val="0F621C35"/>
    <w:rsid w:val="0F6459AD"/>
    <w:rsid w:val="0FF26B15"/>
    <w:rsid w:val="10282537"/>
    <w:rsid w:val="10803007"/>
    <w:rsid w:val="11665A0D"/>
    <w:rsid w:val="11715B79"/>
    <w:rsid w:val="12386C7D"/>
    <w:rsid w:val="12483364"/>
    <w:rsid w:val="13A520F1"/>
    <w:rsid w:val="143C4803"/>
    <w:rsid w:val="149E726C"/>
    <w:rsid w:val="14AD3953"/>
    <w:rsid w:val="16E3365C"/>
    <w:rsid w:val="178169D1"/>
    <w:rsid w:val="17AD77C6"/>
    <w:rsid w:val="17EB6C6C"/>
    <w:rsid w:val="17FC5493"/>
    <w:rsid w:val="185A16FC"/>
    <w:rsid w:val="18E831AB"/>
    <w:rsid w:val="19173A91"/>
    <w:rsid w:val="196F567B"/>
    <w:rsid w:val="197467ED"/>
    <w:rsid w:val="1A1104E0"/>
    <w:rsid w:val="1AA80E44"/>
    <w:rsid w:val="1B8847D2"/>
    <w:rsid w:val="1CC96E50"/>
    <w:rsid w:val="1D383FD6"/>
    <w:rsid w:val="1D97DEFF"/>
    <w:rsid w:val="1DFF72E5"/>
    <w:rsid w:val="1EFC6F07"/>
    <w:rsid w:val="1FE04BDC"/>
    <w:rsid w:val="20256A93"/>
    <w:rsid w:val="20541126"/>
    <w:rsid w:val="229E48DB"/>
    <w:rsid w:val="236E69A3"/>
    <w:rsid w:val="23FE1AD5"/>
    <w:rsid w:val="2460453E"/>
    <w:rsid w:val="24AD7057"/>
    <w:rsid w:val="257C53A7"/>
    <w:rsid w:val="25AC5561"/>
    <w:rsid w:val="27AB3D22"/>
    <w:rsid w:val="28DC7F0B"/>
    <w:rsid w:val="28F11C08"/>
    <w:rsid w:val="29205437"/>
    <w:rsid w:val="297939AC"/>
    <w:rsid w:val="297B3BC8"/>
    <w:rsid w:val="2A61691A"/>
    <w:rsid w:val="2AA50EFC"/>
    <w:rsid w:val="2AA66A22"/>
    <w:rsid w:val="2C2A71DF"/>
    <w:rsid w:val="2C9F5E1F"/>
    <w:rsid w:val="2D5E35E4"/>
    <w:rsid w:val="2D6C5D01"/>
    <w:rsid w:val="2DC07DFB"/>
    <w:rsid w:val="2EA43279"/>
    <w:rsid w:val="2F3445FD"/>
    <w:rsid w:val="2F8A06C1"/>
    <w:rsid w:val="2FDF85B8"/>
    <w:rsid w:val="2FFFEE04"/>
    <w:rsid w:val="303845C1"/>
    <w:rsid w:val="32335040"/>
    <w:rsid w:val="32BA750F"/>
    <w:rsid w:val="3301513E"/>
    <w:rsid w:val="33252C28"/>
    <w:rsid w:val="3341378C"/>
    <w:rsid w:val="347100A1"/>
    <w:rsid w:val="34C04B85"/>
    <w:rsid w:val="34CE54F3"/>
    <w:rsid w:val="34DF85B0"/>
    <w:rsid w:val="353E4427"/>
    <w:rsid w:val="35492DCC"/>
    <w:rsid w:val="361C403D"/>
    <w:rsid w:val="368220F2"/>
    <w:rsid w:val="36E763F9"/>
    <w:rsid w:val="37517D16"/>
    <w:rsid w:val="37F66CB6"/>
    <w:rsid w:val="383438BF"/>
    <w:rsid w:val="386A72E1"/>
    <w:rsid w:val="387B329C"/>
    <w:rsid w:val="390C0398"/>
    <w:rsid w:val="399A3BF6"/>
    <w:rsid w:val="3AC21656"/>
    <w:rsid w:val="3B077069"/>
    <w:rsid w:val="3B0F4170"/>
    <w:rsid w:val="3B8F36BC"/>
    <w:rsid w:val="3C12216A"/>
    <w:rsid w:val="3C721588"/>
    <w:rsid w:val="3D0418D3"/>
    <w:rsid w:val="3E1A70B4"/>
    <w:rsid w:val="3E8B7FB1"/>
    <w:rsid w:val="3EE35DCD"/>
    <w:rsid w:val="3F165ACD"/>
    <w:rsid w:val="3F277CDA"/>
    <w:rsid w:val="3F584337"/>
    <w:rsid w:val="3F7942AE"/>
    <w:rsid w:val="3F874C1D"/>
    <w:rsid w:val="401D732F"/>
    <w:rsid w:val="40300E10"/>
    <w:rsid w:val="404450F3"/>
    <w:rsid w:val="40490124"/>
    <w:rsid w:val="405E4E4F"/>
    <w:rsid w:val="40706F10"/>
    <w:rsid w:val="40D85C5D"/>
    <w:rsid w:val="40ED4F53"/>
    <w:rsid w:val="41B33AA7"/>
    <w:rsid w:val="425132C0"/>
    <w:rsid w:val="433230F1"/>
    <w:rsid w:val="437159C8"/>
    <w:rsid w:val="43DD12AF"/>
    <w:rsid w:val="443864E5"/>
    <w:rsid w:val="4469669F"/>
    <w:rsid w:val="449F6565"/>
    <w:rsid w:val="44DC3315"/>
    <w:rsid w:val="45863281"/>
    <w:rsid w:val="45A73923"/>
    <w:rsid w:val="45FD1795"/>
    <w:rsid w:val="46205483"/>
    <w:rsid w:val="466E2692"/>
    <w:rsid w:val="467A2DE5"/>
    <w:rsid w:val="46B502C1"/>
    <w:rsid w:val="47E66258"/>
    <w:rsid w:val="48276F9D"/>
    <w:rsid w:val="484713ED"/>
    <w:rsid w:val="48657AC5"/>
    <w:rsid w:val="491A265E"/>
    <w:rsid w:val="491FF225"/>
    <w:rsid w:val="49B52386"/>
    <w:rsid w:val="4AB34B18"/>
    <w:rsid w:val="4B271062"/>
    <w:rsid w:val="4B29302C"/>
    <w:rsid w:val="4B6667B4"/>
    <w:rsid w:val="4B6D2F19"/>
    <w:rsid w:val="4B726781"/>
    <w:rsid w:val="4C3954F1"/>
    <w:rsid w:val="4C8147A2"/>
    <w:rsid w:val="4CD6689C"/>
    <w:rsid w:val="4CE52F83"/>
    <w:rsid w:val="4CFA4C80"/>
    <w:rsid w:val="4D1C1C6E"/>
    <w:rsid w:val="4D2A6BE7"/>
    <w:rsid w:val="4D9C5D37"/>
    <w:rsid w:val="4E920EE8"/>
    <w:rsid w:val="4F271630"/>
    <w:rsid w:val="4FFD214C"/>
    <w:rsid w:val="50FD6AED"/>
    <w:rsid w:val="51F15F26"/>
    <w:rsid w:val="52262073"/>
    <w:rsid w:val="52B21B59"/>
    <w:rsid w:val="52C06024"/>
    <w:rsid w:val="53446C55"/>
    <w:rsid w:val="53C77F81"/>
    <w:rsid w:val="54077C82"/>
    <w:rsid w:val="55164621"/>
    <w:rsid w:val="55AF2380"/>
    <w:rsid w:val="562763BA"/>
    <w:rsid w:val="56372AA1"/>
    <w:rsid w:val="56AB0D99"/>
    <w:rsid w:val="570606C5"/>
    <w:rsid w:val="5777D4F5"/>
    <w:rsid w:val="57AD28EF"/>
    <w:rsid w:val="57EC78BB"/>
    <w:rsid w:val="587C29ED"/>
    <w:rsid w:val="59080725"/>
    <w:rsid w:val="596F4300"/>
    <w:rsid w:val="59DD8326"/>
    <w:rsid w:val="59E44CEE"/>
    <w:rsid w:val="5A276988"/>
    <w:rsid w:val="5A6125C7"/>
    <w:rsid w:val="5A7F4A16"/>
    <w:rsid w:val="5B8F6EDB"/>
    <w:rsid w:val="5C4F7D53"/>
    <w:rsid w:val="5CF8285E"/>
    <w:rsid w:val="5D681792"/>
    <w:rsid w:val="5DEF592A"/>
    <w:rsid w:val="5F8B7350"/>
    <w:rsid w:val="5FC6BB1E"/>
    <w:rsid w:val="5FF720F1"/>
    <w:rsid w:val="60275C02"/>
    <w:rsid w:val="617A1A94"/>
    <w:rsid w:val="62037CDB"/>
    <w:rsid w:val="6247406C"/>
    <w:rsid w:val="62A50D92"/>
    <w:rsid w:val="62B965EC"/>
    <w:rsid w:val="63247F09"/>
    <w:rsid w:val="665F56FC"/>
    <w:rsid w:val="67A45D50"/>
    <w:rsid w:val="67FF5C0B"/>
    <w:rsid w:val="685017A0"/>
    <w:rsid w:val="6A6908F7"/>
    <w:rsid w:val="6B016D82"/>
    <w:rsid w:val="6B0A032C"/>
    <w:rsid w:val="6B0D5727"/>
    <w:rsid w:val="6B9138F9"/>
    <w:rsid w:val="6C0E79A8"/>
    <w:rsid w:val="6C296590"/>
    <w:rsid w:val="6C6E6699"/>
    <w:rsid w:val="6C790A94"/>
    <w:rsid w:val="6D8617C0"/>
    <w:rsid w:val="6DD31CBD"/>
    <w:rsid w:val="6DF64B98"/>
    <w:rsid w:val="6ED36C87"/>
    <w:rsid w:val="6EFC0924"/>
    <w:rsid w:val="6FA10B33"/>
    <w:rsid w:val="6FAD1286"/>
    <w:rsid w:val="6FB74722"/>
    <w:rsid w:val="6FEF8B7E"/>
    <w:rsid w:val="70F73101"/>
    <w:rsid w:val="71123A97"/>
    <w:rsid w:val="711C4915"/>
    <w:rsid w:val="71A6591B"/>
    <w:rsid w:val="71CD20B4"/>
    <w:rsid w:val="720F6228"/>
    <w:rsid w:val="73375A36"/>
    <w:rsid w:val="737D59BA"/>
    <w:rsid w:val="74213FF1"/>
    <w:rsid w:val="75091655"/>
    <w:rsid w:val="75281089"/>
    <w:rsid w:val="754E350B"/>
    <w:rsid w:val="755F74C6"/>
    <w:rsid w:val="759C6025"/>
    <w:rsid w:val="75C94940"/>
    <w:rsid w:val="75EB2B08"/>
    <w:rsid w:val="767D5E56"/>
    <w:rsid w:val="770C35E3"/>
    <w:rsid w:val="77C37683"/>
    <w:rsid w:val="781E5417"/>
    <w:rsid w:val="78281DF2"/>
    <w:rsid w:val="789E20B4"/>
    <w:rsid w:val="79334EF2"/>
    <w:rsid w:val="79584959"/>
    <w:rsid w:val="79B871A5"/>
    <w:rsid w:val="79D19834"/>
    <w:rsid w:val="79E306C6"/>
    <w:rsid w:val="79FF515B"/>
    <w:rsid w:val="7A6A04A0"/>
    <w:rsid w:val="7B2C1BF9"/>
    <w:rsid w:val="7B7F61CD"/>
    <w:rsid w:val="7BCC0CE6"/>
    <w:rsid w:val="7CB00608"/>
    <w:rsid w:val="7CCF6CE0"/>
    <w:rsid w:val="7D20578D"/>
    <w:rsid w:val="7D3E79C1"/>
    <w:rsid w:val="7D7D2BE0"/>
    <w:rsid w:val="7DB52379"/>
    <w:rsid w:val="7DFF1847"/>
    <w:rsid w:val="7E1F3C97"/>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index 5"/>
    <w:basedOn w:val="1"/>
    <w:next w:val="1"/>
    <w:unhideWhenUsed/>
    <w:qFormat/>
    <w:uiPriority w:val="99"/>
    <w:pPr>
      <w:suppressAutoHyphens/>
      <w:ind w:left="1680"/>
    </w:pPr>
    <w:rPr>
      <w:szCs w:val="20"/>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SA"/>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6"/>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24</Words>
  <Characters>27</Characters>
  <Lines>69</Lines>
  <Paragraphs>19</Paragraphs>
  <TotalTime>0</TotalTime>
  <ScaleCrop>false</ScaleCrop>
  <LinksUpToDate>false</LinksUpToDate>
  <CharactersWithSpaces>27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2025-09-17T09:21:05Z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BB7B6AA21D207914D6FDA268992A22D6</vt:lpwstr>
  </property>
  <property fmtid="{D5CDD505-2E9C-101B-9397-08002B2CF9AE}" pid="4" name="KSOTemplateDocerSaveRecord">
    <vt:lpwstr>eyJoZGlkIjoiOWUwOWE3ZGUwMmY3NzY0YzAyOTE4OTJjYzFmMTc1NWUiLCJ1c2VySWQiOiI0MjgwMzMyNzYifQ==</vt:lpwstr>
  </property>
</Properties>
</file>