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5144">
      <w:pPr>
        <w:pStyle w:val="14"/>
        <w:jc w:val="both"/>
        <w:rPr>
          <w:rFonts w:hAnsi="黑体"/>
          <w:sz w:val="36"/>
          <w:szCs w:val="36"/>
        </w:rPr>
      </w:pPr>
      <w:bookmarkStart w:id="3" w:name="_GoBack"/>
      <w:bookmarkEnd w:id="3"/>
      <w:r>
        <w:rPr>
          <w:rFonts w:hint="eastAsia" w:hAnsi="黑体"/>
          <w:sz w:val="36"/>
          <w:szCs w:val="36"/>
        </w:rPr>
        <w:t>附件1</w:t>
      </w:r>
    </w:p>
    <w:p w14:paraId="32A3EC1B">
      <w:pPr>
        <w:pStyle w:val="14"/>
        <w:jc w:val="center"/>
        <w:rPr>
          <w:rFonts w:ascii="Times New Roman" w:hAnsi="Times New Roman" w:cs="Times New Roman"/>
          <w:sz w:val="56"/>
          <w:szCs w:val="56"/>
        </w:rPr>
      </w:pPr>
    </w:p>
    <w:p w14:paraId="34F734FD">
      <w:pPr>
        <w:pStyle w:val="14"/>
        <w:jc w:val="center"/>
        <w:rPr>
          <w:rFonts w:ascii="Times New Roman" w:hAnsi="Times New Roman" w:cs="Times New Roman"/>
          <w:sz w:val="84"/>
          <w:szCs w:val="84"/>
        </w:rPr>
      </w:pPr>
    </w:p>
    <w:p w14:paraId="40A3B061">
      <w:pPr>
        <w:pStyle w:val="14"/>
        <w:jc w:val="center"/>
        <w:rPr>
          <w:rFonts w:ascii="Times New Roman" w:hAnsi="Times New Roman" w:cs="Times New Roman"/>
          <w:sz w:val="84"/>
          <w:szCs w:val="84"/>
        </w:rPr>
      </w:pPr>
    </w:p>
    <w:p w14:paraId="53747BF4">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4F7546A">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农村经营服务站</w:t>
      </w:r>
      <w:r>
        <w:rPr>
          <w:rFonts w:ascii="Times New Roman" w:hAnsi="Times New Roman" w:eastAsia="方正小标宋简体" w:cs="Times New Roman"/>
          <w:sz w:val="72"/>
          <w:szCs w:val="72"/>
        </w:rPr>
        <w:t>部门决算</w:t>
      </w:r>
    </w:p>
    <w:p w14:paraId="3AF10E64">
      <w:pPr>
        <w:pStyle w:val="14"/>
        <w:jc w:val="center"/>
        <w:rPr>
          <w:rFonts w:ascii="Times New Roman" w:hAnsi="Times New Roman" w:eastAsia="方正小标宋_GBK" w:cs="Times New Roman"/>
          <w:sz w:val="56"/>
          <w:szCs w:val="56"/>
        </w:rPr>
      </w:pPr>
    </w:p>
    <w:p w14:paraId="5B70D7E2">
      <w:pPr>
        <w:pStyle w:val="14"/>
        <w:jc w:val="center"/>
        <w:rPr>
          <w:rFonts w:ascii="Times New Roman" w:hAnsi="Times New Roman" w:cs="Times New Roman"/>
          <w:sz w:val="56"/>
          <w:szCs w:val="56"/>
        </w:rPr>
      </w:pPr>
    </w:p>
    <w:p w14:paraId="0C5AEF8A">
      <w:pPr>
        <w:pStyle w:val="14"/>
        <w:rPr>
          <w:rFonts w:ascii="Times New Roman" w:hAnsi="Times New Roman" w:cs="Times New Roman"/>
          <w:sz w:val="56"/>
          <w:szCs w:val="56"/>
        </w:rPr>
      </w:pPr>
    </w:p>
    <w:p w14:paraId="7E718103">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32A7B02">
      <w:pPr>
        <w:pStyle w:val="14"/>
        <w:spacing w:line="600" w:lineRule="exact"/>
        <w:jc w:val="both"/>
        <w:rPr>
          <w:rFonts w:ascii="Times New Roman" w:hAnsi="Times New Roman" w:cs="Times New Roman"/>
          <w:b/>
          <w:sz w:val="36"/>
          <w:szCs w:val="28"/>
        </w:rPr>
      </w:pPr>
    </w:p>
    <w:p w14:paraId="3FD5B4A1">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C01EBAC">
      <w:pPr>
        <w:pStyle w:val="14"/>
        <w:spacing w:line="600" w:lineRule="exact"/>
        <w:jc w:val="center"/>
        <w:rPr>
          <w:rFonts w:ascii="Times New Roman" w:hAnsi="Times New Roman" w:cs="Times New Roman"/>
          <w:b/>
          <w:sz w:val="36"/>
          <w:szCs w:val="28"/>
        </w:rPr>
      </w:pPr>
    </w:p>
    <w:p w14:paraId="49ADDF10">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部门概况</w:t>
      </w:r>
    </w:p>
    <w:p w14:paraId="2882DBC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604D46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B8FFF6B">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部门决算表</w:t>
      </w:r>
    </w:p>
    <w:p w14:paraId="5D7DD27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FE91AC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8AFCF3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51F79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EC10BE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AF58DB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D65E3E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094FCB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EB5D8C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2E47D4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2024年度</w:t>
      </w:r>
      <w:r>
        <w:rPr>
          <w:rFonts w:ascii="Times New Roman" w:hAnsi="Times New Roman" w:cs="Times New Roman"/>
          <w:bCs/>
          <w:sz w:val="32"/>
          <w:szCs w:val="32"/>
        </w:rPr>
        <w:t>部门决算情况说明</w:t>
      </w:r>
    </w:p>
    <w:p w14:paraId="5DAEDFA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400978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4303C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9B5BE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06600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32B25B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D921A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3D800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9C073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5AA9C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80B0B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3C08D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754805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106E68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F144CC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38390E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FE63157">
      <w:pPr>
        <w:pStyle w:val="14"/>
        <w:spacing w:line="600" w:lineRule="exact"/>
        <w:rPr>
          <w:rFonts w:ascii="Times New Roman" w:hAnsi="Times New Roman" w:cs="Times New Roman"/>
          <w:bCs/>
          <w:sz w:val="28"/>
          <w:szCs w:val="28"/>
        </w:rPr>
      </w:pPr>
    </w:p>
    <w:p w14:paraId="7D3DAA13">
      <w:pPr>
        <w:jc w:val="center"/>
        <w:rPr>
          <w:rFonts w:ascii="Times New Roman" w:hAnsi="Times New Roman" w:cs="Times New Roman"/>
          <w:sz w:val="72"/>
          <w:szCs w:val="72"/>
        </w:rPr>
      </w:pPr>
    </w:p>
    <w:p w14:paraId="5A4D9A77">
      <w:pPr>
        <w:jc w:val="center"/>
        <w:rPr>
          <w:rFonts w:ascii="Times New Roman" w:hAnsi="Times New Roman" w:cs="Times New Roman"/>
          <w:sz w:val="72"/>
          <w:szCs w:val="72"/>
        </w:rPr>
      </w:pPr>
    </w:p>
    <w:p w14:paraId="76D096CD">
      <w:pPr>
        <w:jc w:val="center"/>
        <w:rPr>
          <w:rFonts w:ascii="Times New Roman" w:hAnsi="Times New Roman" w:cs="Times New Roman"/>
          <w:sz w:val="72"/>
          <w:szCs w:val="72"/>
        </w:rPr>
      </w:pPr>
    </w:p>
    <w:p w14:paraId="2CCA4311">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E25438A">
      <w:pPr>
        <w:rPr>
          <w:rFonts w:ascii="Times New Roman" w:hAnsi="Times New Roman" w:eastAsia="方正小标宋_GBK" w:cs="Times New Roman"/>
          <w:sz w:val="72"/>
          <w:szCs w:val="72"/>
        </w:rPr>
      </w:pPr>
    </w:p>
    <w:p w14:paraId="5335C26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E1F1457">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蓝山县农村经营服务站</w:t>
      </w:r>
      <w:r>
        <w:rPr>
          <w:rFonts w:ascii="Times New Roman" w:hAnsi="Times New Roman" w:eastAsia="方正小标宋_GBK" w:cs="Times New Roman"/>
          <w:sz w:val="52"/>
          <w:szCs w:val="52"/>
        </w:rPr>
        <w:t>概况</w:t>
      </w:r>
    </w:p>
    <w:p w14:paraId="78BF816C">
      <w:pPr>
        <w:pStyle w:val="5"/>
        <w:ind w:left="0" w:leftChars="0" w:firstLine="0" w:firstLineChars="0"/>
        <w:rPr>
          <w:rFonts w:ascii="Times New Roman" w:hAnsi="Times New Roman" w:cs="Times New Roman"/>
        </w:rPr>
      </w:pPr>
    </w:p>
    <w:p w14:paraId="2CF915A2">
      <w:pPr>
        <w:pStyle w:val="15"/>
        <w:spacing w:line="600" w:lineRule="exact"/>
        <w:ind w:firstLine="0" w:firstLineChars="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一、部门职责</w:t>
      </w:r>
    </w:p>
    <w:p w14:paraId="2D69F812">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根据省、市机构改革文件（永发[2015]4号、5号文件）和永实办发[2010]9号、永编办发[2016]4号、蓝编办发[2016]33号、蓝编发[2019]3号文件精神，本单位主要职责是：</w:t>
      </w:r>
    </w:p>
    <w:p w14:paraId="377768D7">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1、划出去的行政管理职责即农村产权制度改革、农村土地承包管理、农村集体“三资”管理、农民负担监督管理继续受农业农村局的委托行使。</w:t>
      </w:r>
    </w:p>
    <w:p w14:paraId="164FE7C3">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2、提出稳定和完善农村基本经营制度的政策建议。</w:t>
      </w:r>
    </w:p>
    <w:p w14:paraId="05DFFCB0">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3、提出指导、扶持农民专业合作组织建设与发展的政策措施，开展相关服务和监督。</w:t>
      </w:r>
    </w:p>
    <w:p w14:paraId="764729CF">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4、指导村级集体经济发展和农村集体经济组织建设、资产财务管理和审计。</w:t>
      </w:r>
    </w:p>
    <w:p w14:paraId="5D4DD1FB">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5、宣传贯彻党和国家减轻农民负担的法律法规和政策，承担减轻农民负担示范、监测工作，协助涉及农民负担的重大案（事）件查处和信访处理。</w:t>
      </w:r>
    </w:p>
    <w:p w14:paraId="0492434B">
      <w:pPr>
        <w:ind w:firstLine="560" w:firstLineChars="200"/>
        <w:jc w:val="lef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sz w:val="28"/>
          <w:szCs w:val="32"/>
        </w:rPr>
        <w:t>6、组织开展农村经济收支、农民收入、农民合作社与农村集体经济组织运行情况的监测、统计和调查；拟定农经信息体系建设规划并组织实施。</w:t>
      </w:r>
    </w:p>
    <w:p w14:paraId="78275A71">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二、机构设置及决算单位构成</w:t>
      </w:r>
    </w:p>
    <w:p w14:paraId="15648B33">
      <w:pPr>
        <w:pStyle w:val="2"/>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Cs/>
          <w:kern w:val="0"/>
          <w:sz w:val="28"/>
          <w:szCs w:val="28"/>
        </w:rPr>
        <w:t>根据前述有关文件精神，本单位是归口县农业农村局管理</w:t>
      </w: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kern w:val="0"/>
          <w:sz w:val="28"/>
          <w:szCs w:val="28"/>
        </w:rPr>
        <w:t>属县财政全额拨款、实行参照公务员管理的公益一类副科级事业单位，事业编制20人，</w:t>
      </w:r>
      <w:r>
        <w:rPr>
          <w:rFonts w:hint="default" w:ascii="Times New Roman" w:hAnsi="Times New Roman" w:eastAsia="仿宋_GB2312" w:cs="Times New Roman"/>
          <w:bCs/>
          <w:kern w:val="0"/>
          <w:sz w:val="28"/>
          <w:szCs w:val="28"/>
          <w:lang w:val="en-US" w:eastAsia="zh-CN"/>
        </w:rPr>
        <w:t>12月31日止</w:t>
      </w:r>
      <w:r>
        <w:rPr>
          <w:rFonts w:hint="default" w:ascii="Times New Roman" w:hAnsi="Times New Roman" w:eastAsia="仿宋_GB2312" w:cs="Times New Roman"/>
          <w:bCs/>
          <w:kern w:val="0"/>
          <w:sz w:val="28"/>
          <w:szCs w:val="28"/>
        </w:rPr>
        <w:t>实有在职人员1</w:t>
      </w:r>
      <w:r>
        <w:rPr>
          <w:rFonts w:hint="default" w:ascii="Times New Roman" w:hAnsi="Times New Roman" w:eastAsia="仿宋_GB2312" w:cs="Times New Roman"/>
          <w:bCs/>
          <w:kern w:val="0"/>
          <w:sz w:val="28"/>
          <w:szCs w:val="28"/>
          <w:lang w:val="en-US" w:eastAsia="zh-CN"/>
        </w:rPr>
        <w:t>6</w:t>
      </w:r>
      <w:r>
        <w:rPr>
          <w:rFonts w:hint="default" w:ascii="Times New Roman" w:hAnsi="Times New Roman" w:eastAsia="仿宋_GB2312" w:cs="Times New Roman"/>
          <w:bCs/>
          <w:kern w:val="0"/>
          <w:sz w:val="28"/>
          <w:szCs w:val="28"/>
        </w:rPr>
        <w:t>人，退休人员</w:t>
      </w:r>
      <w:r>
        <w:rPr>
          <w:rFonts w:hint="default" w:ascii="Times New Roman" w:hAnsi="Times New Roman" w:eastAsia="仿宋_GB2312" w:cs="Times New Roman"/>
          <w:bCs/>
          <w:kern w:val="0"/>
          <w:sz w:val="28"/>
          <w:szCs w:val="28"/>
          <w:lang w:val="en-US" w:eastAsia="zh-CN"/>
        </w:rPr>
        <w:t>6</w:t>
      </w:r>
      <w:r>
        <w:rPr>
          <w:rFonts w:hint="default" w:ascii="Times New Roman" w:hAnsi="Times New Roman" w:eastAsia="仿宋_GB2312" w:cs="Times New Roman"/>
          <w:bCs/>
          <w:kern w:val="0"/>
          <w:sz w:val="28"/>
          <w:szCs w:val="28"/>
        </w:rPr>
        <w:t>人。</w:t>
      </w:r>
    </w:p>
    <w:p w14:paraId="23C72845">
      <w:pPr>
        <w:widowControl/>
        <w:spacing w:line="60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kern w:val="0"/>
          <w:sz w:val="32"/>
          <w:szCs w:val="32"/>
        </w:rPr>
        <w:t>（一）内设机构设置。</w:t>
      </w:r>
      <w:r>
        <w:rPr>
          <w:rFonts w:hint="default" w:ascii="Times New Roman" w:hAnsi="Times New Roman" w:eastAsia="仿宋_GB2312" w:cs="Times New Roman"/>
          <w:bCs/>
          <w:kern w:val="0"/>
          <w:sz w:val="28"/>
          <w:szCs w:val="28"/>
        </w:rPr>
        <w:t>本单位内设机构3个,包括：综合办公室、农民负担监督管理办公室、农村产权交易管理办公室。</w:t>
      </w:r>
    </w:p>
    <w:p w14:paraId="6CA19033">
      <w:pPr>
        <w:jc w:val="left"/>
        <w:rPr>
          <w:rFonts w:hint="default" w:ascii="Times New Roman" w:hAnsi="Times New Roman" w:eastAsia="仿宋_GB2312" w:cs="Times New Roman"/>
          <w:sz w:val="28"/>
          <w:szCs w:val="32"/>
        </w:rPr>
      </w:pPr>
      <w:r>
        <w:rPr>
          <w:rFonts w:hint="default" w:ascii="Times New Roman" w:hAnsi="Times New Roman" w:eastAsia="仿宋_GB2312" w:cs="Times New Roman"/>
          <w:b/>
          <w:bCs/>
          <w:kern w:val="0"/>
          <w:sz w:val="32"/>
          <w:szCs w:val="32"/>
        </w:rPr>
        <w:t>（二）决算单位构成。</w:t>
      </w:r>
      <w:r>
        <w:rPr>
          <w:rFonts w:hint="default" w:ascii="Times New Roman" w:hAnsi="Times New Roman" w:eastAsia="仿宋_GB2312" w:cs="Times New Roman"/>
          <w:bCs/>
          <w:kern w:val="0"/>
          <w:sz w:val="28"/>
          <w:szCs w:val="28"/>
        </w:rPr>
        <w:t>本单位20</w:t>
      </w:r>
      <w:r>
        <w:rPr>
          <w:rFonts w:hint="default" w:ascii="Times New Roman" w:hAnsi="Times New Roman" w:eastAsia="仿宋_GB2312" w:cs="Times New Roman"/>
          <w:bCs/>
          <w:kern w:val="0"/>
          <w:sz w:val="28"/>
          <w:szCs w:val="28"/>
          <w:lang w:val="en-US" w:eastAsia="zh-CN"/>
        </w:rPr>
        <w:t>24</w:t>
      </w:r>
      <w:r>
        <w:rPr>
          <w:rFonts w:hint="default" w:ascii="Times New Roman" w:hAnsi="Times New Roman" w:eastAsia="仿宋_GB2312" w:cs="Times New Roman"/>
          <w:bCs/>
          <w:kern w:val="0"/>
          <w:sz w:val="28"/>
          <w:szCs w:val="28"/>
        </w:rPr>
        <w:t>年部门决算汇总公开单位构成包括：蓝山县农村经营服务站单</w:t>
      </w:r>
      <w:r>
        <w:rPr>
          <w:rFonts w:hint="default" w:ascii="Times New Roman" w:hAnsi="Times New Roman" w:eastAsia="仿宋_GB2312" w:cs="Times New Roman"/>
          <w:bCs/>
          <w:kern w:val="0"/>
          <w:sz w:val="28"/>
          <w:szCs w:val="28"/>
          <w:lang w:eastAsia="zh-CN"/>
        </w:rPr>
        <w:t>位本级。</w:t>
      </w:r>
    </w:p>
    <w:p w14:paraId="11D08ABD">
      <w:pPr>
        <w:jc w:val="center"/>
        <w:rPr>
          <w:rFonts w:ascii="Times New Roman" w:hAnsi="Times New Roman" w:eastAsia="黑体" w:cs="Times New Roman"/>
          <w:sz w:val="28"/>
          <w:szCs w:val="28"/>
        </w:rPr>
      </w:pPr>
    </w:p>
    <w:p w14:paraId="7CF433C0">
      <w:pPr>
        <w:jc w:val="center"/>
        <w:rPr>
          <w:rFonts w:ascii="Times New Roman" w:hAnsi="Times New Roman" w:eastAsia="黑体" w:cs="Times New Roman"/>
          <w:sz w:val="28"/>
          <w:szCs w:val="28"/>
        </w:rPr>
      </w:pPr>
    </w:p>
    <w:p w14:paraId="7E7AA7DB">
      <w:pPr>
        <w:jc w:val="center"/>
        <w:rPr>
          <w:rFonts w:ascii="Times New Roman" w:hAnsi="Times New Roman" w:eastAsia="黑体" w:cs="Times New Roman"/>
          <w:sz w:val="28"/>
          <w:szCs w:val="28"/>
        </w:rPr>
      </w:pPr>
    </w:p>
    <w:p w14:paraId="0C1F16B5">
      <w:pPr>
        <w:jc w:val="center"/>
        <w:rPr>
          <w:rFonts w:ascii="Times New Roman" w:hAnsi="Times New Roman" w:eastAsia="黑体" w:cs="Times New Roman"/>
          <w:sz w:val="28"/>
          <w:szCs w:val="28"/>
        </w:rPr>
      </w:pPr>
    </w:p>
    <w:p w14:paraId="1B50A318">
      <w:pPr>
        <w:jc w:val="center"/>
        <w:rPr>
          <w:rFonts w:ascii="Times New Roman" w:hAnsi="Times New Roman" w:eastAsia="黑体" w:cs="Times New Roman"/>
          <w:sz w:val="28"/>
          <w:szCs w:val="28"/>
        </w:rPr>
      </w:pPr>
    </w:p>
    <w:p w14:paraId="243005D5">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1D89F81">
      <w:pPr>
        <w:pStyle w:val="14"/>
        <w:jc w:val="center"/>
        <w:rPr>
          <w:rFonts w:hint="eastAsia" w:ascii="黑体" w:hAnsi="黑体" w:eastAsia="黑体" w:cs="黑体"/>
          <w:b/>
          <w:bCs/>
          <w:sz w:val="52"/>
          <w:szCs w:val="52"/>
        </w:rPr>
      </w:pPr>
      <w:r>
        <w:rPr>
          <w:rFonts w:hint="eastAsia" w:hAnsi="黑体" w:cs="黑体"/>
          <w:b/>
          <w:bCs/>
          <w:sz w:val="52"/>
          <w:szCs w:val="52"/>
          <w:lang w:val="en-US" w:eastAsia="zh-CN"/>
        </w:rPr>
        <w:t>00</w:t>
      </w:r>
      <w:r>
        <w:rPr>
          <w:rFonts w:hint="eastAsia" w:ascii="黑体" w:hAnsi="黑体" w:eastAsia="黑体" w:cs="黑体"/>
          <w:b/>
          <w:bCs/>
          <w:sz w:val="52"/>
          <w:szCs w:val="52"/>
        </w:rPr>
        <w:t>第二部分</w:t>
      </w:r>
      <w:r>
        <w:rPr>
          <w:rFonts w:hint="eastAsia" w:ascii="黑体" w:hAnsi="黑体" w:eastAsia="黑体" w:cs="黑体"/>
          <w:b/>
          <w:bCs/>
          <w:sz w:val="52"/>
          <w:szCs w:val="52"/>
          <w:lang w:val="en-US" w:eastAsia="zh-CN"/>
        </w:rPr>
        <w:t xml:space="preserve">  2024年</w:t>
      </w:r>
      <w:r>
        <w:rPr>
          <w:rFonts w:hint="eastAsia" w:ascii="黑体" w:hAnsi="黑体" w:eastAsia="黑体" w:cs="黑体"/>
          <w:b/>
          <w:bCs/>
          <w:sz w:val="52"/>
          <w:szCs w:val="52"/>
        </w:rPr>
        <w:t>部门决算表</w:t>
      </w:r>
    </w:p>
    <w:p w14:paraId="33472290">
      <w:pPr>
        <w:widowControl/>
        <w:spacing w:after="156" w:afterLines="50"/>
        <w:jc w:val="center"/>
        <w:textAlignment w:val="center"/>
        <w:rPr>
          <w:rFonts w:hint="eastAsia" w:ascii="黑体" w:hAnsi="黑体" w:eastAsia="黑体" w:cs="黑体"/>
          <w:b/>
          <w:bCs/>
          <w:color w:val="000000"/>
          <w:sz w:val="44"/>
          <w:szCs w:val="44"/>
        </w:rPr>
      </w:pPr>
      <w:r>
        <w:rPr>
          <w:rFonts w:hint="eastAsia" w:ascii="黑体" w:hAnsi="黑体" w:eastAsia="黑体" w:cs="黑体"/>
          <w:b/>
          <w:bCs/>
          <w:color w:val="000000"/>
          <w:kern w:val="0"/>
          <w:sz w:val="44"/>
          <w:szCs w:val="44"/>
          <w:lang w:bidi="ar"/>
        </w:rPr>
        <w:t>收入支出决算总表</w:t>
      </w:r>
    </w:p>
    <w:p w14:paraId="6AA6B7C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707182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9F7D87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F8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0A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9C8B1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CF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7A0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A7E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9A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6BDA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1EA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26308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16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E22C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660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8F9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2DB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90E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20531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E9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82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87E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50AC5">
            <w:pPr>
              <w:widowControl/>
              <w:jc w:val="righ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70B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9361">
            <w:pPr>
              <w:jc w:val="right"/>
              <w:rPr>
                <w:rFonts w:ascii="Times New Roman" w:hAnsi="Times New Roman" w:eastAsia="仿宋_GB2312" w:cs="Times New Roman"/>
                <w:color w:val="000000"/>
                <w:sz w:val="22"/>
              </w:rPr>
            </w:pPr>
          </w:p>
        </w:tc>
      </w:tr>
      <w:tr w14:paraId="153396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57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9C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3B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BD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2E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83C5">
            <w:pPr>
              <w:jc w:val="right"/>
              <w:rPr>
                <w:rFonts w:ascii="Times New Roman" w:hAnsi="Times New Roman" w:eastAsia="仿宋_GB2312" w:cs="Times New Roman"/>
                <w:color w:val="000000"/>
                <w:sz w:val="22"/>
              </w:rPr>
            </w:pPr>
          </w:p>
        </w:tc>
      </w:tr>
      <w:tr w14:paraId="42C76F33">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A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6D9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F74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B55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DCF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5AFB">
            <w:pPr>
              <w:jc w:val="right"/>
              <w:rPr>
                <w:rFonts w:ascii="Times New Roman" w:hAnsi="Times New Roman" w:eastAsia="仿宋_GB2312" w:cs="Times New Roman"/>
                <w:color w:val="000000"/>
                <w:sz w:val="22"/>
              </w:rPr>
            </w:pPr>
          </w:p>
        </w:tc>
      </w:tr>
      <w:tr w14:paraId="208D331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D3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F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55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13B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32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6B5C">
            <w:pPr>
              <w:jc w:val="right"/>
              <w:rPr>
                <w:rFonts w:ascii="Times New Roman" w:hAnsi="Times New Roman" w:eastAsia="仿宋_GB2312" w:cs="Times New Roman"/>
                <w:color w:val="000000"/>
                <w:sz w:val="22"/>
              </w:rPr>
            </w:pPr>
          </w:p>
        </w:tc>
      </w:tr>
      <w:tr w14:paraId="21BDE989">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FA2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43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AF9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7E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7F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FEB8">
            <w:pPr>
              <w:jc w:val="right"/>
              <w:rPr>
                <w:rFonts w:ascii="Times New Roman" w:hAnsi="Times New Roman" w:eastAsia="仿宋_GB2312" w:cs="Times New Roman"/>
                <w:color w:val="000000"/>
                <w:sz w:val="22"/>
              </w:rPr>
            </w:pPr>
          </w:p>
        </w:tc>
      </w:tr>
      <w:tr w14:paraId="7F2F15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8A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3E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5CB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B5E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0F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1145">
            <w:pPr>
              <w:jc w:val="right"/>
              <w:rPr>
                <w:rFonts w:ascii="Times New Roman" w:hAnsi="Times New Roman" w:eastAsia="仿宋_GB2312" w:cs="Times New Roman"/>
                <w:color w:val="000000"/>
                <w:sz w:val="22"/>
              </w:rPr>
            </w:pPr>
          </w:p>
        </w:tc>
      </w:tr>
      <w:tr w14:paraId="5810B8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BA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F19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B3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C1F9">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8E7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A3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348.07</w:t>
            </w:r>
          </w:p>
        </w:tc>
      </w:tr>
      <w:tr w14:paraId="56CB2B0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3E1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C30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5F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687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6AA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352E">
            <w:pPr>
              <w:jc w:val="center"/>
              <w:rPr>
                <w:rFonts w:ascii="Times New Roman" w:hAnsi="Times New Roman" w:eastAsia="仿宋_GB2312" w:cs="Times New Roman"/>
                <w:color w:val="000000"/>
                <w:sz w:val="22"/>
              </w:rPr>
            </w:pPr>
          </w:p>
        </w:tc>
      </w:tr>
      <w:tr w14:paraId="05B36A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268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524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9C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19E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268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6851">
            <w:pPr>
              <w:rPr>
                <w:rFonts w:ascii="Times New Roman" w:hAnsi="Times New Roman" w:eastAsia="仿宋_GB2312" w:cs="Times New Roman"/>
                <w:b/>
                <w:color w:val="000000"/>
                <w:sz w:val="22"/>
              </w:rPr>
            </w:pPr>
          </w:p>
        </w:tc>
      </w:tr>
      <w:tr w14:paraId="12BDD730">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B65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B6C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936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81C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967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9F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348.07</w:t>
            </w:r>
          </w:p>
        </w:tc>
      </w:tr>
      <w:tr w14:paraId="1A74FD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7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BF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06F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6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06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78DE">
            <w:pPr>
              <w:rPr>
                <w:rFonts w:ascii="Times New Roman" w:hAnsi="Times New Roman" w:eastAsia="仿宋_GB2312" w:cs="Times New Roman"/>
                <w:color w:val="000000"/>
                <w:sz w:val="22"/>
              </w:rPr>
            </w:pPr>
          </w:p>
        </w:tc>
      </w:tr>
      <w:tr w14:paraId="401E893C">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F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904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344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5B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9E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BC8">
            <w:pPr>
              <w:rPr>
                <w:rFonts w:ascii="Times New Roman" w:hAnsi="Times New Roman" w:eastAsia="仿宋_GB2312" w:cs="Times New Roman"/>
                <w:color w:val="000000"/>
                <w:sz w:val="22"/>
              </w:rPr>
            </w:pPr>
          </w:p>
        </w:tc>
      </w:tr>
      <w:tr w14:paraId="2A2D6E00">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035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35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911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348.07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D6E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08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9EED">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348.07</w:t>
            </w:r>
          </w:p>
        </w:tc>
      </w:tr>
    </w:tbl>
    <w:p w14:paraId="2612ECC0">
      <w:pPr>
        <w:widowControl/>
        <w:jc w:val="left"/>
        <w:textAlignment w:val="center"/>
        <w:rPr>
          <w:rFonts w:ascii="Times New Roman" w:hAnsi="Times New Roman" w:eastAsia="宋体" w:cs="Times New Roman"/>
          <w:color w:val="000000"/>
          <w:kern w:val="0"/>
          <w:sz w:val="24"/>
          <w:szCs w:val="24"/>
          <w:lang w:bidi="ar"/>
        </w:rPr>
      </w:pPr>
    </w:p>
    <w:p w14:paraId="698C029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085540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24ACA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5AD596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02F79B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474CAC3">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168"/>
        <w:gridCol w:w="2025"/>
        <w:gridCol w:w="1633"/>
        <w:gridCol w:w="1640"/>
        <w:gridCol w:w="1640"/>
        <w:gridCol w:w="1640"/>
        <w:gridCol w:w="1640"/>
        <w:gridCol w:w="1897"/>
        <w:gridCol w:w="1383"/>
      </w:tblGrid>
      <w:tr w14:paraId="60A6F384">
        <w:tblPrEx>
          <w:tblCellMar>
            <w:top w:w="0" w:type="dxa"/>
            <w:left w:w="0" w:type="dxa"/>
            <w:bottom w:w="0" w:type="dxa"/>
            <w:right w:w="0" w:type="dxa"/>
          </w:tblCellMar>
        </w:tblPrEx>
        <w:trPr>
          <w:trHeight w:val="450" w:hRule="atLeast"/>
          <w:jc w:val="center"/>
        </w:trPr>
        <w:tc>
          <w:tcPr>
            <w:tcW w:w="319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0A594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5A13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D2A7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FFA4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303C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B699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A83B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873A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FE37519">
        <w:tblPrEx>
          <w:tblCellMar>
            <w:top w:w="0" w:type="dxa"/>
            <w:left w:w="0" w:type="dxa"/>
            <w:bottom w:w="0" w:type="dxa"/>
            <w:right w:w="0" w:type="dxa"/>
          </w:tblCellMar>
        </w:tblPrEx>
        <w:trPr>
          <w:trHeight w:val="334" w:hRule="exact"/>
          <w:jc w:val="center"/>
        </w:trPr>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91D54F">
            <w:pPr>
              <w:jc w:val="center"/>
              <w:rPr>
                <w:rFonts w:ascii="Times New Roman" w:hAnsi="Times New Roman" w:eastAsia="仿宋_GB2312" w:cs="Times New Roman"/>
                <w:b/>
                <w:bCs/>
              </w:rPr>
            </w:pPr>
            <w:r>
              <w:rPr>
                <w:rFonts w:ascii="Times New Roman" w:hAnsi="Times New Roman" w:eastAsia="仿宋_GB2312" w:cs="Times New Roman"/>
                <w:b/>
                <w:bCs/>
              </w:rPr>
              <w:t>功能分类</w:t>
            </w:r>
          </w:p>
          <w:p w14:paraId="0B4EE2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科目编码</w:t>
            </w:r>
          </w:p>
        </w:tc>
        <w:tc>
          <w:tcPr>
            <w:tcW w:w="20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09823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E97369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DDC63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C57B8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79361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18BA6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1BD83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0080577">
            <w:pPr>
              <w:rPr>
                <w:rFonts w:ascii="Times New Roman" w:hAnsi="Times New Roman" w:eastAsia="仿宋_GB2312" w:cs="Times New Roman"/>
                <w:sz w:val="24"/>
                <w:szCs w:val="24"/>
              </w:rPr>
            </w:pPr>
          </w:p>
        </w:tc>
      </w:tr>
      <w:tr w14:paraId="08FA9EE7">
        <w:tblPrEx>
          <w:tblCellMar>
            <w:top w:w="0" w:type="dxa"/>
            <w:left w:w="0" w:type="dxa"/>
            <w:bottom w:w="0" w:type="dxa"/>
            <w:right w:w="0" w:type="dxa"/>
          </w:tblCellMar>
        </w:tblPrEx>
        <w:trPr>
          <w:trHeight w:val="312" w:hRule="atLeast"/>
          <w:jc w:val="center"/>
        </w:trPr>
        <w:tc>
          <w:tcPr>
            <w:tcW w:w="1168" w:type="dxa"/>
            <w:vMerge w:val="continue"/>
            <w:tcBorders>
              <w:top w:val="single" w:color="auto" w:sz="4" w:space="0"/>
              <w:left w:val="single" w:color="auto" w:sz="4" w:space="0"/>
              <w:bottom w:val="single" w:color="auto" w:sz="4" w:space="0"/>
              <w:right w:val="single" w:color="auto" w:sz="4" w:space="0"/>
            </w:tcBorders>
            <w:vAlign w:val="center"/>
          </w:tcPr>
          <w:p w14:paraId="156E51F1">
            <w:pPr>
              <w:rPr>
                <w:rFonts w:ascii="Times New Roman" w:hAnsi="Times New Roman" w:eastAsia="仿宋_GB2312" w:cs="Times New Roman"/>
                <w:sz w:val="24"/>
                <w:szCs w:val="24"/>
              </w:rPr>
            </w:pPr>
          </w:p>
        </w:tc>
        <w:tc>
          <w:tcPr>
            <w:tcW w:w="2025" w:type="dxa"/>
            <w:vMerge w:val="continue"/>
            <w:tcBorders>
              <w:top w:val="nil"/>
              <w:left w:val="single" w:color="auto" w:sz="4" w:space="0"/>
              <w:bottom w:val="single" w:color="auto" w:sz="4" w:space="0"/>
              <w:right w:val="single" w:color="auto" w:sz="4" w:space="0"/>
            </w:tcBorders>
            <w:vAlign w:val="center"/>
          </w:tcPr>
          <w:p w14:paraId="38901FAB">
            <w:pPr>
              <w:rPr>
                <w:rFonts w:ascii="Times New Roman" w:hAnsi="Times New Roman" w:eastAsia="仿宋_GB2312" w:cs="Times New Roman"/>
                <w:sz w:val="24"/>
                <w:szCs w:val="24"/>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5212964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63AAD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867E4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E4AD0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7F9BF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55FD4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AA583B0">
            <w:pPr>
              <w:rPr>
                <w:rFonts w:ascii="Times New Roman" w:hAnsi="Times New Roman" w:eastAsia="仿宋_GB2312" w:cs="Times New Roman"/>
                <w:sz w:val="24"/>
                <w:szCs w:val="24"/>
              </w:rPr>
            </w:pPr>
          </w:p>
        </w:tc>
      </w:tr>
      <w:tr w14:paraId="3820BC0F">
        <w:tblPrEx>
          <w:tblCellMar>
            <w:top w:w="0" w:type="dxa"/>
            <w:left w:w="0" w:type="dxa"/>
            <w:bottom w:w="0" w:type="dxa"/>
            <w:right w:w="0" w:type="dxa"/>
          </w:tblCellMar>
        </w:tblPrEx>
        <w:trPr>
          <w:trHeight w:val="450" w:hRule="atLeast"/>
          <w:jc w:val="center"/>
        </w:trPr>
        <w:tc>
          <w:tcPr>
            <w:tcW w:w="31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E058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7BCD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2EAAF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CA30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5255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D0B0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E6955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88BF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20C92F8">
        <w:tblPrEx>
          <w:tblCellMar>
            <w:top w:w="0" w:type="dxa"/>
            <w:left w:w="0" w:type="dxa"/>
            <w:bottom w:w="0" w:type="dxa"/>
            <w:right w:w="0" w:type="dxa"/>
          </w:tblCellMar>
        </w:tblPrEx>
        <w:trPr>
          <w:trHeight w:val="450" w:hRule="atLeast"/>
          <w:jc w:val="center"/>
        </w:trPr>
        <w:tc>
          <w:tcPr>
            <w:tcW w:w="31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1397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8059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6F03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DEE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D54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8E5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A0D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549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8CC044F">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DE478">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E5102A">
            <w:pPr>
              <w:ind w:firstLine="210" w:firstLineChars="100"/>
              <w:jc w:val="both"/>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农林水支出</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398D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AA4C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6CF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CE5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F13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61F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A72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EEB9ED">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B7C57">
            <w:pP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21301</w:t>
            </w:r>
            <w:r>
              <w:rPr>
                <w:rFonts w:ascii="Times New Roman" w:hAnsi="Times New Roman" w:eastAsia="仿宋_GB2312" w:cs="Times New Roman"/>
              </w:rPr>
              <w:t>　</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2F653">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农业农村</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550D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52E8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C72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E39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AF1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072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132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EBE61EF">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4AD3A">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2130104</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AC8F2">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事业运行</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95EA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CCEC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5BD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348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742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9F3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9E5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4FD854">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9D493">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2130199</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F1977">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其他农业农村支出</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1401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0401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108.83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37E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521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027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168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959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6BD1665">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324F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DE97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6BF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3F2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705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F6E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B80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62E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961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12269D">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1301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0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9BAB3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FBE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753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654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E6C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655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5C1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8DD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E56D5F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FF74BF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E961363">
      <w:pPr>
        <w:widowControl/>
        <w:jc w:val="center"/>
        <w:textAlignment w:val="center"/>
        <w:rPr>
          <w:rFonts w:ascii="Times New Roman" w:hAnsi="Times New Roman" w:eastAsia="黑体" w:cs="Times New Roman"/>
          <w:color w:val="000000"/>
          <w:kern w:val="0"/>
          <w:sz w:val="32"/>
          <w:szCs w:val="32"/>
          <w:lang w:bidi="ar"/>
        </w:rPr>
      </w:pPr>
    </w:p>
    <w:p w14:paraId="3B0DB45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6E22A4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14:paraId="19D79DF3">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蓝山县农村经营服务站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1463"/>
        <w:gridCol w:w="2608"/>
        <w:gridCol w:w="1904"/>
        <w:gridCol w:w="1344"/>
        <w:gridCol w:w="1344"/>
        <w:gridCol w:w="1904"/>
        <w:gridCol w:w="1344"/>
        <w:gridCol w:w="2749"/>
      </w:tblGrid>
      <w:tr w14:paraId="0EB01E0B">
        <w:tblPrEx>
          <w:tblCellMar>
            <w:top w:w="0" w:type="dxa"/>
            <w:left w:w="108" w:type="dxa"/>
            <w:bottom w:w="0" w:type="dxa"/>
            <w:right w:w="108" w:type="dxa"/>
          </w:tblCellMar>
        </w:tblPrEx>
        <w:trPr>
          <w:trHeight w:val="595" w:hRule="atLeast"/>
          <w:jc w:val="center"/>
        </w:trPr>
        <w:tc>
          <w:tcPr>
            <w:tcW w:w="138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44F19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2AC9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A4343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8864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21D3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38EBA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8F37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F6E6E5F">
        <w:tblPrEx>
          <w:tblCellMar>
            <w:top w:w="0" w:type="dxa"/>
            <w:left w:w="108" w:type="dxa"/>
            <w:bottom w:w="0" w:type="dxa"/>
            <w:right w:w="108" w:type="dxa"/>
          </w:tblCellMar>
        </w:tblPrEx>
        <w:trPr>
          <w:trHeight w:val="312" w:hRule="exact"/>
          <w:jc w:val="center"/>
        </w:trPr>
        <w:tc>
          <w:tcPr>
            <w:tcW w:w="4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8412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w:t>
            </w:r>
          </w:p>
          <w:p w14:paraId="27D865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科目编码</w:t>
            </w:r>
          </w:p>
        </w:tc>
        <w:tc>
          <w:tcPr>
            <w:tcW w:w="889" w:type="pct"/>
            <w:vMerge w:val="restart"/>
            <w:tcBorders>
              <w:top w:val="nil"/>
              <w:left w:val="single" w:color="auto" w:sz="4" w:space="0"/>
              <w:bottom w:val="single" w:color="auto" w:sz="4" w:space="0"/>
              <w:right w:val="single" w:color="auto" w:sz="4" w:space="0"/>
            </w:tcBorders>
            <w:shd w:val="clear" w:color="000000" w:fill="FFFFFF"/>
            <w:vAlign w:val="center"/>
          </w:tcPr>
          <w:p w14:paraId="13B880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49" w:type="pct"/>
            <w:vMerge w:val="continue"/>
            <w:tcBorders>
              <w:top w:val="single" w:color="auto" w:sz="4" w:space="0"/>
              <w:left w:val="single" w:color="auto" w:sz="4" w:space="0"/>
              <w:bottom w:val="single" w:color="auto" w:sz="4" w:space="0"/>
              <w:right w:val="single" w:color="auto" w:sz="4" w:space="0"/>
            </w:tcBorders>
            <w:vAlign w:val="center"/>
          </w:tcPr>
          <w:p w14:paraId="269CCC6E">
            <w:pPr>
              <w:widowControl/>
              <w:jc w:val="left"/>
              <w:rPr>
                <w:rFonts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618716AC">
            <w:pPr>
              <w:widowControl/>
              <w:jc w:val="left"/>
              <w:rPr>
                <w:rFonts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51926E34">
            <w:pPr>
              <w:widowControl/>
              <w:jc w:val="left"/>
              <w:rPr>
                <w:rFonts w:ascii="Times New Roman" w:hAnsi="Times New Roman" w:eastAsia="仿宋_GB2312" w:cs="Times New Roman"/>
                <w:b/>
                <w:bCs/>
                <w:kern w:val="0"/>
                <w:sz w:val="24"/>
                <w:szCs w:val="24"/>
              </w:rPr>
            </w:pPr>
          </w:p>
        </w:tc>
        <w:tc>
          <w:tcPr>
            <w:tcW w:w="649" w:type="pct"/>
            <w:vMerge w:val="continue"/>
            <w:tcBorders>
              <w:top w:val="single" w:color="auto" w:sz="4" w:space="0"/>
              <w:left w:val="single" w:color="auto" w:sz="4" w:space="0"/>
              <w:bottom w:val="single" w:color="auto" w:sz="4" w:space="0"/>
              <w:right w:val="single" w:color="auto" w:sz="4" w:space="0"/>
            </w:tcBorders>
            <w:vAlign w:val="center"/>
          </w:tcPr>
          <w:p w14:paraId="7FDB9383">
            <w:pPr>
              <w:widowControl/>
              <w:jc w:val="left"/>
              <w:rPr>
                <w:rFonts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5C21CCD0">
            <w:pPr>
              <w:widowControl/>
              <w:jc w:val="left"/>
              <w:rPr>
                <w:rFonts w:ascii="Times New Roman" w:hAnsi="Times New Roman" w:eastAsia="仿宋_GB2312" w:cs="Times New Roman"/>
                <w:b/>
                <w:bCs/>
                <w:kern w:val="0"/>
                <w:sz w:val="24"/>
                <w:szCs w:val="24"/>
              </w:rPr>
            </w:pPr>
          </w:p>
        </w:tc>
        <w:tc>
          <w:tcPr>
            <w:tcW w:w="937" w:type="pct"/>
            <w:vMerge w:val="continue"/>
            <w:tcBorders>
              <w:top w:val="single" w:color="auto" w:sz="4" w:space="0"/>
              <w:left w:val="single" w:color="auto" w:sz="4" w:space="0"/>
              <w:bottom w:val="single" w:color="auto" w:sz="4" w:space="0"/>
              <w:right w:val="single" w:color="auto" w:sz="4" w:space="0"/>
            </w:tcBorders>
            <w:vAlign w:val="center"/>
          </w:tcPr>
          <w:p w14:paraId="0EC62AE6">
            <w:pPr>
              <w:widowControl/>
              <w:jc w:val="left"/>
              <w:rPr>
                <w:rFonts w:ascii="Times New Roman" w:hAnsi="Times New Roman" w:eastAsia="仿宋_GB2312" w:cs="Times New Roman"/>
                <w:b/>
                <w:bCs/>
                <w:kern w:val="0"/>
                <w:sz w:val="24"/>
                <w:szCs w:val="24"/>
              </w:rPr>
            </w:pPr>
          </w:p>
        </w:tc>
      </w:tr>
      <w:tr w14:paraId="44D8493E">
        <w:tblPrEx>
          <w:tblCellMar>
            <w:top w:w="0" w:type="dxa"/>
            <w:left w:w="108" w:type="dxa"/>
            <w:bottom w:w="0" w:type="dxa"/>
            <w:right w:w="108" w:type="dxa"/>
          </w:tblCellMar>
        </w:tblPrEx>
        <w:trPr>
          <w:trHeight w:val="595" w:hRule="atLeast"/>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238B772B">
            <w:pPr>
              <w:widowControl/>
              <w:jc w:val="left"/>
              <w:rPr>
                <w:rFonts w:ascii="Times New Roman" w:hAnsi="Times New Roman" w:eastAsia="仿宋_GB2312" w:cs="Times New Roman"/>
                <w:kern w:val="0"/>
                <w:sz w:val="24"/>
                <w:szCs w:val="24"/>
              </w:rPr>
            </w:pPr>
          </w:p>
        </w:tc>
        <w:tc>
          <w:tcPr>
            <w:tcW w:w="889" w:type="pct"/>
            <w:vMerge w:val="continue"/>
            <w:tcBorders>
              <w:top w:val="nil"/>
              <w:left w:val="single" w:color="auto" w:sz="4" w:space="0"/>
              <w:bottom w:val="single" w:color="auto" w:sz="4" w:space="0"/>
              <w:right w:val="single" w:color="auto" w:sz="4" w:space="0"/>
            </w:tcBorders>
            <w:vAlign w:val="center"/>
          </w:tcPr>
          <w:p w14:paraId="3ED567D5">
            <w:pPr>
              <w:widowControl/>
              <w:jc w:val="left"/>
              <w:rPr>
                <w:rFonts w:ascii="Times New Roman" w:hAnsi="Times New Roman" w:eastAsia="仿宋_GB2312" w:cs="Times New Roman"/>
                <w:kern w:val="0"/>
                <w:sz w:val="24"/>
                <w:szCs w:val="24"/>
              </w:rPr>
            </w:pPr>
          </w:p>
        </w:tc>
        <w:tc>
          <w:tcPr>
            <w:tcW w:w="649" w:type="pct"/>
            <w:vMerge w:val="continue"/>
            <w:tcBorders>
              <w:top w:val="single" w:color="auto" w:sz="4" w:space="0"/>
              <w:left w:val="single" w:color="auto" w:sz="4" w:space="0"/>
              <w:bottom w:val="single" w:color="auto" w:sz="4" w:space="0"/>
              <w:right w:val="single" w:color="auto" w:sz="4" w:space="0"/>
            </w:tcBorders>
            <w:vAlign w:val="center"/>
          </w:tcPr>
          <w:p w14:paraId="6D987A57">
            <w:pPr>
              <w:widowControl/>
              <w:jc w:val="left"/>
              <w:rPr>
                <w:rFonts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725DD650">
            <w:pPr>
              <w:widowControl/>
              <w:jc w:val="left"/>
              <w:rPr>
                <w:rFonts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1B24712C">
            <w:pPr>
              <w:widowControl/>
              <w:jc w:val="left"/>
              <w:rPr>
                <w:rFonts w:ascii="Times New Roman" w:hAnsi="Times New Roman" w:eastAsia="仿宋_GB2312" w:cs="Times New Roman"/>
                <w:kern w:val="0"/>
                <w:sz w:val="24"/>
                <w:szCs w:val="24"/>
              </w:rPr>
            </w:pPr>
          </w:p>
        </w:tc>
        <w:tc>
          <w:tcPr>
            <w:tcW w:w="649" w:type="pct"/>
            <w:vMerge w:val="continue"/>
            <w:tcBorders>
              <w:top w:val="single" w:color="auto" w:sz="4" w:space="0"/>
              <w:left w:val="single" w:color="auto" w:sz="4" w:space="0"/>
              <w:bottom w:val="single" w:color="auto" w:sz="4" w:space="0"/>
              <w:right w:val="single" w:color="auto" w:sz="4" w:space="0"/>
            </w:tcBorders>
            <w:vAlign w:val="center"/>
          </w:tcPr>
          <w:p w14:paraId="540C31BD">
            <w:pPr>
              <w:widowControl/>
              <w:jc w:val="left"/>
              <w:rPr>
                <w:rFonts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6710B0E7">
            <w:pPr>
              <w:widowControl/>
              <w:jc w:val="left"/>
              <w:rPr>
                <w:rFonts w:ascii="Times New Roman" w:hAnsi="Times New Roman" w:eastAsia="仿宋_GB2312" w:cs="Times New Roman"/>
                <w:kern w:val="0"/>
                <w:sz w:val="24"/>
                <w:szCs w:val="24"/>
              </w:rPr>
            </w:pPr>
          </w:p>
        </w:tc>
        <w:tc>
          <w:tcPr>
            <w:tcW w:w="937" w:type="pct"/>
            <w:vMerge w:val="continue"/>
            <w:tcBorders>
              <w:top w:val="single" w:color="auto" w:sz="4" w:space="0"/>
              <w:left w:val="single" w:color="auto" w:sz="4" w:space="0"/>
              <w:bottom w:val="single" w:color="auto" w:sz="4" w:space="0"/>
              <w:right w:val="single" w:color="auto" w:sz="4" w:space="0"/>
            </w:tcBorders>
            <w:vAlign w:val="center"/>
          </w:tcPr>
          <w:p w14:paraId="131ACCDD">
            <w:pPr>
              <w:widowControl/>
              <w:jc w:val="left"/>
              <w:rPr>
                <w:rFonts w:ascii="Times New Roman" w:hAnsi="Times New Roman" w:eastAsia="仿宋_GB2312" w:cs="Times New Roman"/>
                <w:kern w:val="0"/>
                <w:sz w:val="24"/>
                <w:szCs w:val="24"/>
              </w:rPr>
            </w:pPr>
          </w:p>
        </w:tc>
      </w:tr>
      <w:tr w14:paraId="21558935">
        <w:tblPrEx>
          <w:tblCellMar>
            <w:top w:w="0" w:type="dxa"/>
            <w:left w:w="108" w:type="dxa"/>
            <w:bottom w:w="0" w:type="dxa"/>
            <w:right w:w="108" w:type="dxa"/>
          </w:tblCellMar>
        </w:tblPrEx>
        <w:trPr>
          <w:trHeight w:val="595" w:hRule="atLeast"/>
          <w:jc w:val="center"/>
        </w:trPr>
        <w:tc>
          <w:tcPr>
            <w:tcW w:w="138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273B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49" w:type="pct"/>
            <w:tcBorders>
              <w:top w:val="nil"/>
              <w:left w:val="nil"/>
              <w:bottom w:val="single" w:color="auto" w:sz="4" w:space="0"/>
              <w:right w:val="single" w:color="auto" w:sz="4" w:space="0"/>
            </w:tcBorders>
            <w:shd w:val="clear" w:color="000000" w:fill="FFFFFF"/>
            <w:noWrap/>
            <w:vAlign w:val="center"/>
          </w:tcPr>
          <w:p w14:paraId="265E0E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8" w:type="pct"/>
            <w:tcBorders>
              <w:top w:val="nil"/>
              <w:left w:val="nil"/>
              <w:bottom w:val="single" w:color="auto" w:sz="4" w:space="0"/>
              <w:right w:val="single" w:color="auto" w:sz="4" w:space="0"/>
            </w:tcBorders>
            <w:shd w:val="clear" w:color="000000" w:fill="FFFFFF"/>
            <w:noWrap/>
            <w:vAlign w:val="center"/>
          </w:tcPr>
          <w:p w14:paraId="329C03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58" w:type="pct"/>
            <w:tcBorders>
              <w:top w:val="nil"/>
              <w:left w:val="nil"/>
              <w:bottom w:val="single" w:color="auto" w:sz="4" w:space="0"/>
              <w:right w:val="single" w:color="auto" w:sz="4" w:space="0"/>
            </w:tcBorders>
            <w:shd w:val="clear" w:color="000000" w:fill="FFFFFF"/>
            <w:noWrap/>
            <w:vAlign w:val="center"/>
          </w:tcPr>
          <w:p w14:paraId="52F69A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9" w:type="pct"/>
            <w:tcBorders>
              <w:top w:val="nil"/>
              <w:left w:val="nil"/>
              <w:bottom w:val="single" w:color="auto" w:sz="4" w:space="0"/>
              <w:right w:val="single" w:color="auto" w:sz="4" w:space="0"/>
            </w:tcBorders>
            <w:shd w:val="clear" w:color="000000" w:fill="FFFFFF"/>
            <w:noWrap/>
            <w:vAlign w:val="center"/>
          </w:tcPr>
          <w:p w14:paraId="73543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58" w:type="pct"/>
            <w:tcBorders>
              <w:top w:val="nil"/>
              <w:left w:val="nil"/>
              <w:bottom w:val="single" w:color="auto" w:sz="4" w:space="0"/>
              <w:right w:val="single" w:color="auto" w:sz="4" w:space="0"/>
            </w:tcBorders>
            <w:shd w:val="clear" w:color="000000" w:fill="FFFFFF"/>
            <w:noWrap/>
            <w:vAlign w:val="center"/>
          </w:tcPr>
          <w:p w14:paraId="5FEBBE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37" w:type="pct"/>
            <w:tcBorders>
              <w:top w:val="nil"/>
              <w:left w:val="nil"/>
              <w:bottom w:val="single" w:color="auto" w:sz="4" w:space="0"/>
              <w:right w:val="single" w:color="auto" w:sz="4" w:space="0"/>
            </w:tcBorders>
            <w:shd w:val="clear" w:color="000000" w:fill="FFFFFF"/>
            <w:noWrap/>
            <w:vAlign w:val="center"/>
          </w:tcPr>
          <w:p w14:paraId="44E39B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773FC35">
        <w:tblPrEx>
          <w:tblCellMar>
            <w:top w:w="0" w:type="dxa"/>
            <w:left w:w="108" w:type="dxa"/>
            <w:bottom w:w="0" w:type="dxa"/>
            <w:right w:w="108" w:type="dxa"/>
          </w:tblCellMar>
        </w:tblPrEx>
        <w:trPr>
          <w:trHeight w:val="595" w:hRule="atLeast"/>
          <w:jc w:val="center"/>
        </w:trPr>
        <w:tc>
          <w:tcPr>
            <w:tcW w:w="138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1E98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49" w:type="pct"/>
            <w:tcBorders>
              <w:top w:val="nil"/>
              <w:left w:val="nil"/>
              <w:bottom w:val="single" w:color="auto" w:sz="4" w:space="0"/>
              <w:right w:val="single" w:color="auto" w:sz="4" w:space="0"/>
            </w:tcBorders>
            <w:shd w:val="clear" w:color="auto" w:fill="auto"/>
            <w:noWrap/>
            <w:vAlign w:val="center"/>
          </w:tcPr>
          <w:p w14:paraId="56A6F0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348.07</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23A481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239.24</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4154EBC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108.83</w:t>
            </w: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1ECAD7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51183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3F13ED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89D2B2D">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5FE650">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213</w:t>
            </w:r>
          </w:p>
        </w:tc>
        <w:tc>
          <w:tcPr>
            <w:tcW w:w="889" w:type="pct"/>
            <w:tcBorders>
              <w:top w:val="nil"/>
              <w:left w:val="nil"/>
              <w:bottom w:val="single" w:color="auto" w:sz="4" w:space="0"/>
              <w:right w:val="single" w:color="auto" w:sz="4" w:space="0"/>
            </w:tcBorders>
            <w:shd w:val="clear" w:color="000000" w:fill="FFFFFF"/>
            <w:noWrap/>
            <w:vAlign w:val="center"/>
          </w:tcPr>
          <w:p w14:paraId="0CE6200D">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农林水支出</w:t>
            </w:r>
          </w:p>
        </w:tc>
        <w:tc>
          <w:tcPr>
            <w:tcW w:w="649" w:type="pct"/>
            <w:tcBorders>
              <w:top w:val="nil"/>
              <w:left w:val="nil"/>
              <w:bottom w:val="single" w:color="auto" w:sz="4" w:space="0"/>
              <w:right w:val="single" w:color="auto" w:sz="4" w:space="0"/>
            </w:tcBorders>
            <w:shd w:val="clear" w:color="auto" w:fill="auto"/>
            <w:noWrap/>
            <w:vAlign w:val="center"/>
          </w:tcPr>
          <w:p w14:paraId="0EE81AE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348.07</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1924A37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239.24</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4F7FFD7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108.83</w:t>
            </w: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4862B4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1C7012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2E218D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2A17FBE">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3D8D94">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21301</w:t>
            </w:r>
          </w:p>
        </w:tc>
        <w:tc>
          <w:tcPr>
            <w:tcW w:w="889" w:type="pct"/>
            <w:tcBorders>
              <w:top w:val="nil"/>
              <w:left w:val="nil"/>
              <w:bottom w:val="single" w:color="auto" w:sz="4" w:space="0"/>
              <w:right w:val="single" w:color="auto" w:sz="4" w:space="0"/>
            </w:tcBorders>
            <w:shd w:val="clear" w:color="000000" w:fill="FFFFFF"/>
            <w:noWrap/>
            <w:vAlign w:val="center"/>
          </w:tcPr>
          <w:p w14:paraId="4089AF79">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农业农村</w:t>
            </w:r>
          </w:p>
        </w:tc>
        <w:tc>
          <w:tcPr>
            <w:tcW w:w="649" w:type="pct"/>
            <w:tcBorders>
              <w:top w:val="nil"/>
              <w:left w:val="nil"/>
              <w:bottom w:val="single" w:color="auto" w:sz="4" w:space="0"/>
              <w:right w:val="single" w:color="auto" w:sz="4" w:space="0"/>
            </w:tcBorders>
            <w:shd w:val="clear" w:color="auto" w:fill="auto"/>
            <w:noWrap/>
            <w:vAlign w:val="center"/>
          </w:tcPr>
          <w:p w14:paraId="67AF85F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348.07</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137B648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239.24</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1ADD31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108.83</w:t>
            </w: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3B7F46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4958A1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7AC4C7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8B36F10">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174915">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2130104</w:t>
            </w:r>
          </w:p>
        </w:tc>
        <w:tc>
          <w:tcPr>
            <w:tcW w:w="889" w:type="pct"/>
            <w:tcBorders>
              <w:top w:val="nil"/>
              <w:left w:val="nil"/>
              <w:bottom w:val="single" w:color="auto" w:sz="4" w:space="0"/>
              <w:right w:val="single" w:color="auto" w:sz="4" w:space="0"/>
            </w:tcBorders>
            <w:shd w:val="clear" w:color="000000" w:fill="FFFFFF"/>
            <w:noWrap/>
            <w:vAlign w:val="center"/>
          </w:tcPr>
          <w:p w14:paraId="748782E6">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事业运行</w:t>
            </w:r>
          </w:p>
        </w:tc>
        <w:tc>
          <w:tcPr>
            <w:tcW w:w="649" w:type="pct"/>
            <w:tcBorders>
              <w:top w:val="nil"/>
              <w:left w:val="nil"/>
              <w:bottom w:val="single" w:color="auto" w:sz="4" w:space="0"/>
              <w:right w:val="single" w:color="auto" w:sz="4" w:space="0"/>
            </w:tcBorders>
            <w:shd w:val="clear" w:color="auto" w:fill="auto"/>
            <w:noWrap/>
            <w:vAlign w:val="center"/>
          </w:tcPr>
          <w:p w14:paraId="49425A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239.24</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AE1135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239.24</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454F4D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3F2C65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2D14F9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3FC321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F5EF0F">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6BB4F4">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2130199</w:t>
            </w:r>
          </w:p>
        </w:tc>
        <w:tc>
          <w:tcPr>
            <w:tcW w:w="889" w:type="pct"/>
            <w:tcBorders>
              <w:top w:val="nil"/>
              <w:left w:val="nil"/>
              <w:bottom w:val="single" w:color="auto" w:sz="4" w:space="0"/>
              <w:right w:val="single" w:color="auto" w:sz="4" w:space="0"/>
            </w:tcBorders>
            <w:shd w:val="clear" w:color="000000" w:fill="FFFFFF"/>
            <w:noWrap/>
            <w:vAlign w:val="center"/>
          </w:tcPr>
          <w:p w14:paraId="745ECE7D">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其他农业农村支出</w:t>
            </w:r>
          </w:p>
        </w:tc>
        <w:tc>
          <w:tcPr>
            <w:tcW w:w="649" w:type="pct"/>
            <w:tcBorders>
              <w:top w:val="nil"/>
              <w:left w:val="nil"/>
              <w:bottom w:val="single" w:color="auto" w:sz="4" w:space="0"/>
              <w:right w:val="single" w:color="auto" w:sz="4" w:space="0"/>
            </w:tcBorders>
            <w:shd w:val="clear" w:color="auto" w:fill="auto"/>
            <w:noWrap/>
            <w:vAlign w:val="center"/>
          </w:tcPr>
          <w:p w14:paraId="293C9A6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108.83</w:t>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787E44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66364BA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108.83</w:t>
            </w: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6B78EB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61C193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7E8CA1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4E5A84B">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51065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9" w:type="pct"/>
            <w:tcBorders>
              <w:top w:val="nil"/>
              <w:left w:val="nil"/>
              <w:bottom w:val="single" w:color="auto" w:sz="4" w:space="0"/>
              <w:right w:val="single" w:color="auto" w:sz="4" w:space="0"/>
            </w:tcBorders>
            <w:shd w:val="clear" w:color="000000" w:fill="FFFFFF"/>
            <w:noWrap/>
            <w:vAlign w:val="center"/>
          </w:tcPr>
          <w:p w14:paraId="23EB111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13D01D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01024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4ACE3E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17EF98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2C9B45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196AD4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6102E2">
        <w:tblPrEx>
          <w:tblCellMar>
            <w:top w:w="0" w:type="dxa"/>
            <w:left w:w="108" w:type="dxa"/>
            <w:bottom w:w="0" w:type="dxa"/>
            <w:right w:w="108" w:type="dxa"/>
          </w:tblCellMar>
        </w:tblPrEx>
        <w:trPr>
          <w:trHeight w:val="595" w:hRule="atLeast"/>
          <w:jc w:val="center"/>
        </w:trPr>
        <w:tc>
          <w:tcPr>
            <w:tcW w:w="4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ECB59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9" w:type="pct"/>
            <w:tcBorders>
              <w:top w:val="nil"/>
              <w:left w:val="nil"/>
              <w:bottom w:val="single" w:color="auto" w:sz="4" w:space="0"/>
              <w:right w:val="single" w:color="auto" w:sz="4" w:space="0"/>
            </w:tcBorders>
            <w:shd w:val="clear" w:color="000000" w:fill="FFFFFF"/>
            <w:noWrap/>
            <w:vAlign w:val="center"/>
          </w:tcPr>
          <w:p w14:paraId="12336D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721A4B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2CD04F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2D996A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9" w:type="pct"/>
            <w:tcBorders>
              <w:top w:val="nil"/>
              <w:left w:val="nil"/>
              <w:bottom w:val="single" w:color="auto" w:sz="4" w:space="0"/>
              <w:right w:val="single" w:color="auto" w:sz="4" w:space="0"/>
            </w:tcBorders>
            <w:shd w:val="clear" w:color="auto" w:fill="auto"/>
            <w:noWrap/>
            <w:vAlign w:val="center"/>
          </w:tcPr>
          <w:p w14:paraId="08D53F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6D3AEA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7" w:type="pct"/>
            <w:tcBorders>
              <w:top w:val="nil"/>
              <w:left w:val="nil"/>
              <w:bottom w:val="single" w:color="auto" w:sz="4" w:space="0"/>
              <w:right w:val="single" w:color="auto" w:sz="4" w:space="0"/>
            </w:tcBorders>
            <w:shd w:val="clear" w:color="auto" w:fill="auto"/>
            <w:noWrap/>
            <w:vAlign w:val="center"/>
          </w:tcPr>
          <w:p w14:paraId="6EF836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C28AEA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321C4F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CFF922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99753E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04D6F0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7B872C9">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蓝山县农村经营服务站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716" w:type="dxa"/>
        <w:jc w:val="center"/>
        <w:tblLayout w:type="fixed"/>
        <w:tblCellMar>
          <w:top w:w="0" w:type="dxa"/>
          <w:left w:w="108" w:type="dxa"/>
          <w:bottom w:w="0" w:type="dxa"/>
          <w:right w:w="108" w:type="dxa"/>
        </w:tblCellMar>
      </w:tblPr>
      <w:tblGrid>
        <w:gridCol w:w="3516"/>
        <w:gridCol w:w="616"/>
        <w:gridCol w:w="1164"/>
        <w:gridCol w:w="2700"/>
        <w:gridCol w:w="645"/>
        <w:gridCol w:w="1155"/>
        <w:gridCol w:w="1485"/>
        <w:gridCol w:w="1695"/>
        <w:gridCol w:w="1740"/>
      </w:tblGrid>
      <w:tr w14:paraId="5E11F561">
        <w:tblPrEx>
          <w:tblCellMar>
            <w:top w:w="0" w:type="dxa"/>
            <w:left w:w="108" w:type="dxa"/>
            <w:bottom w:w="0" w:type="dxa"/>
            <w:right w:w="108" w:type="dxa"/>
          </w:tblCellMar>
        </w:tblPrEx>
        <w:trPr>
          <w:trHeight w:val="402" w:hRule="atLeast"/>
          <w:jc w:val="center"/>
        </w:trPr>
        <w:tc>
          <w:tcPr>
            <w:tcW w:w="52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663A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20" w:type="dxa"/>
            <w:gridSpan w:val="6"/>
            <w:tcBorders>
              <w:top w:val="single" w:color="auto" w:sz="4" w:space="0"/>
              <w:left w:val="nil"/>
              <w:bottom w:val="single" w:color="auto" w:sz="4" w:space="0"/>
              <w:right w:val="single" w:color="auto" w:sz="4" w:space="0"/>
            </w:tcBorders>
            <w:shd w:val="clear" w:color="000000" w:fill="FFFFFF"/>
            <w:noWrap/>
            <w:vAlign w:val="center"/>
          </w:tcPr>
          <w:p w14:paraId="02D30C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88A1E4D">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7073B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2AF84B3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4" w:type="dxa"/>
            <w:tcBorders>
              <w:top w:val="nil"/>
              <w:left w:val="nil"/>
              <w:bottom w:val="single" w:color="auto" w:sz="4" w:space="0"/>
              <w:right w:val="single" w:color="auto" w:sz="4" w:space="0"/>
            </w:tcBorders>
            <w:shd w:val="clear" w:color="auto" w:fill="auto"/>
            <w:noWrap/>
            <w:vAlign w:val="center"/>
          </w:tcPr>
          <w:p w14:paraId="4E875F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700" w:type="dxa"/>
            <w:tcBorders>
              <w:top w:val="nil"/>
              <w:left w:val="nil"/>
              <w:bottom w:val="single" w:color="auto" w:sz="4" w:space="0"/>
              <w:right w:val="single" w:color="auto" w:sz="4" w:space="0"/>
            </w:tcBorders>
            <w:shd w:val="clear" w:color="auto" w:fill="auto"/>
            <w:noWrap/>
            <w:vAlign w:val="center"/>
          </w:tcPr>
          <w:p w14:paraId="01CAF1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45" w:type="dxa"/>
            <w:tcBorders>
              <w:top w:val="nil"/>
              <w:left w:val="nil"/>
              <w:bottom w:val="single" w:color="auto" w:sz="4" w:space="0"/>
              <w:right w:val="single" w:color="auto" w:sz="4" w:space="0"/>
            </w:tcBorders>
            <w:shd w:val="clear" w:color="auto" w:fill="auto"/>
            <w:noWrap/>
            <w:vAlign w:val="center"/>
          </w:tcPr>
          <w:p w14:paraId="58D23C9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5" w:type="dxa"/>
            <w:tcBorders>
              <w:top w:val="nil"/>
              <w:left w:val="nil"/>
              <w:bottom w:val="single" w:color="auto" w:sz="4" w:space="0"/>
              <w:right w:val="single" w:color="auto" w:sz="4" w:space="0"/>
            </w:tcBorders>
            <w:shd w:val="clear" w:color="auto" w:fill="auto"/>
            <w:noWrap/>
            <w:vAlign w:val="center"/>
          </w:tcPr>
          <w:p w14:paraId="58FABA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85" w:type="dxa"/>
            <w:tcBorders>
              <w:top w:val="nil"/>
              <w:left w:val="nil"/>
              <w:bottom w:val="single" w:color="auto" w:sz="4" w:space="0"/>
              <w:right w:val="single" w:color="auto" w:sz="4" w:space="0"/>
            </w:tcBorders>
            <w:shd w:val="clear" w:color="auto" w:fill="auto"/>
            <w:vAlign w:val="center"/>
          </w:tcPr>
          <w:p w14:paraId="43DBC8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5" w:type="dxa"/>
            <w:tcBorders>
              <w:top w:val="nil"/>
              <w:left w:val="nil"/>
              <w:bottom w:val="single" w:color="auto" w:sz="4" w:space="0"/>
              <w:right w:val="single" w:color="auto" w:sz="4" w:space="0"/>
            </w:tcBorders>
            <w:shd w:val="clear" w:color="auto" w:fill="auto"/>
            <w:vAlign w:val="center"/>
          </w:tcPr>
          <w:p w14:paraId="0200C3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40" w:type="dxa"/>
            <w:tcBorders>
              <w:top w:val="nil"/>
              <w:left w:val="nil"/>
              <w:bottom w:val="single" w:color="auto" w:sz="4" w:space="0"/>
              <w:right w:val="single" w:color="auto" w:sz="4" w:space="0"/>
            </w:tcBorders>
            <w:shd w:val="clear" w:color="auto" w:fill="auto"/>
            <w:vAlign w:val="center"/>
          </w:tcPr>
          <w:p w14:paraId="2E1F3E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49A33C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51072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118D6D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4" w:type="dxa"/>
            <w:tcBorders>
              <w:top w:val="nil"/>
              <w:left w:val="nil"/>
              <w:bottom w:val="single" w:color="auto" w:sz="4" w:space="0"/>
              <w:right w:val="single" w:color="auto" w:sz="4" w:space="0"/>
            </w:tcBorders>
            <w:shd w:val="clear" w:color="auto" w:fill="auto"/>
            <w:noWrap/>
            <w:vAlign w:val="center"/>
          </w:tcPr>
          <w:p w14:paraId="29F5DD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00" w:type="dxa"/>
            <w:tcBorders>
              <w:top w:val="nil"/>
              <w:left w:val="nil"/>
              <w:bottom w:val="single" w:color="auto" w:sz="4" w:space="0"/>
              <w:right w:val="single" w:color="auto" w:sz="4" w:space="0"/>
            </w:tcBorders>
            <w:shd w:val="clear" w:color="auto" w:fill="auto"/>
            <w:noWrap/>
            <w:vAlign w:val="center"/>
          </w:tcPr>
          <w:p w14:paraId="7A05FD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45" w:type="dxa"/>
            <w:tcBorders>
              <w:top w:val="nil"/>
              <w:left w:val="nil"/>
              <w:bottom w:val="single" w:color="auto" w:sz="4" w:space="0"/>
              <w:right w:val="single" w:color="auto" w:sz="4" w:space="0"/>
            </w:tcBorders>
            <w:shd w:val="clear" w:color="auto" w:fill="auto"/>
            <w:noWrap/>
            <w:vAlign w:val="center"/>
          </w:tcPr>
          <w:p w14:paraId="6AA3B6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5" w:type="dxa"/>
            <w:tcBorders>
              <w:top w:val="nil"/>
              <w:left w:val="nil"/>
              <w:bottom w:val="single" w:color="auto" w:sz="4" w:space="0"/>
              <w:right w:val="single" w:color="auto" w:sz="4" w:space="0"/>
            </w:tcBorders>
            <w:shd w:val="clear" w:color="auto" w:fill="auto"/>
            <w:noWrap/>
            <w:vAlign w:val="center"/>
          </w:tcPr>
          <w:p w14:paraId="154D79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85" w:type="dxa"/>
            <w:tcBorders>
              <w:top w:val="nil"/>
              <w:left w:val="nil"/>
              <w:bottom w:val="single" w:color="auto" w:sz="4" w:space="0"/>
              <w:right w:val="single" w:color="auto" w:sz="4" w:space="0"/>
            </w:tcBorders>
            <w:shd w:val="clear" w:color="auto" w:fill="auto"/>
            <w:noWrap/>
            <w:vAlign w:val="center"/>
          </w:tcPr>
          <w:p w14:paraId="13A3AD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5" w:type="dxa"/>
            <w:tcBorders>
              <w:top w:val="nil"/>
              <w:left w:val="nil"/>
              <w:bottom w:val="single" w:color="auto" w:sz="4" w:space="0"/>
              <w:right w:val="single" w:color="auto" w:sz="4" w:space="0"/>
            </w:tcBorders>
            <w:shd w:val="clear" w:color="auto" w:fill="auto"/>
            <w:noWrap/>
            <w:vAlign w:val="center"/>
          </w:tcPr>
          <w:p w14:paraId="507DDF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40" w:type="dxa"/>
            <w:tcBorders>
              <w:top w:val="nil"/>
              <w:left w:val="nil"/>
              <w:bottom w:val="single" w:color="auto" w:sz="4" w:space="0"/>
              <w:right w:val="single" w:color="auto" w:sz="4" w:space="0"/>
            </w:tcBorders>
            <w:shd w:val="clear" w:color="auto" w:fill="auto"/>
            <w:noWrap/>
            <w:vAlign w:val="center"/>
          </w:tcPr>
          <w:p w14:paraId="1BCBF9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454ED0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918CF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3A4E32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64" w:type="dxa"/>
            <w:tcBorders>
              <w:top w:val="nil"/>
              <w:left w:val="nil"/>
              <w:bottom w:val="single" w:color="auto" w:sz="4" w:space="0"/>
              <w:right w:val="single" w:color="auto" w:sz="4" w:space="0"/>
            </w:tcBorders>
            <w:shd w:val="clear" w:color="auto" w:fill="auto"/>
            <w:noWrap/>
            <w:vAlign w:val="center"/>
          </w:tcPr>
          <w:p w14:paraId="6741968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348.07</w:t>
            </w: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099176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45" w:type="dxa"/>
            <w:tcBorders>
              <w:top w:val="nil"/>
              <w:left w:val="nil"/>
              <w:bottom w:val="single" w:color="auto" w:sz="4" w:space="0"/>
              <w:right w:val="single" w:color="auto" w:sz="4" w:space="0"/>
            </w:tcBorders>
            <w:shd w:val="clear" w:color="auto" w:fill="auto"/>
            <w:noWrap/>
            <w:vAlign w:val="center"/>
          </w:tcPr>
          <w:p w14:paraId="40A538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5" w:type="dxa"/>
            <w:tcBorders>
              <w:top w:val="nil"/>
              <w:left w:val="nil"/>
              <w:bottom w:val="single" w:color="auto" w:sz="4" w:space="0"/>
              <w:right w:val="single" w:color="auto" w:sz="4" w:space="0"/>
            </w:tcBorders>
            <w:shd w:val="clear" w:color="auto" w:fill="auto"/>
            <w:noWrap/>
            <w:vAlign w:val="center"/>
          </w:tcPr>
          <w:p w14:paraId="6ADBD5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2D564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0DB162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40927A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0A0C3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56C7A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4E0358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64" w:type="dxa"/>
            <w:tcBorders>
              <w:top w:val="nil"/>
              <w:left w:val="nil"/>
              <w:bottom w:val="single" w:color="auto" w:sz="4" w:space="0"/>
              <w:right w:val="single" w:color="auto" w:sz="4" w:space="0"/>
            </w:tcBorders>
            <w:shd w:val="clear" w:color="auto" w:fill="auto"/>
            <w:noWrap/>
            <w:vAlign w:val="center"/>
          </w:tcPr>
          <w:p w14:paraId="143EEC2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2EBC53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45" w:type="dxa"/>
            <w:tcBorders>
              <w:top w:val="nil"/>
              <w:left w:val="nil"/>
              <w:bottom w:val="single" w:color="auto" w:sz="4" w:space="0"/>
              <w:right w:val="single" w:color="auto" w:sz="4" w:space="0"/>
            </w:tcBorders>
            <w:shd w:val="clear" w:color="auto" w:fill="auto"/>
            <w:noWrap/>
            <w:vAlign w:val="center"/>
          </w:tcPr>
          <w:p w14:paraId="02D877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5" w:type="dxa"/>
            <w:tcBorders>
              <w:top w:val="nil"/>
              <w:left w:val="nil"/>
              <w:bottom w:val="single" w:color="auto" w:sz="4" w:space="0"/>
              <w:right w:val="single" w:color="auto" w:sz="4" w:space="0"/>
            </w:tcBorders>
            <w:shd w:val="clear" w:color="auto" w:fill="auto"/>
            <w:noWrap/>
            <w:vAlign w:val="center"/>
          </w:tcPr>
          <w:p w14:paraId="4639A6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3E20D0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698C3D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5A988A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7CE76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2C9EF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7D2D25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64" w:type="dxa"/>
            <w:tcBorders>
              <w:top w:val="nil"/>
              <w:left w:val="nil"/>
              <w:bottom w:val="single" w:color="auto" w:sz="4" w:space="0"/>
              <w:right w:val="single" w:color="auto" w:sz="4" w:space="0"/>
            </w:tcBorders>
            <w:shd w:val="clear" w:color="auto" w:fill="auto"/>
            <w:noWrap/>
            <w:vAlign w:val="center"/>
          </w:tcPr>
          <w:p w14:paraId="40D4AC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79A427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45" w:type="dxa"/>
            <w:tcBorders>
              <w:top w:val="nil"/>
              <w:left w:val="nil"/>
              <w:bottom w:val="single" w:color="auto" w:sz="4" w:space="0"/>
              <w:right w:val="single" w:color="auto" w:sz="4" w:space="0"/>
            </w:tcBorders>
            <w:shd w:val="clear" w:color="auto" w:fill="auto"/>
            <w:noWrap/>
            <w:vAlign w:val="center"/>
          </w:tcPr>
          <w:p w14:paraId="412656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5" w:type="dxa"/>
            <w:tcBorders>
              <w:top w:val="nil"/>
              <w:left w:val="nil"/>
              <w:bottom w:val="single" w:color="auto" w:sz="4" w:space="0"/>
              <w:right w:val="single" w:color="auto" w:sz="4" w:space="0"/>
            </w:tcBorders>
            <w:shd w:val="clear" w:color="auto" w:fill="auto"/>
            <w:noWrap/>
            <w:vAlign w:val="center"/>
          </w:tcPr>
          <w:p w14:paraId="3681F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50C46D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63F3F5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0C592E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0754E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7CB8A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6C741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64" w:type="dxa"/>
            <w:tcBorders>
              <w:top w:val="nil"/>
              <w:left w:val="nil"/>
              <w:bottom w:val="single" w:color="auto" w:sz="4" w:space="0"/>
              <w:right w:val="single" w:color="auto" w:sz="4" w:space="0"/>
            </w:tcBorders>
            <w:shd w:val="clear" w:color="auto" w:fill="auto"/>
            <w:noWrap/>
            <w:vAlign w:val="center"/>
          </w:tcPr>
          <w:p w14:paraId="7A7BA2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21419D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45" w:type="dxa"/>
            <w:tcBorders>
              <w:top w:val="nil"/>
              <w:left w:val="nil"/>
              <w:bottom w:val="single" w:color="auto" w:sz="4" w:space="0"/>
              <w:right w:val="single" w:color="auto" w:sz="4" w:space="0"/>
            </w:tcBorders>
            <w:shd w:val="clear" w:color="auto" w:fill="auto"/>
            <w:noWrap/>
            <w:vAlign w:val="center"/>
          </w:tcPr>
          <w:p w14:paraId="48BD68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5" w:type="dxa"/>
            <w:tcBorders>
              <w:top w:val="nil"/>
              <w:left w:val="nil"/>
              <w:bottom w:val="single" w:color="auto" w:sz="4" w:space="0"/>
              <w:right w:val="single" w:color="auto" w:sz="4" w:space="0"/>
            </w:tcBorders>
            <w:shd w:val="clear" w:color="auto" w:fill="auto"/>
            <w:noWrap/>
            <w:vAlign w:val="center"/>
          </w:tcPr>
          <w:p w14:paraId="062D41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59C8C6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41B5A0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33FFED4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6BC85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D6A41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1985E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64" w:type="dxa"/>
            <w:tcBorders>
              <w:top w:val="nil"/>
              <w:left w:val="nil"/>
              <w:bottom w:val="single" w:color="auto" w:sz="4" w:space="0"/>
              <w:right w:val="single" w:color="auto" w:sz="4" w:space="0"/>
            </w:tcBorders>
            <w:shd w:val="clear" w:color="auto" w:fill="auto"/>
            <w:noWrap/>
            <w:vAlign w:val="center"/>
          </w:tcPr>
          <w:p w14:paraId="0601CC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23A320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45" w:type="dxa"/>
            <w:tcBorders>
              <w:top w:val="nil"/>
              <w:left w:val="nil"/>
              <w:bottom w:val="single" w:color="auto" w:sz="4" w:space="0"/>
              <w:right w:val="single" w:color="auto" w:sz="4" w:space="0"/>
            </w:tcBorders>
            <w:shd w:val="clear" w:color="auto" w:fill="auto"/>
            <w:noWrap/>
            <w:vAlign w:val="center"/>
          </w:tcPr>
          <w:p w14:paraId="1A9EBB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5" w:type="dxa"/>
            <w:tcBorders>
              <w:top w:val="nil"/>
              <w:left w:val="nil"/>
              <w:bottom w:val="single" w:color="auto" w:sz="4" w:space="0"/>
              <w:right w:val="single" w:color="auto" w:sz="4" w:space="0"/>
            </w:tcBorders>
            <w:shd w:val="clear" w:color="auto" w:fill="auto"/>
            <w:noWrap/>
            <w:vAlign w:val="center"/>
          </w:tcPr>
          <w:p w14:paraId="2022D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402246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5DC022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3B9FA9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0FC77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E10F5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85B05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64" w:type="dxa"/>
            <w:tcBorders>
              <w:top w:val="nil"/>
              <w:left w:val="nil"/>
              <w:bottom w:val="single" w:color="auto" w:sz="4" w:space="0"/>
              <w:right w:val="single" w:color="auto" w:sz="4" w:space="0"/>
            </w:tcBorders>
            <w:shd w:val="clear" w:color="auto" w:fill="auto"/>
            <w:noWrap/>
            <w:vAlign w:val="center"/>
          </w:tcPr>
          <w:p w14:paraId="7FAE04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03BA9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45" w:type="dxa"/>
            <w:tcBorders>
              <w:top w:val="nil"/>
              <w:left w:val="nil"/>
              <w:bottom w:val="single" w:color="auto" w:sz="4" w:space="0"/>
              <w:right w:val="single" w:color="auto" w:sz="4" w:space="0"/>
            </w:tcBorders>
            <w:shd w:val="clear" w:color="auto" w:fill="auto"/>
            <w:noWrap/>
            <w:vAlign w:val="center"/>
          </w:tcPr>
          <w:p w14:paraId="11FF0F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5" w:type="dxa"/>
            <w:tcBorders>
              <w:top w:val="nil"/>
              <w:left w:val="nil"/>
              <w:bottom w:val="single" w:color="auto" w:sz="4" w:space="0"/>
              <w:right w:val="single" w:color="auto" w:sz="4" w:space="0"/>
            </w:tcBorders>
            <w:shd w:val="clear" w:color="auto" w:fill="auto"/>
            <w:noWrap/>
            <w:vAlign w:val="center"/>
          </w:tcPr>
          <w:p w14:paraId="42C28F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2F4FFA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08C30F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48E573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CE5F9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D8345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7E177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64" w:type="dxa"/>
            <w:tcBorders>
              <w:top w:val="nil"/>
              <w:left w:val="nil"/>
              <w:bottom w:val="single" w:color="auto" w:sz="4" w:space="0"/>
              <w:right w:val="single" w:color="auto" w:sz="4" w:space="0"/>
            </w:tcBorders>
            <w:shd w:val="clear" w:color="auto" w:fill="auto"/>
            <w:noWrap/>
            <w:vAlign w:val="center"/>
          </w:tcPr>
          <w:p w14:paraId="7D884F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7EBA5B11">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七、农林水支出</w:t>
            </w:r>
          </w:p>
        </w:tc>
        <w:tc>
          <w:tcPr>
            <w:tcW w:w="645" w:type="dxa"/>
            <w:tcBorders>
              <w:top w:val="nil"/>
              <w:left w:val="nil"/>
              <w:bottom w:val="single" w:color="auto" w:sz="4" w:space="0"/>
              <w:right w:val="single" w:color="auto" w:sz="4" w:space="0"/>
            </w:tcBorders>
            <w:shd w:val="clear" w:color="auto" w:fill="auto"/>
            <w:noWrap/>
            <w:vAlign w:val="center"/>
          </w:tcPr>
          <w:p w14:paraId="42720C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5" w:type="dxa"/>
            <w:tcBorders>
              <w:top w:val="nil"/>
              <w:left w:val="nil"/>
              <w:bottom w:val="single" w:color="auto" w:sz="4" w:space="0"/>
              <w:right w:val="single" w:color="auto" w:sz="4" w:space="0"/>
            </w:tcBorders>
            <w:shd w:val="clear" w:color="auto" w:fill="auto"/>
            <w:noWrap/>
            <w:vAlign w:val="center"/>
          </w:tcPr>
          <w:p w14:paraId="32F900C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348.07</w:t>
            </w: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089814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348.07</w:t>
            </w: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5256B5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3EA368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CDF6E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31693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08BFB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64" w:type="dxa"/>
            <w:tcBorders>
              <w:top w:val="nil"/>
              <w:left w:val="nil"/>
              <w:bottom w:val="single" w:color="auto" w:sz="4" w:space="0"/>
              <w:right w:val="single" w:color="auto" w:sz="4" w:space="0"/>
            </w:tcBorders>
            <w:shd w:val="clear" w:color="auto" w:fill="auto"/>
            <w:noWrap/>
            <w:vAlign w:val="center"/>
          </w:tcPr>
          <w:p w14:paraId="2DAC49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0EFCDA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4E82E4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55" w:type="dxa"/>
            <w:tcBorders>
              <w:top w:val="nil"/>
              <w:left w:val="nil"/>
              <w:bottom w:val="single" w:color="auto" w:sz="4" w:space="0"/>
              <w:right w:val="single" w:color="auto" w:sz="4" w:space="0"/>
            </w:tcBorders>
            <w:shd w:val="clear" w:color="auto" w:fill="auto"/>
            <w:noWrap/>
            <w:vAlign w:val="center"/>
          </w:tcPr>
          <w:p w14:paraId="79F1CF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5B0BD6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511B1E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247F59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54C96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A4CFD3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453E4A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64" w:type="dxa"/>
            <w:tcBorders>
              <w:top w:val="nil"/>
              <w:left w:val="nil"/>
              <w:bottom w:val="single" w:color="auto" w:sz="4" w:space="0"/>
              <w:right w:val="single" w:color="auto" w:sz="4" w:space="0"/>
            </w:tcBorders>
            <w:shd w:val="clear" w:color="auto" w:fill="auto"/>
            <w:noWrap/>
            <w:vAlign w:val="center"/>
          </w:tcPr>
          <w:p w14:paraId="4B1BBA4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348.07</w:t>
            </w: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2125705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45" w:type="dxa"/>
            <w:tcBorders>
              <w:top w:val="nil"/>
              <w:left w:val="nil"/>
              <w:bottom w:val="single" w:color="auto" w:sz="4" w:space="0"/>
              <w:right w:val="single" w:color="auto" w:sz="4" w:space="0"/>
            </w:tcBorders>
            <w:shd w:val="clear" w:color="auto" w:fill="auto"/>
            <w:noWrap/>
            <w:vAlign w:val="center"/>
          </w:tcPr>
          <w:p w14:paraId="371B88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55" w:type="dxa"/>
            <w:tcBorders>
              <w:top w:val="nil"/>
              <w:left w:val="nil"/>
              <w:bottom w:val="single" w:color="auto" w:sz="4" w:space="0"/>
              <w:right w:val="single" w:color="auto" w:sz="4" w:space="0"/>
            </w:tcBorders>
            <w:shd w:val="clear" w:color="auto" w:fill="auto"/>
            <w:noWrap/>
            <w:vAlign w:val="center"/>
          </w:tcPr>
          <w:p w14:paraId="75AB1EB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348.07</w:t>
            </w: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635E4334">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 xml:space="preserve"> 348.07</w:t>
            </w:r>
          </w:p>
        </w:tc>
        <w:tc>
          <w:tcPr>
            <w:tcW w:w="1695" w:type="dxa"/>
            <w:tcBorders>
              <w:top w:val="nil"/>
              <w:left w:val="nil"/>
              <w:bottom w:val="single" w:color="auto" w:sz="4" w:space="0"/>
              <w:right w:val="single" w:color="auto" w:sz="4" w:space="0"/>
            </w:tcBorders>
            <w:shd w:val="clear" w:color="auto" w:fill="auto"/>
            <w:noWrap/>
            <w:vAlign w:val="center"/>
          </w:tcPr>
          <w:p w14:paraId="0D11D3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3BCF8C4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1B9087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4C60E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1FC196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64" w:type="dxa"/>
            <w:tcBorders>
              <w:top w:val="nil"/>
              <w:left w:val="nil"/>
              <w:bottom w:val="single" w:color="auto" w:sz="4" w:space="0"/>
              <w:right w:val="single" w:color="auto" w:sz="4" w:space="0"/>
            </w:tcBorders>
            <w:shd w:val="clear" w:color="auto" w:fill="auto"/>
            <w:noWrap/>
            <w:vAlign w:val="center"/>
          </w:tcPr>
          <w:p w14:paraId="6816F9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3EC714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45" w:type="dxa"/>
            <w:tcBorders>
              <w:top w:val="nil"/>
              <w:left w:val="nil"/>
              <w:bottom w:val="single" w:color="auto" w:sz="4" w:space="0"/>
              <w:right w:val="single" w:color="auto" w:sz="4" w:space="0"/>
            </w:tcBorders>
            <w:shd w:val="clear" w:color="auto" w:fill="auto"/>
            <w:noWrap/>
            <w:vAlign w:val="center"/>
          </w:tcPr>
          <w:p w14:paraId="7361CC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55" w:type="dxa"/>
            <w:tcBorders>
              <w:top w:val="nil"/>
              <w:left w:val="nil"/>
              <w:bottom w:val="single" w:color="auto" w:sz="4" w:space="0"/>
              <w:right w:val="single" w:color="auto" w:sz="4" w:space="0"/>
            </w:tcBorders>
            <w:shd w:val="clear" w:color="auto" w:fill="auto"/>
            <w:noWrap/>
            <w:vAlign w:val="center"/>
          </w:tcPr>
          <w:p w14:paraId="2FDDDD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01C131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4C3225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5F58CA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78294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5A761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2702F5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64" w:type="dxa"/>
            <w:tcBorders>
              <w:top w:val="nil"/>
              <w:left w:val="nil"/>
              <w:bottom w:val="single" w:color="auto" w:sz="4" w:space="0"/>
              <w:right w:val="single" w:color="auto" w:sz="4" w:space="0"/>
            </w:tcBorders>
            <w:shd w:val="clear" w:color="auto" w:fill="auto"/>
            <w:noWrap/>
            <w:vAlign w:val="center"/>
          </w:tcPr>
          <w:p w14:paraId="75B58A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24D51D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051181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55" w:type="dxa"/>
            <w:tcBorders>
              <w:top w:val="nil"/>
              <w:left w:val="nil"/>
              <w:bottom w:val="single" w:color="auto" w:sz="4" w:space="0"/>
              <w:right w:val="single" w:color="auto" w:sz="4" w:space="0"/>
            </w:tcBorders>
            <w:shd w:val="clear" w:color="auto" w:fill="auto"/>
            <w:noWrap/>
            <w:vAlign w:val="center"/>
          </w:tcPr>
          <w:p w14:paraId="4D31FC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0CEBCB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7D4EF8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26F47F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350B32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B5054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69793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64" w:type="dxa"/>
            <w:tcBorders>
              <w:top w:val="nil"/>
              <w:left w:val="nil"/>
              <w:bottom w:val="single" w:color="auto" w:sz="4" w:space="0"/>
              <w:right w:val="single" w:color="auto" w:sz="4" w:space="0"/>
            </w:tcBorders>
            <w:shd w:val="clear" w:color="auto" w:fill="auto"/>
            <w:noWrap/>
            <w:vAlign w:val="center"/>
          </w:tcPr>
          <w:p w14:paraId="439307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63EDCE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3AA9CE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55" w:type="dxa"/>
            <w:tcBorders>
              <w:top w:val="nil"/>
              <w:left w:val="nil"/>
              <w:bottom w:val="single" w:color="auto" w:sz="4" w:space="0"/>
              <w:right w:val="single" w:color="auto" w:sz="4" w:space="0"/>
            </w:tcBorders>
            <w:shd w:val="clear" w:color="auto" w:fill="auto"/>
            <w:noWrap/>
            <w:vAlign w:val="center"/>
          </w:tcPr>
          <w:p w14:paraId="6E1B4A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767863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786921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57110F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249E0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56CCC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290A6D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64" w:type="dxa"/>
            <w:tcBorders>
              <w:top w:val="nil"/>
              <w:left w:val="nil"/>
              <w:bottom w:val="single" w:color="auto" w:sz="4" w:space="0"/>
              <w:right w:val="single" w:color="auto" w:sz="4" w:space="0"/>
            </w:tcBorders>
            <w:shd w:val="clear" w:color="auto" w:fill="auto"/>
            <w:noWrap/>
            <w:vAlign w:val="center"/>
          </w:tcPr>
          <w:p w14:paraId="3FC115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auto" w:fill="auto"/>
            <w:noWrap/>
            <w:vAlign w:val="center"/>
          </w:tcPr>
          <w:p w14:paraId="4DF4EE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14:paraId="20871A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55" w:type="dxa"/>
            <w:tcBorders>
              <w:top w:val="nil"/>
              <w:left w:val="nil"/>
              <w:bottom w:val="single" w:color="auto" w:sz="4" w:space="0"/>
              <w:right w:val="single" w:color="auto" w:sz="4" w:space="0"/>
            </w:tcBorders>
            <w:shd w:val="clear" w:color="auto" w:fill="auto"/>
            <w:noWrap/>
            <w:vAlign w:val="center"/>
          </w:tcPr>
          <w:p w14:paraId="6ED0A0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5B5696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3FFD35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5DEBB3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2C989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17E1642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3BF27F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64" w:type="dxa"/>
            <w:tcBorders>
              <w:top w:val="nil"/>
              <w:left w:val="nil"/>
              <w:bottom w:val="single" w:color="auto" w:sz="4" w:space="0"/>
              <w:right w:val="single" w:color="auto" w:sz="4" w:space="0"/>
            </w:tcBorders>
            <w:shd w:val="clear" w:color="auto" w:fill="auto"/>
            <w:noWrap/>
            <w:vAlign w:val="center"/>
          </w:tcPr>
          <w:p w14:paraId="15DA875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348.07</w:t>
            </w:r>
            <w:r>
              <w:rPr>
                <w:rFonts w:ascii="Times New Roman" w:hAnsi="Times New Roman" w:eastAsia="仿宋_GB2312" w:cs="Times New Roman"/>
                <w:kern w:val="0"/>
                <w:sz w:val="22"/>
              </w:rPr>
              <w:t>　</w:t>
            </w:r>
          </w:p>
        </w:tc>
        <w:tc>
          <w:tcPr>
            <w:tcW w:w="2700" w:type="dxa"/>
            <w:tcBorders>
              <w:top w:val="nil"/>
              <w:left w:val="nil"/>
              <w:bottom w:val="single" w:color="auto" w:sz="4" w:space="0"/>
              <w:right w:val="single" w:color="auto" w:sz="4" w:space="0"/>
            </w:tcBorders>
            <w:shd w:val="clear" w:color="000000" w:fill="FFFFFF"/>
            <w:noWrap/>
            <w:vAlign w:val="center"/>
          </w:tcPr>
          <w:p w14:paraId="11F427D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45" w:type="dxa"/>
            <w:tcBorders>
              <w:top w:val="nil"/>
              <w:left w:val="nil"/>
              <w:bottom w:val="single" w:color="auto" w:sz="4" w:space="0"/>
              <w:right w:val="single" w:color="auto" w:sz="4" w:space="0"/>
            </w:tcBorders>
            <w:shd w:val="clear" w:color="000000" w:fill="FFFFFF"/>
            <w:noWrap/>
            <w:vAlign w:val="center"/>
          </w:tcPr>
          <w:p w14:paraId="57604D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55" w:type="dxa"/>
            <w:tcBorders>
              <w:top w:val="nil"/>
              <w:left w:val="nil"/>
              <w:bottom w:val="single" w:color="auto" w:sz="4" w:space="0"/>
              <w:right w:val="single" w:color="auto" w:sz="4" w:space="0"/>
            </w:tcBorders>
            <w:shd w:val="clear" w:color="000000" w:fill="FFFFFF"/>
            <w:noWrap/>
            <w:vAlign w:val="center"/>
          </w:tcPr>
          <w:p w14:paraId="1B80B1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 xml:space="preserve"> 348.07</w:t>
            </w:r>
            <w:r>
              <w:rPr>
                <w:rFonts w:ascii="Times New Roman" w:hAnsi="Times New Roman" w:eastAsia="仿宋_GB2312" w:cs="Times New Roman"/>
                <w:kern w:val="0"/>
                <w:sz w:val="22"/>
              </w:rPr>
              <w:t>　</w:t>
            </w:r>
          </w:p>
        </w:tc>
        <w:tc>
          <w:tcPr>
            <w:tcW w:w="1485" w:type="dxa"/>
            <w:tcBorders>
              <w:top w:val="nil"/>
              <w:left w:val="nil"/>
              <w:bottom w:val="single" w:color="auto" w:sz="4" w:space="0"/>
              <w:right w:val="single" w:color="auto" w:sz="4" w:space="0"/>
            </w:tcBorders>
            <w:shd w:val="clear" w:color="000000" w:fill="FFFFFF"/>
            <w:noWrap/>
            <w:vAlign w:val="center"/>
          </w:tcPr>
          <w:p w14:paraId="3F01DAA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 xml:space="preserve">  348.07</w:t>
            </w: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14:paraId="092EF3A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40" w:type="dxa"/>
            <w:tcBorders>
              <w:top w:val="nil"/>
              <w:left w:val="nil"/>
              <w:bottom w:val="single" w:color="auto" w:sz="4" w:space="0"/>
              <w:right w:val="single" w:color="auto" w:sz="4" w:space="0"/>
            </w:tcBorders>
            <w:shd w:val="clear" w:color="auto" w:fill="auto"/>
            <w:noWrap/>
            <w:vAlign w:val="center"/>
          </w:tcPr>
          <w:p w14:paraId="67137B1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3F6B8F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323ED1E">
      <w:pPr>
        <w:widowControl/>
        <w:jc w:val="center"/>
        <w:rPr>
          <w:rFonts w:ascii="Times New Roman" w:hAnsi="Times New Roman" w:eastAsia="方正小标宋_GBK" w:cs="Times New Roman"/>
          <w:kern w:val="0"/>
          <w:sz w:val="36"/>
          <w:szCs w:val="36"/>
        </w:rPr>
      </w:pPr>
    </w:p>
    <w:p w14:paraId="3E67D90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708E52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0A9A2EF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26EF57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27397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AFC44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FD21AB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F324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702F9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574D4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0225D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DF0DB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8FA1DC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B8BDD1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6176C8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89C42D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275A98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6FC781E">
            <w:pPr>
              <w:widowControl/>
              <w:jc w:val="left"/>
              <w:rPr>
                <w:rFonts w:ascii="Times New Roman" w:hAnsi="Times New Roman" w:eastAsia="仿宋_GB2312" w:cs="Times New Roman"/>
                <w:kern w:val="0"/>
                <w:szCs w:val="21"/>
              </w:rPr>
            </w:pPr>
          </w:p>
        </w:tc>
      </w:tr>
      <w:tr w14:paraId="2875015D">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957B29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D3BED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B5B6C2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2A1E0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D32E157">
            <w:pPr>
              <w:widowControl/>
              <w:jc w:val="left"/>
              <w:rPr>
                <w:rFonts w:ascii="Times New Roman" w:hAnsi="Times New Roman" w:eastAsia="仿宋_GB2312" w:cs="Times New Roman"/>
                <w:kern w:val="0"/>
                <w:szCs w:val="21"/>
              </w:rPr>
            </w:pPr>
          </w:p>
        </w:tc>
      </w:tr>
      <w:tr w14:paraId="2110438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71291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660B7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6AB24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C0165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BC5BA8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D116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723AE4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348.07</w:t>
            </w:r>
          </w:p>
        </w:tc>
        <w:tc>
          <w:tcPr>
            <w:tcW w:w="3492" w:type="dxa"/>
            <w:tcBorders>
              <w:top w:val="nil"/>
              <w:left w:val="nil"/>
              <w:bottom w:val="single" w:color="auto" w:sz="4" w:space="0"/>
              <w:right w:val="single" w:color="auto" w:sz="4" w:space="0"/>
            </w:tcBorders>
            <w:shd w:val="clear" w:color="auto" w:fill="auto"/>
            <w:vAlign w:val="center"/>
          </w:tcPr>
          <w:p w14:paraId="5D1202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239.24</w:t>
            </w:r>
          </w:p>
        </w:tc>
        <w:tc>
          <w:tcPr>
            <w:tcW w:w="3000" w:type="dxa"/>
            <w:tcBorders>
              <w:top w:val="nil"/>
              <w:left w:val="nil"/>
              <w:bottom w:val="single" w:color="auto" w:sz="4" w:space="0"/>
              <w:right w:val="single" w:color="auto" w:sz="8" w:space="0"/>
            </w:tcBorders>
            <w:shd w:val="clear" w:color="auto" w:fill="auto"/>
            <w:vAlign w:val="center"/>
          </w:tcPr>
          <w:p w14:paraId="19C969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108.83</w:t>
            </w:r>
          </w:p>
        </w:tc>
      </w:tr>
      <w:tr w14:paraId="50EB37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2EDA3B">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52B7F1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农林水支出</w:t>
            </w:r>
          </w:p>
        </w:tc>
        <w:tc>
          <w:tcPr>
            <w:tcW w:w="3000" w:type="dxa"/>
            <w:tcBorders>
              <w:top w:val="nil"/>
              <w:left w:val="nil"/>
              <w:bottom w:val="single" w:color="auto" w:sz="4" w:space="0"/>
              <w:right w:val="single" w:color="auto" w:sz="4" w:space="0"/>
            </w:tcBorders>
            <w:shd w:val="clear" w:color="auto" w:fill="auto"/>
            <w:vAlign w:val="center"/>
          </w:tcPr>
          <w:p w14:paraId="0175BE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348.07</w:t>
            </w:r>
          </w:p>
        </w:tc>
        <w:tc>
          <w:tcPr>
            <w:tcW w:w="3492" w:type="dxa"/>
            <w:tcBorders>
              <w:top w:val="nil"/>
              <w:left w:val="nil"/>
              <w:bottom w:val="single" w:color="auto" w:sz="4" w:space="0"/>
              <w:right w:val="single" w:color="auto" w:sz="4" w:space="0"/>
            </w:tcBorders>
            <w:shd w:val="clear" w:color="auto" w:fill="auto"/>
            <w:vAlign w:val="center"/>
          </w:tcPr>
          <w:p w14:paraId="0EE5F9C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239.24</w:t>
            </w:r>
          </w:p>
        </w:tc>
        <w:tc>
          <w:tcPr>
            <w:tcW w:w="3000" w:type="dxa"/>
            <w:tcBorders>
              <w:top w:val="nil"/>
              <w:left w:val="nil"/>
              <w:bottom w:val="single" w:color="auto" w:sz="4" w:space="0"/>
              <w:right w:val="single" w:color="auto" w:sz="8" w:space="0"/>
            </w:tcBorders>
            <w:shd w:val="clear" w:color="auto" w:fill="auto"/>
            <w:vAlign w:val="center"/>
          </w:tcPr>
          <w:p w14:paraId="7D57F40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108.83</w:t>
            </w:r>
          </w:p>
        </w:tc>
      </w:tr>
      <w:tr w14:paraId="42F6A5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58D4DC">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BA05FD4">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农业农村</w:t>
            </w:r>
          </w:p>
        </w:tc>
        <w:tc>
          <w:tcPr>
            <w:tcW w:w="3000" w:type="dxa"/>
            <w:tcBorders>
              <w:top w:val="nil"/>
              <w:left w:val="nil"/>
              <w:bottom w:val="single" w:color="auto" w:sz="4" w:space="0"/>
              <w:right w:val="single" w:color="auto" w:sz="4" w:space="0"/>
            </w:tcBorders>
            <w:shd w:val="clear" w:color="auto" w:fill="auto"/>
            <w:vAlign w:val="center"/>
          </w:tcPr>
          <w:p w14:paraId="6C87A0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348.07</w:t>
            </w:r>
          </w:p>
        </w:tc>
        <w:tc>
          <w:tcPr>
            <w:tcW w:w="3492" w:type="dxa"/>
            <w:tcBorders>
              <w:top w:val="nil"/>
              <w:left w:val="nil"/>
              <w:bottom w:val="single" w:color="auto" w:sz="4" w:space="0"/>
              <w:right w:val="single" w:color="auto" w:sz="4" w:space="0"/>
            </w:tcBorders>
            <w:shd w:val="clear" w:color="auto" w:fill="auto"/>
            <w:vAlign w:val="center"/>
          </w:tcPr>
          <w:p w14:paraId="029635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239.24</w:t>
            </w:r>
          </w:p>
        </w:tc>
        <w:tc>
          <w:tcPr>
            <w:tcW w:w="3000" w:type="dxa"/>
            <w:tcBorders>
              <w:top w:val="nil"/>
              <w:left w:val="nil"/>
              <w:bottom w:val="single" w:color="auto" w:sz="4" w:space="0"/>
              <w:right w:val="single" w:color="auto" w:sz="8" w:space="0"/>
            </w:tcBorders>
            <w:shd w:val="clear" w:color="auto" w:fill="auto"/>
            <w:vAlign w:val="center"/>
          </w:tcPr>
          <w:p w14:paraId="06FE7CC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108.83</w:t>
            </w:r>
          </w:p>
        </w:tc>
      </w:tr>
      <w:tr w14:paraId="7E342D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4ADF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564516B">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4255142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239.24</w:t>
            </w:r>
          </w:p>
        </w:tc>
        <w:tc>
          <w:tcPr>
            <w:tcW w:w="3492" w:type="dxa"/>
            <w:tcBorders>
              <w:top w:val="nil"/>
              <w:left w:val="nil"/>
              <w:bottom w:val="single" w:color="auto" w:sz="4" w:space="0"/>
              <w:right w:val="single" w:color="auto" w:sz="4" w:space="0"/>
            </w:tcBorders>
            <w:shd w:val="clear" w:color="auto" w:fill="auto"/>
            <w:vAlign w:val="center"/>
          </w:tcPr>
          <w:p w14:paraId="3FD614D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239.24</w:t>
            </w:r>
          </w:p>
        </w:tc>
        <w:tc>
          <w:tcPr>
            <w:tcW w:w="3000" w:type="dxa"/>
            <w:tcBorders>
              <w:top w:val="nil"/>
              <w:left w:val="nil"/>
              <w:bottom w:val="single" w:color="auto" w:sz="4" w:space="0"/>
              <w:right w:val="single" w:color="auto" w:sz="8" w:space="0"/>
            </w:tcBorders>
            <w:shd w:val="clear" w:color="auto" w:fill="auto"/>
            <w:vAlign w:val="center"/>
          </w:tcPr>
          <w:p w14:paraId="5BB77890">
            <w:pPr>
              <w:widowControl/>
              <w:jc w:val="center"/>
              <w:rPr>
                <w:rFonts w:ascii="Times New Roman" w:hAnsi="Times New Roman" w:eastAsia="仿宋_GB2312" w:cs="Times New Roman"/>
                <w:kern w:val="0"/>
                <w:szCs w:val="21"/>
              </w:rPr>
            </w:pPr>
          </w:p>
        </w:tc>
      </w:tr>
      <w:tr w14:paraId="5BCDD9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E13C8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2130199</w:t>
            </w:r>
          </w:p>
        </w:tc>
        <w:tc>
          <w:tcPr>
            <w:tcW w:w="3527" w:type="dxa"/>
            <w:tcBorders>
              <w:top w:val="nil"/>
              <w:left w:val="nil"/>
              <w:bottom w:val="single" w:color="auto" w:sz="4" w:space="0"/>
              <w:right w:val="single" w:color="auto" w:sz="4" w:space="0"/>
            </w:tcBorders>
            <w:shd w:val="clear" w:color="auto" w:fill="auto"/>
            <w:vAlign w:val="center"/>
          </w:tcPr>
          <w:p w14:paraId="195EFF83">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6898107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108.83</w:t>
            </w:r>
          </w:p>
        </w:tc>
        <w:tc>
          <w:tcPr>
            <w:tcW w:w="3492" w:type="dxa"/>
            <w:tcBorders>
              <w:top w:val="nil"/>
              <w:left w:val="nil"/>
              <w:bottom w:val="single" w:color="auto" w:sz="4" w:space="0"/>
              <w:right w:val="single" w:color="auto" w:sz="4" w:space="0"/>
            </w:tcBorders>
            <w:shd w:val="clear" w:color="auto" w:fill="auto"/>
            <w:vAlign w:val="center"/>
          </w:tcPr>
          <w:p w14:paraId="621ABC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7948D9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108.83</w:t>
            </w:r>
          </w:p>
        </w:tc>
      </w:tr>
      <w:tr w14:paraId="15F061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7F08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05BFE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E8B0F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D59C1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15382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EE42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B92D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33641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A1809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675D2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AC767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6F07D4F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0854325">
      <w:pPr>
        <w:widowControl/>
        <w:jc w:val="left"/>
        <w:rPr>
          <w:rFonts w:ascii="Times New Roman" w:hAnsi="Times New Roman" w:eastAsia="仿宋_GB2312" w:cs="Times New Roman"/>
          <w:bCs/>
          <w:kern w:val="0"/>
          <w:szCs w:val="21"/>
        </w:rPr>
      </w:pPr>
    </w:p>
    <w:p w14:paraId="4D5111F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18E1EA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D3D00CF">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14002E62">
      <w:pPr>
        <w:widowControl/>
        <w:spacing w:line="240" w:lineRule="exact"/>
        <w:jc w:val="left"/>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eastAsia="zh-CN"/>
        </w:rPr>
        <w:t>部门：蓝山县农村经营服务站</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829A20A">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CDC97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24537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BB386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C3BC3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E58FE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7E2E4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F11245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D33AD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EEC7A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00B171D">
        <w:tblPrEx>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A82D8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301</w:t>
            </w:r>
          </w:p>
        </w:tc>
        <w:tc>
          <w:tcPr>
            <w:tcW w:w="2850" w:type="dxa"/>
            <w:tcBorders>
              <w:top w:val="nil"/>
              <w:left w:val="nil"/>
              <w:bottom w:val="single" w:color="auto" w:sz="4" w:space="0"/>
              <w:right w:val="single" w:color="auto" w:sz="4" w:space="0"/>
            </w:tcBorders>
            <w:shd w:val="clear" w:color="auto" w:fill="auto"/>
            <w:noWrap/>
            <w:vAlign w:val="center"/>
          </w:tcPr>
          <w:p w14:paraId="4709E80A">
            <w:pPr>
              <w:widowControl/>
              <w:jc w:val="left"/>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eastAsia="zh-CN"/>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0CB1E39">
            <w:pPr>
              <w:widowControl/>
              <w:jc w:val="center"/>
              <w:rPr>
                <w:rFonts w:hint="default" w:ascii="Times New Roman" w:hAnsi="Times New Roman" w:eastAsia="仿宋_GB2312" w:cs="Times New Roman"/>
                <w:b/>
                <w:bCs/>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202.88</w:t>
            </w:r>
          </w:p>
        </w:tc>
        <w:tc>
          <w:tcPr>
            <w:tcW w:w="1116" w:type="dxa"/>
            <w:tcBorders>
              <w:top w:val="nil"/>
              <w:left w:val="nil"/>
              <w:bottom w:val="single" w:color="auto" w:sz="4" w:space="0"/>
              <w:right w:val="single" w:color="auto" w:sz="4" w:space="0"/>
            </w:tcBorders>
            <w:shd w:val="clear" w:color="auto" w:fill="auto"/>
            <w:noWrap/>
            <w:vAlign w:val="center"/>
          </w:tcPr>
          <w:p w14:paraId="62F952D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w:t>
            </w:r>
          </w:p>
        </w:tc>
        <w:tc>
          <w:tcPr>
            <w:tcW w:w="2018" w:type="dxa"/>
            <w:tcBorders>
              <w:top w:val="nil"/>
              <w:left w:val="nil"/>
              <w:bottom w:val="single" w:color="auto" w:sz="4" w:space="0"/>
              <w:right w:val="single" w:color="auto" w:sz="4" w:space="0"/>
            </w:tcBorders>
            <w:shd w:val="clear" w:color="auto" w:fill="auto"/>
            <w:noWrap/>
            <w:vAlign w:val="center"/>
          </w:tcPr>
          <w:p w14:paraId="60471412">
            <w:pPr>
              <w:widowControl/>
              <w:jc w:val="left"/>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eastAsia="zh-CN"/>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534771E">
            <w:pPr>
              <w:widowControl/>
              <w:ind w:firstLine="211"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31.71</w:t>
            </w:r>
          </w:p>
        </w:tc>
        <w:tc>
          <w:tcPr>
            <w:tcW w:w="1217" w:type="dxa"/>
            <w:tcBorders>
              <w:top w:val="nil"/>
              <w:left w:val="nil"/>
              <w:bottom w:val="single" w:color="auto" w:sz="4" w:space="0"/>
              <w:right w:val="single" w:color="auto" w:sz="4" w:space="0"/>
            </w:tcBorders>
            <w:shd w:val="clear" w:color="auto" w:fill="auto"/>
            <w:noWrap/>
            <w:vAlign w:val="center"/>
          </w:tcPr>
          <w:p w14:paraId="1C45E66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307</w:t>
            </w:r>
          </w:p>
        </w:tc>
        <w:tc>
          <w:tcPr>
            <w:tcW w:w="3517" w:type="dxa"/>
            <w:tcBorders>
              <w:top w:val="nil"/>
              <w:left w:val="nil"/>
              <w:bottom w:val="single" w:color="auto" w:sz="4" w:space="0"/>
              <w:right w:val="single" w:color="auto" w:sz="4" w:space="0"/>
            </w:tcBorders>
            <w:shd w:val="clear" w:color="auto" w:fill="auto"/>
            <w:noWrap/>
            <w:vAlign w:val="center"/>
          </w:tcPr>
          <w:p w14:paraId="096A06A6">
            <w:pPr>
              <w:widowControl/>
              <w:jc w:val="left"/>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eastAsia="zh-CN"/>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852DED9">
            <w:pPr>
              <w:widowControl/>
              <w:jc w:val="left"/>
              <w:rPr>
                <w:rFonts w:ascii="Times New Roman" w:hAnsi="Times New Roman" w:eastAsia="仿宋_GB2312" w:cs="Times New Roman"/>
                <w:color w:val="000000"/>
                <w:kern w:val="0"/>
                <w:szCs w:val="20"/>
              </w:rPr>
            </w:pPr>
          </w:p>
        </w:tc>
      </w:tr>
      <w:tr w14:paraId="000F71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00D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6A8A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2852D6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67.25</w:t>
            </w:r>
          </w:p>
        </w:tc>
        <w:tc>
          <w:tcPr>
            <w:tcW w:w="1116" w:type="dxa"/>
            <w:tcBorders>
              <w:top w:val="nil"/>
              <w:left w:val="nil"/>
              <w:bottom w:val="single" w:color="auto" w:sz="4" w:space="0"/>
              <w:right w:val="single" w:color="auto" w:sz="4" w:space="0"/>
            </w:tcBorders>
            <w:shd w:val="clear" w:color="auto" w:fill="auto"/>
            <w:noWrap/>
            <w:vAlign w:val="center"/>
          </w:tcPr>
          <w:p w14:paraId="2385C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CF93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17C4A0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2.62</w:t>
            </w:r>
          </w:p>
        </w:tc>
        <w:tc>
          <w:tcPr>
            <w:tcW w:w="1217" w:type="dxa"/>
            <w:tcBorders>
              <w:top w:val="nil"/>
              <w:left w:val="nil"/>
              <w:bottom w:val="single" w:color="auto" w:sz="4" w:space="0"/>
              <w:right w:val="single" w:color="auto" w:sz="4" w:space="0"/>
            </w:tcBorders>
            <w:shd w:val="clear" w:color="auto" w:fill="auto"/>
            <w:noWrap/>
            <w:vAlign w:val="center"/>
          </w:tcPr>
          <w:p w14:paraId="3762F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30E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171D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9347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A52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3ED6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A794D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38.9</w:t>
            </w:r>
          </w:p>
        </w:tc>
        <w:tc>
          <w:tcPr>
            <w:tcW w:w="1116" w:type="dxa"/>
            <w:tcBorders>
              <w:top w:val="nil"/>
              <w:left w:val="nil"/>
              <w:bottom w:val="single" w:color="auto" w:sz="4" w:space="0"/>
              <w:right w:val="single" w:color="auto" w:sz="4" w:space="0"/>
            </w:tcBorders>
            <w:shd w:val="clear" w:color="auto" w:fill="auto"/>
            <w:noWrap/>
            <w:vAlign w:val="center"/>
          </w:tcPr>
          <w:p w14:paraId="69FB9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E5F0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0DDC9A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217" w:type="dxa"/>
            <w:tcBorders>
              <w:top w:val="nil"/>
              <w:left w:val="nil"/>
              <w:bottom w:val="single" w:color="auto" w:sz="4" w:space="0"/>
              <w:right w:val="single" w:color="auto" w:sz="4" w:space="0"/>
            </w:tcBorders>
            <w:shd w:val="clear" w:color="auto" w:fill="auto"/>
            <w:noWrap/>
            <w:vAlign w:val="center"/>
          </w:tcPr>
          <w:p w14:paraId="359FC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8C9F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1DEB8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C03B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B68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C880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98346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44.25</w:t>
            </w:r>
          </w:p>
        </w:tc>
        <w:tc>
          <w:tcPr>
            <w:tcW w:w="1116" w:type="dxa"/>
            <w:tcBorders>
              <w:top w:val="nil"/>
              <w:left w:val="nil"/>
              <w:bottom w:val="single" w:color="auto" w:sz="4" w:space="0"/>
              <w:right w:val="single" w:color="auto" w:sz="4" w:space="0"/>
            </w:tcBorders>
            <w:shd w:val="clear" w:color="auto" w:fill="auto"/>
            <w:noWrap/>
            <w:vAlign w:val="center"/>
          </w:tcPr>
          <w:p w14:paraId="66E98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57A58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0886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2CA2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B2F72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4BB1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7AB9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3565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91CF0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B7FE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80AE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814E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F567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33F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9E762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7D42B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85AB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C14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19A5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785D73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18.84</w:t>
            </w:r>
          </w:p>
        </w:tc>
        <w:tc>
          <w:tcPr>
            <w:tcW w:w="1116" w:type="dxa"/>
            <w:tcBorders>
              <w:top w:val="nil"/>
              <w:left w:val="nil"/>
              <w:bottom w:val="single" w:color="auto" w:sz="4" w:space="0"/>
              <w:right w:val="single" w:color="auto" w:sz="4" w:space="0"/>
            </w:tcBorders>
            <w:shd w:val="clear" w:color="auto" w:fill="auto"/>
            <w:noWrap/>
            <w:vAlign w:val="center"/>
          </w:tcPr>
          <w:p w14:paraId="796AB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C0D60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07CDAF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0.03</w:t>
            </w:r>
          </w:p>
        </w:tc>
        <w:tc>
          <w:tcPr>
            <w:tcW w:w="1217" w:type="dxa"/>
            <w:tcBorders>
              <w:top w:val="nil"/>
              <w:left w:val="nil"/>
              <w:bottom w:val="single" w:color="auto" w:sz="4" w:space="0"/>
              <w:right w:val="single" w:color="auto" w:sz="4" w:space="0"/>
            </w:tcBorders>
            <w:shd w:val="clear" w:color="auto" w:fill="auto"/>
            <w:noWrap/>
            <w:vAlign w:val="center"/>
          </w:tcPr>
          <w:p w14:paraId="33848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EBA7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2021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95B8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F24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579E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A35852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19.85</w:t>
            </w:r>
          </w:p>
        </w:tc>
        <w:tc>
          <w:tcPr>
            <w:tcW w:w="1116" w:type="dxa"/>
            <w:tcBorders>
              <w:top w:val="nil"/>
              <w:left w:val="nil"/>
              <w:bottom w:val="single" w:color="auto" w:sz="4" w:space="0"/>
              <w:right w:val="single" w:color="auto" w:sz="4" w:space="0"/>
            </w:tcBorders>
            <w:shd w:val="clear" w:color="auto" w:fill="auto"/>
            <w:noWrap/>
            <w:vAlign w:val="center"/>
          </w:tcPr>
          <w:p w14:paraId="53045E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D54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42EBAF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0.54</w:t>
            </w:r>
          </w:p>
        </w:tc>
        <w:tc>
          <w:tcPr>
            <w:tcW w:w="1217" w:type="dxa"/>
            <w:tcBorders>
              <w:top w:val="nil"/>
              <w:left w:val="nil"/>
              <w:bottom w:val="single" w:color="auto" w:sz="4" w:space="0"/>
              <w:right w:val="single" w:color="auto" w:sz="4" w:space="0"/>
            </w:tcBorders>
            <w:shd w:val="clear" w:color="auto" w:fill="auto"/>
            <w:noWrap/>
            <w:vAlign w:val="center"/>
          </w:tcPr>
          <w:p w14:paraId="1BF49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CE5B2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0250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B60B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C83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FFE95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4E73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925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79256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EA3F9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5284A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4105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FC27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9680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BE6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9194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9B7F2F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8.75</w:t>
            </w:r>
          </w:p>
        </w:tc>
        <w:tc>
          <w:tcPr>
            <w:tcW w:w="1116" w:type="dxa"/>
            <w:tcBorders>
              <w:top w:val="nil"/>
              <w:left w:val="nil"/>
              <w:bottom w:val="single" w:color="auto" w:sz="4" w:space="0"/>
              <w:right w:val="single" w:color="auto" w:sz="4" w:space="0"/>
            </w:tcBorders>
            <w:shd w:val="clear" w:color="auto" w:fill="auto"/>
            <w:noWrap/>
            <w:vAlign w:val="center"/>
          </w:tcPr>
          <w:p w14:paraId="63BFE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B1DC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70FB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04C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B800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005D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0048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381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7637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DFF7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040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CDAD9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1D40BE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w:t>
            </w:r>
          </w:p>
        </w:tc>
        <w:tc>
          <w:tcPr>
            <w:tcW w:w="1217" w:type="dxa"/>
            <w:tcBorders>
              <w:top w:val="nil"/>
              <w:left w:val="nil"/>
              <w:bottom w:val="single" w:color="auto" w:sz="4" w:space="0"/>
              <w:right w:val="single" w:color="auto" w:sz="4" w:space="0"/>
            </w:tcBorders>
            <w:shd w:val="clear" w:color="auto" w:fill="auto"/>
            <w:noWrap/>
            <w:vAlign w:val="center"/>
          </w:tcPr>
          <w:p w14:paraId="38776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70AE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04DC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E133B2">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A021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1B7B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92D743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0.92</w:t>
            </w:r>
          </w:p>
        </w:tc>
        <w:tc>
          <w:tcPr>
            <w:tcW w:w="1116" w:type="dxa"/>
            <w:tcBorders>
              <w:top w:val="nil"/>
              <w:left w:val="nil"/>
              <w:bottom w:val="single" w:color="auto" w:sz="4" w:space="0"/>
              <w:right w:val="single" w:color="auto" w:sz="4" w:space="0"/>
            </w:tcBorders>
            <w:shd w:val="clear" w:color="auto" w:fill="auto"/>
            <w:noWrap/>
            <w:vAlign w:val="center"/>
          </w:tcPr>
          <w:p w14:paraId="2796F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12D1B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FE0F16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1.78</w:t>
            </w:r>
          </w:p>
        </w:tc>
        <w:tc>
          <w:tcPr>
            <w:tcW w:w="1217" w:type="dxa"/>
            <w:tcBorders>
              <w:top w:val="nil"/>
              <w:left w:val="nil"/>
              <w:bottom w:val="single" w:color="auto" w:sz="4" w:space="0"/>
              <w:right w:val="single" w:color="auto" w:sz="4" w:space="0"/>
            </w:tcBorders>
            <w:shd w:val="clear" w:color="auto" w:fill="auto"/>
            <w:noWrap/>
            <w:vAlign w:val="center"/>
          </w:tcPr>
          <w:p w14:paraId="4FA1C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4A35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D4C4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2C8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60C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0DB4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60DD3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159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A53F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D95E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0E0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78F0C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FF036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BB0F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0A9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71A5D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BF3D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C26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C0F9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80B6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32A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C21A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4EE9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10D0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4DF1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55B5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5DE8BA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4.12</w:t>
            </w:r>
          </w:p>
        </w:tc>
        <w:tc>
          <w:tcPr>
            <w:tcW w:w="1116" w:type="dxa"/>
            <w:tcBorders>
              <w:top w:val="nil"/>
              <w:left w:val="nil"/>
              <w:bottom w:val="single" w:color="auto" w:sz="4" w:space="0"/>
              <w:right w:val="single" w:color="auto" w:sz="4" w:space="0"/>
            </w:tcBorders>
            <w:shd w:val="clear" w:color="auto" w:fill="auto"/>
            <w:noWrap/>
            <w:vAlign w:val="center"/>
          </w:tcPr>
          <w:p w14:paraId="31F52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8936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64D1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AAC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11CFD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BA090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C9243C">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69F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9671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E86AF8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b/>
                <w:bCs/>
                <w:color w:val="000000"/>
                <w:kern w:val="0"/>
                <w:szCs w:val="20"/>
              </w:rPr>
              <w:t>　</w:t>
            </w:r>
            <w:r>
              <w:rPr>
                <w:rFonts w:hint="eastAsia" w:ascii="Times New Roman" w:hAnsi="Times New Roman" w:eastAsia="仿宋_GB2312" w:cs="Times New Roman"/>
                <w:b/>
                <w:bCs/>
                <w:color w:val="000000"/>
                <w:kern w:val="0"/>
                <w:szCs w:val="20"/>
                <w:lang w:val="en-US" w:eastAsia="zh-CN"/>
              </w:rPr>
              <w:t>4.65</w:t>
            </w:r>
          </w:p>
        </w:tc>
        <w:tc>
          <w:tcPr>
            <w:tcW w:w="1116" w:type="dxa"/>
            <w:tcBorders>
              <w:top w:val="nil"/>
              <w:left w:val="nil"/>
              <w:bottom w:val="single" w:color="auto" w:sz="4" w:space="0"/>
              <w:right w:val="single" w:color="auto" w:sz="4" w:space="0"/>
            </w:tcBorders>
            <w:shd w:val="clear" w:color="auto" w:fill="auto"/>
            <w:noWrap/>
            <w:vAlign w:val="center"/>
          </w:tcPr>
          <w:p w14:paraId="61F6A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B465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A676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FCC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7441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97240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56F5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B9F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24C6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AB20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DE83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F91F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2FBE86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3ED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20D1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60495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7451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096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B10A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E748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D341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855A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78F62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noWrap/>
            <w:vAlign w:val="center"/>
          </w:tcPr>
          <w:p w14:paraId="05D51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DCBE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048D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1A0A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4E5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5653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FD0B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09A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7AC23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7822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DA9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D032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E60C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87A3E0">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C137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8647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416F4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1.78</w:t>
            </w:r>
          </w:p>
        </w:tc>
        <w:tc>
          <w:tcPr>
            <w:tcW w:w="1116" w:type="dxa"/>
            <w:tcBorders>
              <w:top w:val="nil"/>
              <w:left w:val="nil"/>
              <w:bottom w:val="single" w:color="auto" w:sz="4" w:space="0"/>
              <w:right w:val="single" w:color="auto" w:sz="4" w:space="0"/>
            </w:tcBorders>
            <w:shd w:val="clear" w:color="auto" w:fill="auto"/>
            <w:noWrap/>
            <w:vAlign w:val="center"/>
          </w:tcPr>
          <w:p w14:paraId="4C0C4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C2F0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189D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831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78549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EC42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A802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153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2A01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516C62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2.69</w:t>
            </w:r>
          </w:p>
        </w:tc>
        <w:tc>
          <w:tcPr>
            <w:tcW w:w="1116" w:type="dxa"/>
            <w:tcBorders>
              <w:top w:val="nil"/>
              <w:left w:val="nil"/>
              <w:bottom w:val="single" w:color="auto" w:sz="4" w:space="0"/>
              <w:right w:val="single" w:color="auto" w:sz="4" w:space="0"/>
            </w:tcBorders>
            <w:shd w:val="clear" w:color="auto" w:fill="auto"/>
            <w:noWrap/>
            <w:vAlign w:val="center"/>
          </w:tcPr>
          <w:p w14:paraId="7DC1A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44F05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18BB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A45C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B889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8727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0E74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FD0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834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08DE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117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82CD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34CE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432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51E4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0C82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C297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84B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BFC5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2A12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16DF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BF57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AC80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DCD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2C83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A4C8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06A9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7DD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865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7E70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2471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68D9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1D88C0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6.36</w:t>
            </w:r>
          </w:p>
        </w:tc>
        <w:tc>
          <w:tcPr>
            <w:tcW w:w="1217" w:type="dxa"/>
            <w:tcBorders>
              <w:top w:val="nil"/>
              <w:left w:val="nil"/>
              <w:bottom w:val="single" w:color="auto" w:sz="4" w:space="0"/>
              <w:right w:val="single" w:color="auto" w:sz="4" w:space="0"/>
            </w:tcBorders>
            <w:shd w:val="clear" w:color="auto" w:fill="auto"/>
            <w:noWrap/>
            <w:vAlign w:val="center"/>
          </w:tcPr>
          <w:p w14:paraId="1284D6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5299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5C2A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AEC1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7E8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37C2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DDDA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4A86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ADF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90A654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0.88</w:t>
            </w:r>
          </w:p>
        </w:tc>
        <w:tc>
          <w:tcPr>
            <w:tcW w:w="1217" w:type="dxa"/>
            <w:tcBorders>
              <w:top w:val="nil"/>
              <w:left w:val="nil"/>
              <w:bottom w:val="single" w:color="auto" w:sz="4" w:space="0"/>
              <w:right w:val="single" w:color="auto" w:sz="4" w:space="0"/>
            </w:tcBorders>
            <w:shd w:val="clear" w:color="auto" w:fill="auto"/>
            <w:noWrap/>
            <w:vAlign w:val="center"/>
          </w:tcPr>
          <w:p w14:paraId="10186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3AC42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33C64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866FF22">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9EB766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6A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04A28A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1E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B339E91">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4ACD31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D3C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1703BF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C4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89EC2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559D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5551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0F0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5BA6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B579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9129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1F6B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B10F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F2C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F7D3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08B7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E2D0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9FF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972C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921C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B7D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DC4B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46B9B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11.25</w:t>
            </w:r>
          </w:p>
        </w:tc>
        <w:tc>
          <w:tcPr>
            <w:tcW w:w="1217" w:type="dxa"/>
            <w:tcBorders>
              <w:top w:val="nil"/>
              <w:left w:val="nil"/>
              <w:bottom w:val="single" w:color="auto" w:sz="4" w:space="0"/>
              <w:right w:val="single" w:color="auto" w:sz="4" w:space="0"/>
            </w:tcBorders>
            <w:shd w:val="clear" w:color="auto" w:fill="auto"/>
            <w:noWrap/>
            <w:vAlign w:val="center"/>
          </w:tcPr>
          <w:p w14:paraId="574C0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80143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25D7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914F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C81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219ED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284FB5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01124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4805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C526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92EDAE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86C49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496F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46C8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F7A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BC7A5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1986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9D9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5A28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CFD7DE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7.17</w:t>
            </w:r>
          </w:p>
        </w:tc>
        <w:tc>
          <w:tcPr>
            <w:tcW w:w="1217" w:type="dxa"/>
            <w:tcBorders>
              <w:top w:val="nil"/>
              <w:left w:val="nil"/>
              <w:bottom w:val="single" w:color="auto" w:sz="4" w:space="0"/>
              <w:right w:val="single" w:color="auto" w:sz="4" w:space="0"/>
            </w:tcBorders>
            <w:shd w:val="clear" w:color="auto" w:fill="auto"/>
            <w:noWrap/>
            <w:vAlign w:val="center"/>
          </w:tcPr>
          <w:p w14:paraId="2C6D78E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8BA696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C8DC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F0D45D">
        <w:trPr>
          <w:trHeight w:val="255" w:hRule="exact"/>
          <w:jc w:val="center"/>
        </w:trPr>
        <w:tc>
          <w:tcPr>
            <w:tcW w:w="3931" w:type="dxa"/>
            <w:gridSpan w:val="2"/>
            <w:tcBorders>
              <w:top w:val="nil"/>
              <w:left w:val="single" w:color="auto" w:sz="4" w:space="0"/>
              <w:bottom w:val="single" w:color="auto" w:sz="4" w:space="0"/>
              <w:right w:val="single" w:color="auto" w:sz="4" w:space="0"/>
            </w:tcBorders>
            <w:shd w:val="clear" w:color="auto" w:fill="auto"/>
            <w:noWrap/>
            <w:vAlign w:val="center"/>
          </w:tcPr>
          <w:p w14:paraId="1D278CA3">
            <w:pPr>
              <w:widowControl/>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eastAsia="zh-CN"/>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5F24BD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207.53</w:t>
            </w:r>
          </w:p>
        </w:tc>
        <w:tc>
          <w:tcPr>
            <w:tcW w:w="8801" w:type="dxa"/>
            <w:gridSpan w:val="5"/>
            <w:tcBorders>
              <w:top w:val="nil"/>
              <w:left w:val="nil"/>
              <w:bottom w:val="single" w:color="auto" w:sz="4" w:space="0"/>
              <w:right w:val="single" w:color="auto" w:sz="4" w:space="0"/>
            </w:tcBorders>
            <w:shd w:val="clear" w:color="auto" w:fill="auto"/>
            <w:noWrap/>
            <w:vAlign w:val="center"/>
          </w:tcPr>
          <w:p w14:paraId="634C639A">
            <w:pPr>
              <w:widowControl/>
              <w:jc w:val="center"/>
              <w:rPr>
                <w:rFonts w:hint="eastAsia" w:ascii="Times New Roman" w:hAnsi="Times New Roman" w:eastAsia="仿宋_GB2312" w:cs="Times New Roman"/>
                <w:color w:val="000000"/>
                <w:kern w:val="0"/>
                <w:szCs w:val="18"/>
                <w:lang w:eastAsia="zh-CN"/>
              </w:rPr>
            </w:pPr>
            <w:r>
              <w:rPr>
                <w:rFonts w:hint="eastAsia" w:ascii="Times New Roman" w:hAnsi="Times New Roman" w:eastAsia="仿宋_GB2312" w:cs="Times New Roman"/>
                <w:color w:val="000000"/>
                <w:kern w:val="0"/>
                <w:szCs w:val="18"/>
                <w:lang w:eastAsia="zh-CN"/>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F6F07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b/>
                <w:bCs/>
                <w:color w:val="000000"/>
                <w:kern w:val="0"/>
                <w:szCs w:val="20"/>
                <w:lang w:val="en-US" w:eastAsia="zh-CN"/>
              </w:rPr>
              <w:t>31.71</w:t>
            </w:r>
          </w:p>
        </w:tc>
      </w:tr>
    </w:tbl>
    <w:p w14:paraId="6435CA0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E82ADF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81A620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FDA0A8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218109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DEB358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767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CC5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78C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36A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398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B45CD9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C17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8F0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01E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4D2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660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157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103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66CE">
            <w:pPr>
              <w:widowControl/>
              <w:jc w:val="center"/>
              <w:rPr>
                <w:rFonts w:ascii="Times New Roman" w:hAnsi="Times New Roman" w:eastAsia="仿宋_GB2312" w:cs="Times New Roman"/>
                <w:color w:val="000000"/>
                <w:sz w:val="24"/>
                <w:szCs w:val="24"/>
              </w:rPr>
            </w:pPr>
          </w:p>
        </w:tc>
      </w:tr>
      <w:tr w14:paraId="3CF5592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C3D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29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0C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8EE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A58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9F3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B6C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BFDA">
            <w:pPr>
              <w:jc w:val="center"/>
              <w:rPr>
                <w:rFonts w:ascii="Times New Roman" w:hAnsi="Times New Roman" w:eastAsia="仿宋_GB2312" w:cs="Times New Roman"/>
                <w:color w:val="000000"/>
                <w:sz w:val="24"/>
                <w:szCs w:val="24"/>
              </w:rPr>
            </w:pPr>
          </w:p>
        </w:tc>
      </w:tr>
      <w:tr w14:paraId="37981B8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3D4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891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AB3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51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56D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261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EE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8349">
            <w:pPr>
              <w:jc w:val="center"/>
              <w:rPr>
                <w:rFonts w:ascii="Times New Roman" w:hAnsi="Times New Roman" w:eastAsia="仿宋_GB2312" w:cs="Times New Roman"/>
                <w:color w:val="000000"/>
                <w:sz w:val="24"/>
                <w:szCs w:val="24"/>
              </w:rPr>
            </w:pPr>
          </w:p>
        </w:tc>
      </w:tr>
      <w:tr w14:paraId="16E075A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33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02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21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B1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55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5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8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D9FCB1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997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71B">
            <w:pPr>
              <w:jc w:val="center"/>
              <w:rPr>
                <w:rFonts w:hint="eastAsia"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8334">
            <w:pPr>
              <w:jc w:val="center"/>
              <w:rPr>
                <w:rFonts w:hint="eastAsia"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3124">
            <w:pPr>
              <w:jc w:val="center"/>
              <w:rPr>
                <w:rFonts w:hint="eastAsia"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C96">
            <w:pPr>
              <w:jc w:val="center"/>
              <w:rPr>
                <w:rFonts w:hint="eastAsia"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5F21">
            <w:pPr>
              <w:jc w:val="center"/>
              <w:rPr>
                <w:rFonts w:hint="eastAsia"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545">
            <w:pPr>
              <w:jc w:val="center"/>
              <w:rPr>
                <w:rFonts w:hint="eastAsia" w:ascii="Times New Roman" w:hAnsi="Times New Roman" w:eastAsia="仿宋_GB2312" w:cs="Times New Roman"/>
                <w:color w:val="000000"/>
                <w:sz w:val="24"/>
                <w:szCs w:val="24"/>
                <w:lang w:val="en-US" w:eastAsia="zh-CN"/>
              </w:rPr>
            </w:pPr>
          </w:p>
        </w:tc>
      </w:tr>
      <w:tr w14:paraId="04C3F41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01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DB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8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B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F2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F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2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8141">
            <w:pPr>
              <w:rPr>
                <w:rFonts w:ascii="Times New Roman" w:hAnsi="Times New Roman" w:eastAsia="仿宋_GB2312" w:cs="Times New Roman"/>
                <w:color w:val="000000"/>
                <w:sz w:val="24"/>
                <w:szCs w:val="24"/>
              </w:rPr>
            </w:pPr>
          </w:p>
        </w:tc>
      </w:tr>
      <w:tr w14:paraId="34C7D1B8">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95D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5C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1CA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B3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D8F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B2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06E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377">
            <w:pPr>
              <w:rPr>
                <w:rFonts w:ascii="Times New Roman" w:hAnsi="Times New Roman" w:eastAsia="仿宋_GB2312" w:cs="Times New Roman"/>
                <w:color w:val="000000"/>
                <w:sz w:val="24"/>
                <w:szCs w:val="24"/>
              </w:rPr>
            </w:pPr>
          </w:p>
        </w:tc>
      </w:tr>
      <w:tr w14:paraId="1522438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6EF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1C7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5F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4E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A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6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86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6B2">
            <w:pPr>
              <w:rPr>
                <w:rFonts w:ascii="Times New Roman" w:hAnsi="Times New Roman" w:eastAsia="仿宋_GB2312" w:cs="Times New Roman"/>
                <w:color w:val="000000"/>
                <w:sz w:val="24"/>
                <w:szCs w:val="24"/>
              </w:rPr>
            </w:pPr>
          </w:p>
        </w:tc>
      </w:tr>
      <w:tr w14:paraId="5669A55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CC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A7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6EF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B3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7EE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AC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F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21F">
            <w:pPr>
              <w:rPr>
                <w:rFonts w:ascii="Times New Roman" w:hAnsi="Times New Roman" w:eastAsia="仿宋_GB2312" w:cs="Times New Roman"/>
                <w:color w:val="000000"/>
                <w:sz w:val="24"/>
                <w:szCs w:val="24"/>
              </w:rPr>
            </w:pPr>
          </w:p>
        </w:tc>
      </w:tr>
      <w:tr w14:paraId="1190BC0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95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AA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BB3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A7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6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F8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FF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564A">
            <w:pPr>
              <w:rPr>
                <w:rFonts w:ascii="Times New Roman" w:hAnsi="Times New Roman" w:eastAsia="仿宋_GB2312" w:cs="Times New Roman"/>
                <w:color w:val="000000"/>
                <w:sz w:val="24"/>
                <w:szCs w:val="24"/>
              </w:rPr>
            </w:pPr>
          </w:p>
        </w:tc>
      </w:tr>
      <w:tr w14:paraId="376D4A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36D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95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22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AC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1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64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44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4349">
            <w:pPr>
              <w:rPr>
                <w:rFonts w:ascii="Times New Roman" w:hAnsi="Times New Roman" w:eastAsia="仿宋_GB2312" w:cs="Times New Roman"/>
                <w:color w:val="000000"/>
                <w:sz w:val="24"/>
                <w:szCs w:val="24"/>
              </w:rPr>
            </w:pPr>
          </w:p>
        </w:tc>
      </w:tr>
    </w:tbl>
    <w:p w14:paraId="7AFB0AA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CAAB720">
      <w:pPr>
        <w:widowControl/>
        <w:jc w:val="left"/>
        <w:textAlignment w:val="center"/>
        <w:rPr>
          <w:rFonts w:ascii="Times New Roman" w:hAnsi="Times New Roman" w:eastAsia="仿宋_GB2312" w:cs="Times New Roman"/>
          <w:color w:val="000000"/>
          <w:kern w:val="0"/>
          <w:sz w:val="24"/>
          <w:szCs w:val="24"/>
          <w:lang w:bidi="ar"/>
        </w:rPr>
      </w:pPr>
    </w:p>
    <w:p w14:paraId="1FAAC3F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29E5E2E6">
      <w:pPr>
        <w:widowControl/>
        <w:jc w:val="center"/>
        <w:rPr>
          <w:rFonts w:ascii="Times New Roman" w:hAnsi="Times New Roman" w:eastAsia="方正小标宋_GBK" w:cs="Times New Roman"/>
          <w:color w:val="000000"/>
          <w:kern w:val="0"/>
          <w:sz w:val="36"/>
          <w:szCs w:val="36"/>
        </w:rPr>
      </w:pPr>
    </w:p>
    <w:p w14:paraId="2A67793E">
      <w:pPr>
        <w:widowControl/>
        <w:spacing w:line="400" w:lineRule="exact"/>
        <w:textAlignment w:val="center"/>
        <w:rPr>
          <w:rFonts w:ascii="Times New Roman" w:hAnsi="Times New Roman" w:eastAsia="黑体" w:cs="Times New Roman"/>
          <w:color w:val="000000"/>
          <w:kern w:val="0"/>
          <w:sz w:val="36"/>
          <w:szCs w:val="36"/>
          <w:lang w:bidi="ar"/>
        </w:rPr>
      </w:pPr>
    </w:p>
    <w:p w14:paraId="105ED1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AE15D7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4066E17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192"/>
        <w:gridCol w:w="3195"/>
        <w:gridCol w:w="1890"/>
        <w:gridCol w:w="3196"/>
        <w:gridCol w:w="3196"/>
      </w:tblGrid>
      <w:tr w14:paraId="68EBBC3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CC5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5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2F35AF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E3C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8F5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5D0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4D98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CFE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F5C4BD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92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F22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636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B1B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55B1">
            <w:pPr>
              <w:jc w:val="center"/>
              <w:rPr>
                <w:rFonts w:ascii="Times New Roman" w:hAnsi="Times New Roman" w:eastAsia="仿宋_GB2312" w:cs="Times New Roman"/>
                <w:color w:val="000000"/>
                <w:sz w:val="24"/>
                <w:szCs w:val="24"/>
              </w:rPr>
            </w:pPr>
          </w:p>
        </w:tc>
      </w:tr>
      <w:tr w14:paraId="407725E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D1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A48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D1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1D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940D">
            <w:pPr>
              <w:jc w:val="center"/>
              <w:rPr>
                <w:rFonts w:ascii="Times New Roman" w:hAnsi="Times New Roman" w:eastAsia="仿宋_GB2312" w:cs="Times New Roman"/>
                <w:color w:val="000000"/>
                <w:sz w:val="24"/>
                <w:szCs w:val="24"/>
              </w:rPr>
            </w:pPr>
          </w:p>
        </w:tc>
      </w:tr>
      <w:tr w14:paraId="14A75BD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299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70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B4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71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CF07A5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CD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76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2FE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2F41">
            <w:pPr>
              <w:jc w:val="center"/>
              <w:rPr>
                <w:rFonts w:ascii="Times New Roman" w:hAnsi="Times New Roman" w:eastAsia="仿宋_GB2312" w:cs="Times New Roman"/>
                <w:color w:val="000000"/>
                <w:sz w:val="24"/>
                <w:szCs w:val="24"/>
              </w:rPr>
            </w:pPr>
          </w:p>
        </w:tc>
      </w:tr>
      <w:tr w14:paraId="55E7A12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501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C1F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570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1AE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2CE9">
            <w:pPr>
              <w:rPr>
                <w:rFonts w:ascii="Times New Roman" w:hAnsi="Times New Roman" w:eastAsia="仿宋_GB2312" w:cs="Times New Roman"/>
                <w:color w:val="000000"/>
                <w:sz w:val="24"/>
                <w:szCs w:val="24"/>
              </w:rPr>
            </w:pPr>
          </w:p>
        </w:tc>
      </w:tr>
      <w:tr w14:paraId="4D3F6E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239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44F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49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971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F1C4">
            <w:pPr>
              <w:rPr>
                <w:rFonts w:ascii="Times New Roman" w:hAnsi="Times New Roman" w:eastAsia="仿宋_GB2312" w:cs="Times New Roman"/>
                <w:color w:val="000000"/>
                <w:sz w:val="24"/>
                <w:szCs w:val="24"/>
              </w:rPr>
            </w:pPr>
          </w:p>
        </w:tc>
      </w:tr>
      <w:tr w14:paraId="77AC37E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4F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DEF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92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D41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70C9">
            <w:pPr>
              <w:rPr>
                <w:rFonts w:ascii="Times New Roman" w:hAnsi="Times New Roman" w:eastAsia="宋体" w:cs="Times New Roman"/>
                <w:color w:val="000000"/>
                <w:sz w:val="24"/>
                <w:szCs w:val="24"/>
              </w:rPr>
            </w:pPr>
          </w:p>
        </w:tc>
      </w:tr>
      <w:tr w14:paraId="7EC4C1B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48E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376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4DC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C4D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EC32">
            <w:pPr>
              <w:rPr>
                <w:rFonts w:ascii="Times New Roman" w:hAnsi="Times New Roman" w:eastAsia="宋体" w:cs="Times New Roman"/>
                <w:color w:val="000000"/>
                <w:sz w:val="24"/>
                <w:szCs w:val="24"/>
              </w:rPr>
            </w:pPr>
          </w:p>
        </w:tc>
      </w:tr>
      <w:tr w14:paraId="0905112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5A3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998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EF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9BF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6DA8">
            <w:pPr>
              <w:rPr>
                <w:rFonts w:ascii="Times New Roman" w:hAnsi="Times New Roman" w:eastAsia="宋体" w:cs="Times New Roman"/>
                <w:color w:val="000000"/>
                <w:sz w:val="24"/>
                <w:szCs w:val="24"/>
              </w:rPr>
            </w:pPr>
          </w:p>
        </w:tc>
      </w:tr>
      <w:tr w14:paraId="77E319C0">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4F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0E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1E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526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FBC8">
            <w:pPr>
              <w:rPr>
                <w:rFonts w:ascii="Times New Roman" w:hAnsi="Times New Roman" w:eastAsia="宋体" w:cs="Times New Roman"/>
                <w:color w:val="000000"/>
                <w:sz w:val="24"/>
                <w:szCs w:val="24"/>
              </w:rPr>
            </w:pPr>
          </w:p>
        </w:tc>
      </w:tr>
    </w:tbl>
    <w:p w14:paraId="60AFE88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187A0B8">
      <w:pPr>
        <w:widowControl/>
        <w:jc w:val="left"/>
        <w:textAlignment w:val="center"/>
        <w:rPr>
          <w:rFonts w:ascii="Times New Roman" w:hAnsi="Times New Roman" w:eastAsia="宋体" w:cs="Times New Roman"/>
          <w:color w:val="000000"/>
          <w:kern w:val="0"/>
          <w:sz w:val="24"/>
          <w:szCs w:val="24"/>
          <w:lang w:bidi="ar"/>
        </w:rPr>
      </w:pPr>
    </w:p>
    <w:p w14:paraId="39B54EA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295B3BF">
      <w:pPr>
        <w:widowControl/>
        <w:jc w:val="center"/>
        <w:rPr>
          <w:rFonts w:ascii="Times New Roman" w:hAnsi="Times New Roman" w:eastAsia="方正小标宋_GBK" w:cs="Times New Roman"/>
          <w:color w:val="000000"/>
          <w:kern w:val="0"/>
          <w:sz w:val="36"/>
          <w:szCs w:val="36"/>
        </w:rPr>
      </w:pPr>
    </w:p>
    <w:p w14:paraId="5ED55874">
      <w:pPr>
        <w:pStyle w:val="9"/>
        <w:spacing w:line="400" w:lineRule="exact"/>
        <w:rPr>
          <w:rFonts w:ascii="Times New Roman" w:hAnsi="Times New Roman" w:eastAsia="华文中宋" w:cs="Times New Roman"/>
          <w:color w:val="000000"/>
          <w:kern w:val="0"/>
          <w:sz w:val="32"/>
          <w:szCs w:val="32"/>
          <w:lang w:bidi="ar"/>
        </w:rPr>
      </w:pPr>
    </w:p>
    <w:p w14:paraId="4A57CD2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B72B61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eastAsia="zh-CN"/>
        </w:rPr>
        <w:t>公开</w:t>
      </w:r>
      <w:r>
        <w:rPr>
          <w:rFonts w:ascii="Times New Roman" w:hAnsi="Times New Roman" w:eastAsia="楷体_GB2312" w:cs="Times New Roman"/>
          <w:color w:val="000000"/>
          <w:kern w:val="0"/>
          <w:sz w:val="20"/>
          <w:szCs w:val="20"/>
          <w:lang w:bidi="ar"/>
        </w:rPr>
        <w:t>09表</w:t>
      </w:r>
    </w:p>
    <w:p w14:paraId="509CE22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蓝山县农村经营服务站</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62"/>
        <w:gridCol w:w="1266"/>
        <w:gridCol w:w="1119"/>
        <w:gridCol w:w="1224"/>
        <w:gridCol w:w="1471"/>
        <w:gridCol w:w="1423"/>
        <w:gridCol w:w="1084"/>
        <w:gridCol w:w="1204"/>
        <w:gridCol w:w="1204"/>
        <w:gridCol w:w="1204"/>
        <w:gridCol w:w="1402"/>
        <w:gridCol w:w="1444"/>
      </w:tblGrid>
      <w:tr w14:paraId="680B150E">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1BF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42AF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B9EA10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65F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0B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2C4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F5C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4DC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085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D50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592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38D4BE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718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675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5E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D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87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565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66F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F2C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23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02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04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99E2">
            <w:pPr>
              <w:jc w:val="center"/>
              <w:rPr>
                <w:rFonts w:ascii="Times New Roman" w:hAnsi="Times New Roman" w:eastAsia="仿宋_GB2312" w:cs="Times New Roman"/>
                <w:color w:val="000000"/>
                <w:sz w:val="22"/>
              </w:rPr>
            </w:pPr>
          </w:p>
        </w:tc>
      </w:tr>
      <w:tr w14:paraId="5830FB8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E1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AA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4E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BD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5C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F4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AE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0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DE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70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6B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F77B378">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CFFA">
            <w:pPr>
              <w:jc w:val="center"/>
              <w:rPr>
                <w:rFonts w:hint="eastAsia" w:ascii="华文中宋" w:hAnsi="华文中宋" w:eastAsia="华文中宋" w:cs="华文中宋"/>
                <w:color w:val="000000"/>
                <w:sz w:val="22"/>
                <w:lang w:val="en-US" w:eastAsia="zh-CN"/>
              </w:rPr>
            </w:pPr>
            <w:r>
              <w:rPr>
                <w:rFonts w:hint="eastAsia" w:ascii="华文中宋" w:hAnsi="华文中宋" w:eastAsia="华文中宋" w:cs="华文中宋"/>
                <w:color w:val="000000"/>
                <w:sz w:val="22"/>
                <w:lang w:val="en-US" w:eastAsia="zh-CN"/>
              </w:rPr>
              <w:t>1.3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C74F">
            <w:pPr>
              <w:jc w:val="center"/>
              <w:rPr>
                <w:rFonts w:hint="eastAsia" w:ascii="华文中宋" w:hAnsi="华文中宋" w:eastAsia="华文中宋" w:cs="华文中宋"/>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51F9">
            <w:pPr>
              <w:jc w:val="center"/>
              <w:rPr>
                <w:rFonts w:hint="eastAsia" w:ascii="华文中宋" w:hAnsi="华文中宋" w:eastAsia="华文中宋" w:cs="华文中宋"/>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FD0C">
            <w:pPr>
              <w:jc w:val="center"/>
              <w:rPr>
                <w:rFonts w:hint="eastAsia" w:ascii="华文中宋" w:hAnsi="华文中宋" w:eastAsia="华文中宋" w:cs="华文中宋"/>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6181">
            <w:pPr>
              <w:jc w:val="center"/>
              <w:rPr>
                <w:rFonts w:hint="eastAsia" w:ascii="华文中宋" w:hAnsi="华文中宋" w:eastAsia="华文中宋" w:cs="华文中宋"/>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6F89">
            <w:pPr>
              <w:jc w:val="center"/>
              <w:rPr>
                <w:rFonts w:hint="eastAsia" w:ascii="华文中宋" w:hAnsi="华文中宋" w:eastAsia="华文中宋" w:cs="华文中宋"/>
                <w:color w:val="000000"/>
                <w:sz w:val="22"/>
                <w:lang w:val="en-US" w:eastAsia="zh-CN"/>
              </w:rPr>
            </w:pPr>
            <w:r>
              <w:rPr>
                <w:rFonts w:hint="eastAsia" w:ascii="华文中宋" w:hAnsi="华文中宋" w:eastAsia="华文中宋" w:cs="华文中宋"/>
                <w:color w:val="000000"/>
                <w:sz w:val="22"/>
                <w:lang w:val="en-US" w:eastAsia="zh-CN"/>
              </w:rPr>
              <w:t>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5306">
            <w:pPr>
              <w:jc w:val="center"/>
              <w:rPr>
                <w:rFonts w:hint="eastAsia" w:ascii="华文中宋" w:hAnsi="华文中宋" w:eastAsia="华文中宋" w:cs="华文中宋"/>
                <w:color w:val="000000"/>
                <w:sz w:val="22"/>
                <w:lang w:val="en-US" w:eastAsia="zh-CN"/>
              </w:rPr>
            </w:pPr>
            <w:r>
              <w:rPr>
                <w:rFonts w:hint="eastAsia" w:ascii="华文中宋" w:hAnsi="华文中宋" w:eastAsia="华文中宋" w:cs="华文中宋"/>
                <w:color w:val="000000"/>
                <w:sz w:val="22"/>
                <w:lang w:val="en-US" w:eastAsia="zh-CN"/>
              </w:rPr>
              <w:t>0.34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5A0F">
            <w:pPr>
              <w:jc w:val="center"/>
              <w:rPr>
                <w:rFonts w:hint="eastAsia" w:ascii="华文中宋" w:hAnsi="华文中宋" w:eastAsia="华文中宋" w:cs="华文中宋"/>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6F3">
            <w:pPr>
              <w:jc w:val="center"/>
              <w:rPr>
                <w:rFonts w:hint="eastAsia" w:ascii="华文中宋" w:hAnsi="华文中宋" w:eastAsia="华文中宋" w:cs="华文中宋"/>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011C">
            <w:pPr>
              <w:jc w:val="center"/>
              <w:rPr>
                <w:rFonts w:hint="eastAsia" w:ascii="华文中宋" w:hAnsi="华文中宋" w:eastAsia="华文中宋" w:cs="华文中宋"/>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D4D">
            <w:pPr>
              <w:jc w:val="center"/>
              <w:rPr>
                <w:rFonts w:hint="eastAsia" w:ascii="华文中宋" w:hAnsi="华文中宋" w:eastAsia="华文中宋" w:cs="华文中宋"/>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C8E6">
            <w:pPr>
              <w:jc w:val="center"/>
              <w:rPr>
                <w:rFonts w:hint="eastAsia" w:ascii="华文中宋" w:hAnsi="华文中宋" w:eastAsia="华文中宋" w:cs="华文中宋"/>
                <w:color w:val="000000"/>
                <w:sz w:val="22"/>
                <w:lang w:val="en-US" w:eastAsia="zh-CN"/>
              </w:rPr>
            </w:pPr>
            <w:r>
              <w:rPr>
                <w:rFonts w:hint="eastAsia" w:ascii="华文中宋" w:hAnsi="华文中宋" w:eastAsia="华文中宋" w:cs="华文中宋"/>
                <w:color w:val="000000"/>
                <w:sz w:val="22"/>
                <w:lang w:val="en-US" w:eastAsia="zh-CN"/>
              </w:rPr>
              <w:t>0.34</w:t>
            </w:r>
          </w:p>
        </w:tc>
      </w:tr>
    </w:tbl>
    <w:p w14:paraId="012976B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4BF1398">
      <w:pPr>
        <w:autoSpaceDE w:val="0"/>
        <w:autoSpaceDN w:val="0"/>
        <w:adjustRightInd w:val="0"/>
        <w:ind w:left="315" w:leftChars="150"/>
        <w:jc w:val="left"/>
        <w:rPr>
          <w:rFonts w:ascii="Times New Roman" w:hAnsi="Times New Roman" w:eastAsia="宋体" w:cs="Times New Roman"/>
          <w:kern w:val="0"/>
          <w:sz w:val="24"/>
          <w:szCs w:val="24"/>
        </w:rPr>
      </w:pPr>
    </w:p>
    <w:p w14:paraId="640AE756">
      <w:pPr>
        <w:autoSpaceDE w:val="0"/>
        <w:autoSpaceDN w:val="0"/>
        <w:adjustRightInd w:val="0"/>
        <w:ind w:left="315" w:leftChars="150"/>
        <w:jc w:val="left"/>
        <w:rPr>
          <w:rFonts w:ascii="Times New Roman" w:hAnsi="Times New Roman" w:eastAsia="宋体" w:cs="Times New Roman"/>
          <w:kern w:val="0"/>
          <w:sz w:val="24"/>
          <w:szCs w:val="24"/>
        </w:rPr>
      </w:pPr>
    </w:p>
    <w:p w14:paraId="0BF0BE69">
      <w:pPr>
        <w:autoSpaceDE w:val="0"/>
        <w:autoSpaceDN w:val="0"/>
        <w:adjustRightInd w:val="0"/>
        <w:ind w:left="315" w:leftChars="150"/>
        <w:jc w:val="left"/>
        <w:rPr>
          <w:rFonts w:ascii="Times New Roman" w:hAnsi="Times New Roman" w:eastAsia="宋体" w:cs="Times New Roman"/>
          <w:kern w:val="0"/>
          <w:sz w:val="24"/>
          <w:szCs w:val="24"/>
        </w:rPr>
      </w:pPr>
    </w:p>
    <w:p w14:paraId="56C9AA39">
      <w:pPr>
        <w:autoSpaceDE w:val="0"/>
        <w:autoSpaceDN w:val="0"/>
        <w:adjustRightInd w:val="0"/>
        <w:ind w:left="315" w:leftChars="150"/>
        <w:jc w:val="left"/>
        <w:rPr>
          <w:rFonts w:ascii="Times New Roman" w:hAnsi="Times New Roman" w:eastAsia="宋体" w:cs="Times New Roman"/>
          <w:kern w:val="0"/>
          <w:sz w:val="24"/>
          <w:szCs w:val="24"/>
        </w:rPr>
      </w:pPr>
    </w:p>
    <w:p w14:paraId="60C113D1">
      <w:pPr>
        <w:autoSpaceDE w:val="0"/>
        <w:autoSpaceDN w:val="0"/>
        <w:adjustRightInd w:val="0"/>
        <w:ind w:left="315" w:leftChars="150"/>
        <w:jc w:val="left"/>
        <w:rPr>
          <w:rFonts w:ascii="Times New Roman" w:hAnsi="Times New Roman" w:eastAsia="宋体" w:cs="Times New Roman"/>
          <w:kern w:val="0"/>
          <w:sz w:val="24"/>
          <w:szCs w:val="24"/>
        </w:rPr>
      </w:pPr>
    </w:p>
    <w:p w14:paraId="3EE008D3">
      <w:pPr>
        <w:widowControl/>
        <w:rPr>
          <w:rFonts w:ascii="Times New Roman" w:hAnsi="Times New Roman" w:cs="Times New Roman"/>
          <w:sz w:val="72"/>
          <w:szCs w:val="72"/>
        </w:rPr>
        <w:sectPr>
          <w:pgSz w:w="16838" w:h="11906" w:orient="landscape"/>
          <w:pgMar w:top="1020" w:right="1191" w:bottom="1020" w:left="1191" w:header="851" w:footer="992" w:gutter="0"/>
          <w:cols w:space="0" w:num="1"/>
          <w:rtlGutter w:val="0"/>
          <w:docGrid w:type="lines" w:linePitch="312" w:charSpace="0"/>
        </w:sectPr>
      </w:pPr>
      <w:r>
        <w:rPr>
          <w:rFonts w:ascii="Times New Roman" w:hAnsi="Times New Roman" w:eastAsia="黑体" w:cs="Times New Roman"/>
          <w:szCs w:val="21"/>
        </w:rPr>
        <w:br w:type="page"/>
      </w:r>
    </w:p>
    <w:p w14:paraId="2DA07002">
      <w:pPr>
        <w:pStyle w:val="14"/>
        <w:rPr>
          <w:rFonts w:ascii="Times New Roman" w:hAnsi="Times New Roman" w:cs="Times New Roman"/>
          <w:sz w:val="72"/>
          <w:szCs w:val="72"/>
        </w:rPr>
      </w:pPr>
    </w:p>
    <w:p w14:paraId="2DD3BA32">
      <w:pPr>
        <w:pStyle w:val="14"/>
        <w:rPr>
          <w:rFonts w:ascii="Times New Roman" w:hAnsi="Times New Roman" w:cs="Times New Roman"/>
          <w:sz w:val="72"/>
          <w:szCs w:val="72"/>
        </w:rPr>
      </w:pPr>
    </w:p>
    <w:p w14:paraId="41C883EA">
      <w:pPr>
        <w:pStyle w:val="14"/>
        <w:rPr>
          <w:rFonts w:ascii="Times New Roman" w:hAnsi="Times New Roman" w:cs="Times New Roman"/>
          <w:sz w:val="72"/>
          <w:szCs w:val="72"/>
        </w:rPr>
      </w:pPr>
    </w:p>
    <w:p w14:paraId="7F18D930">
      <w:pPr>
        <w:pStyle w:val="14"/>
        <w:jc w:val="center"/>
        <w:rPr>
          <w:rFonts w:ascii="Times New Roman" w:hAnsi="Times New Roman" w:cs="Times New Roman"/>
          <w:sz w:val="72"/>
          <w:szCs w:val="72"/>
        </w:rPr>
      </w:pPr>
    </w:p>
    <w:p w14:paraId="6A779E85">
      <w:pPr>
        <w:pStyle w:val="14"/>
        <w:jc w:val="center"/>
        <w:rPr>
          <w:rFonts w:ascii="Times New Roman" w:hAnsi="Times New Roman" w:eastAsia="方正小标宋_GBK" w:cs="Times New Roman"/>
          <w:sz w:val="72"/>
          <w:szCs w:val="72"/>
        </w:rPr>
      </w:pPr>
    </w:p>
    <w:p w14:paraId="2E4ECB2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1812A6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761642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155AD7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2713EC5">
      <w:pPr>
        <w:widowControl w:val="0"/>
        <w:numPr>
          <w:ilvl w:val="0"/>
          <w:numId w:val="0"/>
        </w:numPr>
        <w:snapToGrid w:val="0"/>
        <w:spacing w:line="520" w:lineRule="exact"/>
        <w:ind w:firstLine="560"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2024年度收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总计</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年相比，增加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35.27</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11.27</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lang w:val="en-US" w:eastAsia="zh-CN"/>
        </w:rPr>
        <w:t>一是本年人员增加，</w:t>
      </w:r>
      <w:r>
        <w:rPr>
          <w:rFonts w:hint="eastAsia" w:ascii="仿宋_GB2312" w:hAnsi="仿宋_GB2312" w:eastAsia="仿宋_GB2312" w:cs="仿宋_GB2312"/>
          <w:color w:val="000000"/>
          <w:sz w:val="28"/>
          <w:szCs w:val="28"/>
          <w:lang w:val="en-US" w:eastAsia="zh-CN"/>
        </w:rPr>
        <w:t>人员经费增幅较大；二是本年新增了特定项目收入土地延包整县试点工作经费38.5万元。</w:t>
      </w:r>
    </w:p>
    <w:p w14:paraId="68447B6A">
      <w:pPr>
        <w:widowControl w:val="0"/>
        <w:numPr>
          <w:ilvl w:val="0"/>
          <w:numId w:val="0"/>
        </w:numPr>
        <w:snapToGrid w:val="0"/>
        <w:spacing w:line="52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2024年度支出总计</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年相比，增加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35.27</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11.27</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color w:val="000000"/>
          <w:sz w:val="28"/>
          <w:szCs w:val="28"/>
          <w:lang w:val="en-US" w:eastAsia="zh-CN"/>
        </w:rPr>
        <w:t>本年奖金绩效增幅较大，而且，4月份从太平乡政府调来1人，7月份新招录公务员1人，相应的工资福利支出也大大增加。</w:t>
      </w:r>
    </w:p>
    <w:p w14:paraId="30BDDE7E">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lang w:val="en-US" w:eastAsia="zh-CN"/>
        </w:rPr>
      </w:pPr>
    </w:p>
    <w:p w14:paraId="4700F1F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C1F9669">
      <w:pPr>
        <w:pStyle w:val="14"/>
        <w:overflowPunct w:val="0"/>
        <w:autoSpaceDE/>
        <w:autoSpaceDN/>
        <w:spacing w:line="600" w:lineRule="exact"/>
        <w:ind w:left="319" w:leftChars="152"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u w:val="single"/>
          <w:lang w:val="en-US" w:eastAsia="zh-CN"/>
        </w:rPr>
        <w:t xml:space="preserve"> 348.07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u w:val="single"/>
          <w:lang w:val="en-US" w:eastAsia="zh-CN"/>
        </w:rPr>
        <w:t>348.07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w:t>
      </w:r>
    </w:p>
    <w:p w14:paraId="686E17D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0100EF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u w:val="single"/>
          <w:lang w:val="en-US" w:eastAsia="zh-CN"/>
        </w:rPr>
        <w:t xml:space="preserve"> 348.07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u w:val="single"/>
          <w:lang w:val="en-US" w:eastAsia="zh-CN"/>
        </w:rPr>
        <w:t xml:space="preserve"> 239.24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68.73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u w:val="single"/>
          <w:lang w:val="en-US" w:eastAsia="zh-CN"/>
        </w:rPr>
        <w:t xml:space="preserve"> 108.83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31.27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w:t>
      </w:r>
    </w:p>
    <w:p w14:paraId="0A55F59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4160496">
      <w:pPr>
        <w:pStyle w:val="14"/>
        <w:overflowPunct w:val="0"/>
        <w:autoSpaceDE/>
        <w:autoSpaceDN/>
        <w:spacing w:line="600" w:lineRule="exact"/>
        <w:ind w:firstLine="560" w:firstLineChars="200"/>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rPr>
        <w:t>2024年</w:t>
      </w:r>
      <w:r>
        <w:rPr>
          <w:rFonts w:hint="eastAsia" w:ascii="仿宋_GB2312" w:hAnsi="仿宋_GB2312" w:eastAsia="仿宋_GB2312" w:cs="仿宋_GB2312"/>
          <w:sz w:val="28"/>
          <w:szCs w:val="28"/>
          <w:lang w:eastAsia="zh-CN"/>
        </w:rPr>
        <w:t>财政拨款</w:t>
      </w: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年相比，增加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35.27</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11.27</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lang w:val="en-US" w:eastAsia="zh-CN"/>
        </w:rPr>
        <w:t>一是本年人员增加，</w:t>
      </w:r>
      <w:r>
        <w:rPr>
          <w:rFonts w:hint="eastAsia" w:ascii="仿宋_GB2312" w:hAnsi="仿宋_GB2312" w:eastAsia="仿宋_GB2312" w:cs="仿宋_GB2312"/>
          <w:color w:val="000000"/>
          <w:sz w:val="28"/>
          <w:szCs w:val="28"/>
          <w:lang w:val="en-US" w:eastAsia="zh-CN"/>
        </w:rPr>
        <w:t>人员经费增幅较大；二是本年新增了特定项目收入土地延包整县试点工作经费38.5万元。</w:t>
      </w:r>
    </w:p>
    <w:p w14:paraId="15794C86">
      <w:pPr>
        <w:widowControl w:val="0"/>
        <w:numPr>
          <w:ilvl w:val="0"/>
          <w:numId w:val="0"/>
        </w:numPr>
        <w:snapToGrid w:val="0"/>
        <w:spacing w:line="52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2024年财政拨款支出</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年相比，增加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35.27</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11.27</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color w:val="000000"/>
          <w:sz w:val="28"/>
          <w:szCs w:val="28"/>
          <w:lang w:val="en-US" w:eastAsia="zh-CN"/>
        </w:rPr>
        <w:t>本年奖金绩效增幅较大，而且，4月份从太平乡政府调来1人，7月份新招录公务员1人，相应的工资福利支出也大大增加。</w:t>
      </w:r>
    </w:p>
    <w:p w14:paraId="71E119E3">
      <w:pPr>
        <w:pStyle w:val="14"/>
        <w:overflowPunct w:val="0"/>
        <w:autoSpaceDE/>
        <w:autoSpaceDN/>
        <w:spacing w:line="600" w:lineRule="exact"/>
        <w:ind w:firstLine="560" w:firstLineChars="200"/>
        <w:jc w:val="both"/>
        <w:rPr>
          <w:rFonts w:hint="eastAsia" w:ascii="仿宋_GB2312" w:hAnsi="仿宋_GB2312" w:eastAsia="仿宋_GB2312" w:cs="仿宋_GB2312"/>
          <w:color w:val="000000"/>
          <w:sz w:val="28"/>
          <w:szCs w:val="28"/>
          <w:lang w:val="en-US" w:eastAsia="zh-CN"/>
        </w:rPr>
      </w:pPr>
    </w:p>
    <w:p w14:paraId="4F69613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B7768D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5B5D803">
      <w:pPr>
        <w:widowControl w:val="0"/>
        <w:numPr>
          <w:ilvl w:val="0"/>
          <w:numId w:val="0"/>
        </w:numPr>
        <w:snapToGrid w:val="0"/>
        <w:spacing w:line="52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2024年度财政拨款支出</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rPr>
        <w:t>万元，占本年支出合计的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100</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年相比，财政拨款支出增加</w:t>
      </w:r>
      <w:r>
        <w:rPr>
          <w:rFonts w:hint="eastAsia" w:ascii="仿宋_GB2312" w:hAnsi="仿宋_GB2312" w:eastAsia="仿宋_GB2312" w:cs="仿宋_GB2312"/>
          <w:sz w:val="28"/>
          <w:szCs w:val="28"/>
          <w:u w:val="single"/>
          <w:lang w:val="en-US" w:eastAsia="zh-CN"/>
        </w:rPr>
        <w:t xml:space="preserve"> 35.27</w:t>
      </w:r>
      <w:r>
        <w:rPr>
          <w:rFonts w:hint="eastAsia" w:ascii="仿宋_GB2312" w:hAnsi="仿宋_GB2312" w:eastAsia="仿宋_GB2312" w:cs="仿宋_GB2312"/>
          <w:sz w:val="28"/>
          <w:szCs w:val="28"/>
        </w:rPr>
        <w:t>万元，增长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11.27</w:t>
      </w:r>
      <w:r>
        <w:rPr>
          <w:rFonts w:hint="eastAsia" w:ascii="仿宋_GB2312" w:hAnsi="仿宋_GB2312" w:eastAsia="仿宋_GB2312" w:cs="仿宋_GB2312"/>
          <w:sz w:val="28"/>
          <w:szCs w:val="28"/>
        </w:rPr>
        <w:t>%，主要是因为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本年奖金绩效增幅较大，而且4月份从太平乡政府调来1人，7月份新招录公务员1人，相应的工资福利支出也大大增加。</w:t>
      </w:r>
    </w:p>
    <w:p w14:paraId="77D18D9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8140583">
      <w:pPr>
        <w:pStyle w:val="14"/>
        <w:overflowPunct w:val="0"/>
        <w:autoSpaceDE/>
        <w:autoSpaceDN/>
        <w:spacing w:line="600" w:lineRule="exact"/>
        <w:ind w:firstLine="560" w:firstLineChars="2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rPr>
        <w:t>2024年度财政拨款支出</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rPr>
        <w:t>万元，主要用于以下方面：</w:t>
      </w:r>
      <w:r>
        <w:rPr>
          <w:rFonts w:hint="eastAsia" w:ascii="仿宋_GB2312" w:hAnsi="仿宋_GB2312" w:eastAsia="仿宋_GB2312" w:cs="仿宋_GB2312"/>
          <w:color w:val="auto"/>
          <w:sz w:val="28"/>
          <w:szCs w:val="28"/>
          <w:lang w:eastAsia="zh-CN"/>
        </w:rPr>
        <w:t>农林水（类））支出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348.07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lang w:eastAsia="zh-CN"/>
        </w:rPr>
        <w:t>。</w:t>
      </w:r>
    </w:p>
    <w:p w14:paraId="503F6EC6">
      <w:pPr>
        <w:pStyle w:val="14"/>
        <w:overflowPunct w:val="0"/>
        <w:autoSpaceDE/>
        <w:autoSpaceDN/>
        <w:spacing w:line="600" w:lineRule="exact"/>
        <w:ind w:firstLine="560" w:firstLineChars="200"/>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（三）一般公共预算财政拨款支出决算具体情况</w:t>
      </w:r>
    </w:p>
    <w:p w14:paraId="47DF3DEE">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2024年度财政拨款支出年初预算数为</w:t>
      </w:r>
      <w:r>
        <w:rPr>
          <w:rFonts w:hint="eastAsia" w:ascii="仿宋_GB2312" w:hAnsi="仿宋_GB2312" w:eastAsia="仿宋_GB2312" w:cs="仿宋_GB2312"/>
          <w:sz w:val="28"/>
          <w:szCs w:val="28"/>
          <w:u w:val="single"/>
          <w:lang w:val="en-US" w:eastAsia="zh-CN"/>
        </w:rPr>
        <w:t xml:space="preserve"> 196.69</w:t>
      </w:r>
      <w:r>
        <w:rPr>
          <w:rFonts w:hint="eastAsia" w:ascii="仿宋_GB2312" w:hAnsi="仿宋_GB2312" w:eastAsia="仿宋_GB2312" w:cs="仿宋_GB2312"/>
          <w:sz w:val="28"/>
          <w:szCs w:val="28"/>
        </w:rPr>
        <w:t>万元，支出决算数为</w:t>
      </w:r>
      <w:r>
        <w:rPr>
          <w:rFonts w:hint="eastAsia" w:ascii="仿宋_GB2312" w:hAnsi="仿宋_GB2312" w:eastAsia="仿宋_GB2312" w:cs="仿宋_GB2312"/>
          <w:sz w:val="28"/>
          <w:szCs w:val="28"/>
          <w:u w:val="single"/>
          <w:lang w:val="en-US" w:eastAsia="zh-CN"/>
        </w:rPr>
        <w:t xml:space="preserve"> 348.07</w:t>
      </w:r>
      <w:r>
        <w:rPr>
          <w:rFonts w:hint="eastAsia" w:ascii="仿宋_GB2312" w:hAnsi="仿宋_GB2312" w:eastAsia="仿宋_GB2312" w:cs="仿宋_GB2312"/>
          <w:sz w:val="28"/>
          <w:szCs w:val="28"/>
        </w:rPr>
        <w:t>万元，完成年初预算的</w:t>
      </w:r>
      <w:r>
        <w:rPr>
          <w:rFonts w:hint="eastAsia" w:ascii="仿宋_GB2312" w:hAnsi="仿宋_GB2312" w:eastAsia="仿宋_GB2312" w:cs="仿宋_GB2312"/>
          <w:sz w:val="28"/>
          <w:szCs w:val="28"/>
          <w:u w:val="single"/>
          <w:lang w:val="en-US" w:eastAsia="zh-CN"/>
        </w:rPr>
        <w:t xml:space="preserve"> 176.96</w:t>
      </w:r>
      <w:r>
        <w:rPr>
          <w:rFonts w:hint="eastAsia" w:ascii="仿宋_GB2312" w:hAnsi="仿宋_GB2312" w:eastAsia="仿宋_GB2312" w:cs="仿宋_GB2312"/>
          <w:sz w:val="28"/>
          <w:szCs w:val="28"/>
        </w:rPr>
        <w:t>%，其中：</w:t>
      </w:r>
    </w:p>
    <w:p w14:paraId="6FC270E2">
      <w:pPr>
        <w:pStyle w:val="14"/>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1、一般公共服务</w:t>
      </w:r>
      <w:r>
        <w:rPr>
          <w:rFonts w:hint="eastAsia" w:ascii="仿宋_GB2312" w:hAnsi="仿宋_GB2312" w:eastAsia="仿宋_GB2312" w:cs="仿宋_GB2312"/>
          <w:color w:val="auto"/>
          <w:sz w:val="28"/>
          <w:szCs w:val="28"/>
          <w:lang w:eastAsia="zh-CN"/>
        </w:rPr>
        <w:t>农林水支出</w:t>
      </w:r>
      <w:r>
        <w:rPr>
          <w:rFonts w:hint="eastAsia"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农业农村</w:t>
      </w:r>
      <w:r>
        <w:rPr>
          <w:rFonts w:hint="eastAsia" w:ascii="仿宋_GB2312" w:hAnsi="仿宋_GB2312" w:eastAsia="仿宋_GB2312" w:cs="仿宋_GB2312"/>
          <w:color w:val="auto"/>
          <w:sz w:val="28"/>
          <w:szCs w:val="28"/>
        </w:rPr>
        <w:t>（款）</w:t>
      </w:r>
      <w:r>
        <w:rPr>
          <w:rFonts w:hint="eastAsia" w:ascii="仿宋_GB2312" w:hAnsi="仿宋_GB2312" w:eastAsia="仿宋_GB2312" w:cs="仿宋_GB2312"/>
          <w:color w:val="auto"/>
          <w:sz w:val="28"/>
          <w:szCs w:val="28"/>
          <w:lang w:eastAsia="zh-CN"/>
        </w:rPr>
        <w:t>事业运行</w:t>
      </w:r>
      <w:r>
        <w:rPr>
          <w:rFonts w:hint="eastAsia" w:ascii="仿宋_GB2312" w:hAnsi="仿宋_GB2312" w:eastAsia="仿宋_GB2312" w:cs="仿宋_GB2312"/>
          <w:color w:val="auto"/>
          <w:sz w:val="28"/>
          <w:szCs w:val="28"/>
        </w:rPr>
        <w:t>（项）</w:t>
      </w:r>
    </w:p>
    <w:p w14:paraId="11A11765">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年初预算为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196.69</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万元，支出决算为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348.07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万元，完成年初预算的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176.96</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%，决算数大于年初预算数的主要原因是</w:t>
      </w:r>
      <w:r>
        <w:rPr>
          <w:rFonts w:hint="eastAsia" w:ascii="仿宋_GB2312" w:hAnsi="仿宋_GB2312" w:eastAsia="仿宋_GB2312" w:cs="仿宋_GB2312"/>
          <w:color w:val="000000"/>
          <w:sz w:val="28"/>
          <w:szCs w:val="28"/>
          <w:lang w:eastAsia="zh-CN"/>
        </w:rPr>
        <w:t>增加了特定项目的支出。</w:t>
      </w:r>
      <w:r>
        <w:rPr>
          <w:rFonts w:hint="eastAsia" w:ascii="仿宋_GB2312" w:hAnsi="仿宋_GB2312" w:eastAsia="仿宋_GB2312" w:cs="仿宋_GB2312"/>
          <w:color w:val="000000"/>
          <w:sz w:val="28"/>
          <w:szCs w:val="28"/>
          <w:lang w:val="en-US" w:eastAsia="zh-CN"/>
        </w:rPr>
        <w:t>其中：</w:t>
      </w:r>
      <w:r>
        <w:rPr>
          <w:rFonts w:hint="eastAsia" w:ascii="仿宋_GB2312" w:hAnsi="仿宋_GB2312" w:eastAsia="仿宋_GB2312" w:cs="仿宋_GB2312"/>
          <w:bCs/>
          <w:color w:val="000000"/>
          <w:sz w:val="28"/>
          <w:szCs w:val="28"/>
          <w:lang w:eastAsia="zh-CN"/>
        </w:rPr>
        <w:t>上级下达</w:t>
      </w:r>
      <w:r>
        <w:rPr>
          <w:rFonts w:hint="eastAsia" w:ascii="仿宋_GB2312" w:hAnsi="仿宋_GB2312" w:eastAsia="仿宋_GB2312" w:cs="仿宋_GB2312"/>
          <w:bCs/>
          <w:color w:val="000000"/>
          <w:sz w:val="28"/>
          <w:szCs w:val="28"/>
          <w:lang w:val="en-US" w:eastAsia="zh-CN"/>
        </w:rPr>
        <w:t>2023-2024年中央农业经营主体能力提升资金（支持</w:t>
      </w:r>
      <w:r>
        <w:rPr>
          <w:rFonts w:hint="eastAsia" w:ascii="仿宋_GB2312" w:hAnsi="仿宋_GB2312" w:eastAsia="仿宋_GB2312" w:cs="仿宋_GB2312"/>
          <w:color w:val="000000"/>
          <w:sz w:val="28"/>
          <w:szCs w:val="28"/>
          <w:lang w:val="en-US" w:eastAsia="zh-CN"/>
        </w:rPr>
        <w:t>农民合作社及家庭农场）126万元；2024年土地延包整县试点项目工作经费38.5万元。</w:t>
      </w:r>
    </w:p>
    <w:p w14:paraId="5849828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E4FFADD">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2024年度一般公共预算财政拨款基本支出</w:t>
      </w:r>
      <w:r>
        <w:rPr>
          <w:rFonts w:hint="eastAsia" w:ascii="仿宋_GB2312" w:hAnsi="仿宋_GB2312" w:eastAsia="仿宋_GB2312" w:cs="仿宋_GB2312"/>
          <w:sz w:val="28"/>
          <w:szCs w:val="28"/>
          <w:u w:val="single"/>
          <w:lang w:val="en-US" w:eastAsia="zh-CN"/>
        </w:rPr>
        <w:t xml:space="preserve"> 239.24</w:t>
      </w:r>
      <w:r>
        <w:rPr>
          <w:rFonts w:hint="eastAsia" w:ascii="仿宋_GB2312" w:hAnsi="仿宋_GB2312" w:eastAsia="仿宋_GB2312" w:cs="仿宋_GB2312"/>
          <w:sz w:val="28"/>
          <w:szCs w:val="28"/>
        </w:rPr>
        <w:t>万元，其中：</w:t>
      </w:r>
    </w:p>
    <w:p w14:paraId="6DE6B6B7">
      <w:pPr>
        <w:pStyle w:val="14"/>
        <w:overflowPunct w:val="0"/>
        <w:autoSpaceDE/>
        <w:autoSpaceDN/>
        <w:spacing w:line="6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人员经费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207.53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万元，占基本支出的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86.75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主要包括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基本工资、津贴补贴、奖金</w:t>
      </w:r>
      <w:r>
        <w:rPr>
          <w:rFonts w:hint="eastAsia" w:ascii="仿宋_GB2312" w:hAnsi="仿宋_GB2312" w:eastAsia="仿宋_GB2312" w:cs="仿宋_GB2312"/>
          <w:color w:val="auto"/>
          <w:sz w:val="28"/>
          <w:szCs w:val="28"/>
          <w:lang w:eastAsia="zh-CN"/>
        </w:rPr>
        <w:t>、基本养老保险缴费、基本医疗保险缴费、其他社会保障缴费、其他工资福利支出、对个人和家庭的补助</w:t>
      </w:r>
      <w:r>
        <w:rPr>
          <w:rFonts w:hint="eastAsia" w:ascii="仿宋_GB2312" w:hAnsi="仿宋_GB2312" w:eastAsia="仿宋_GB2312" w:cs="仿宋_GB2312"/>
          <w:color w:val="auto"/>
          <w:sz w:val="28"/>
          <w:szCs w:val="28"/>
        </w:rPr>
        <w:t>；</w:t>
      </w:r>
    </w:p>
    <w:p w14:paraId="1EAE59D1">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公用经费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31.71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万元，占基本支出的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13.25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%，主要包括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办公费、</w:t>
      </w:r>
      <w:r>
        <w:rPr>
          <w:rFonts w:hint="eastAsia" w:ascii="仿宋_GB2312" w:hAnsi="仿宋_GB2312" w:eastAsia="仿宋_GB2312" w:cs="仿宋_GB2312"/>
          <w:color w:val="auto"/>
          <w:sz w:val="28"/>
          <w:szCs w:val="28"/>
          <w:lang w:eastAsia="zh-CN"/>
        </w:rPr>
        <w:t>水电费、物业管理费、差旅费、公务接待费、工会经费、福利费、其他交通费用、其他商品和服务支出。</w:t>
      </w:r>
    </w:p>
    <w:p w14:paraId="3E9618A0">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6C1CFF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67726B">
      <w:pPr>
        <w:numPr>
          <w:ilvl w:val="0"/>
          <w:numId w:val="0"/>
        </w:numPr>
        <w:ind w:firstLine="560" w:firstLineChars="200"/>
        <w:rPr>
          <w:rFonts w:hint="eastAsia" w:ascii="Times New Roman" w:hAnsi="Times New Roman" w:eastAsia="仿宋_GB2312" w:cs="Times New Roman"/>
          <w:sz w:val="32"/>
          <w:szCs w:val="32"/>
          <w:highlight w:val="yellow"/>
          <w:lang w:eastAsia="zh-CN"/>
        </w:rPr>
      </w:pPr>
      <w:r>
        <w:rPr>
          <w:rFonts w:hint="eastAsia" w:ascii="仿宋_GB2312" w:hAnsi="仿宋_GB2312" w:eastAsia="仿宋_GB2312" w:cs="仿宋_GB2312"/>
          <w:sz w:val="28"/>
          <w:szCs w:val="28"/>
        </w:rPr>
        <w:t>2024年度“三公”经费财政拨款支出预算为</w:t>
      </w:r>
      <w:r>
        <w:rPr>
          <w:rFonts w:hint="eastAsia" w:ascii="仿宋_GB2312" w:hAnsi="仿宋_GB2312" w:eastAsia="仿宋_GB2312" w:cs="仿宋_GB2312"/>
          <w:sz w:val="28"/>
          <w:szCs w:val="28"/>
          <w:u w:val="single"/>
          <w:lang w:val="en-US" w:eastAsia="zh-CN"/>
        </w:rPr>
        <w:t xml:space="preserve"> 1.3</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u w:val="single"/>
          <w:lang w:val="en-US" w:eastAsia="zh-CN"/>
        </w:rPr>
        <w:t xml:space="preserve"> 0.34</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u w:val="single"/>
          <w:lang w:val="en-US" w:eastAsia="zh-CN"/>
        </w:rPr>
        <w:t xml:space="preserve"> 26.15</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eastAsia="zh-CN"/>
        </w:rPr>
        <w:t>上</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相比减少</w:t>
      </w:r>
      <w:r>
        <w:rPr>
          <w:rFonts w:hint="eastAsia" w:ascii="仿宋_GB2312" w:hAnsi="仿宋_GB2312" w:eastAsia="仿宋_GB2312" w:cs="仿宋_GB2312"/>
          <w:sz w:val="28"/>
          <w:szCs w:val="28"/>
          <w:u w:val="single"/>
          <w:lang w:val="en-US" w:eastAsia="zh-CN"/>
        </w:rPr>
        <w:t xml:space="preserve"> 0.33</w:t>
      </w:r>
      <w:r>
        <w:rPr>
          <w:rFonts w:hint="eastAsia" w:ascii="仿宋_GB2312" w:hAnsi="仿宋_GB2312" w:eastAsia="仿宋_GB2312" w:cs="仿宋_GB2312"/>
          <w:sz w:val="28"/>
          <w:szCs w:val="28"/>
        </w:rPr>
        <w:t>万元，降低</w:t>
      </w:r>
      <w:r>
        <w:rPr>
          <w:rFonts w:hint="eastAsia" w:ascii="仿宋_GB2312" w:hAnsi="仿宋_GB2312" w:eastAsia="仿宋_GB2312" w:cs="仿宋_GB2312"/>
          <w:sz w:val="28"/>
          <w:szCs w:val="28"/>
          <w:u w:val="single"/>
          <w:lang w:val="en-US" w:eastAsia="zh-CN"/>
        </w:rPr>
        <w:t>49.62</w:t>
      </w:r>
      <w:r>
        <w:rPr>
          <w:rFonts w:hint="eastAsia" w:ascii="仿宋_GB2312" w:hAnsi="仿宋_GB2312" w:eastAsia="仿宋_GB2312" w:cs="仿宋_GB2312"/>
          <w:sz w:val="28"/>
          <w:szCs w:val="28"/>
        </w:rPr>
        <w:t>%。决算数小于上年数的主要原因</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color w:val="000000"/>
          <w:sz w:val="28"/>
          <w:szCs w:val="28"/>
          <w:lang w:val="en-US" w:eastAsia="zh-CN"/>
        </w:rPr>
        <w:t>本着厉行节约的原则，一再缩减招待费开支。</w:t>
      </w:r>
    </w:p>
    <w:p w14:paraId="700D4FE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D51F5A0">
      <w:pPr>
        <w:pStyle w:val="14"/>
        <w:overflowPunct w:val="0"/>
        <w:autoSpaceDE/>
        <w:autoSpaceDN/>
        <w:spacing w:line="600" w:lineRule="exact"/>
        <w:ind w:firstLine="560" w:firstLineChars="200"/>
        <w:jc w:val="both"/>
        <w:rPr>
          <w:rFonts w:hint="eastAsia" w:ascii="仿宋_GB2312" w:hAnsi="仿宋_GB2312" w:eastAsia="仿宋_GB2312" w:cs="仿宋_GB2312"/>
          <w:b/>
          <w:bCs/>
          <w:i/>
          <w:color w:val="auto"/>
          <w:sz w:val="28"/>
          <w:szCs w:val="28"/>
        </w:rPr>
      </w:pPr>
      <w:r>
        <w:rPr>
          <w:rFonts w:hint="eastAsia" w:ascii="仿宋_GB2312" w:hAnsi="仿宋_GB2312" w:eastAsia="仿宋_GB2312" w:cs="仿宋_GB2312"/>
          <w:sz w:val="28"/>
          <w:szCs w:val="28"/>
        </w:rPr>
        <w:t>1.因公出国（境）费支出预算为</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w:t>
      </w:r>
    </w:p>
    <w:p w14:paraId="734EFF69">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2.公务用车购置费及运行维护费支出预算为</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w:t>
      </w:r>
    </w:p>
    <w:p w14:paraId="397FF8F0">
      <w:pPr>
        <w:numPr>
          <w:ilvl w:val="0"/>
          <w:numId w:val="0"/>
        </w:numPr>
        <w:ind w:firstLine="560" w:firstLineChars="200"/>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rPr>
        <w:t>3.公务接待费支出预算为</w:t>
      </w:r>
      <w:r>
        <w:rPr>
          <w:rFonts w:hint="eastAsia" w:ascii="仿宋_GB2312" w:hAnsi="仿宋_GB2312" w:eastAsia="仿宋_GB2312" w:cs="仿宋_GB2312"/>
          <w:sz w:val="28"/>
          <w:szCs w:val="28"/>
          <w:u w:val="single"/>
          <w:lang w:val="en-US" w:eastAsia="zh-CN"/>
        </w:rPr>
        <w:t xml:space="preserve"> 1.3</w:t>
      </w:r>
      <w:r>
        <w:rPr>
          <w:rFonts w:hint="eastAsia" w:ascii="仿宋_GB2312" w:hAnsi="仿宋_GB2312" w:eastAsia="仿宋_GB2312" w:cs="仿宋_GB2312"/>
          <w:sz w:val="28"/>
          <w:szCs w:val="28"/>
        </w:rPr>
        <w:t>万元，支出决算为</w:t>
      </w:r>
      <w:r>
        <w:rPr>
          <w:rFonts w:hint="eastAsia" w:ascii="仿宋_GB2312" w:hAnsi="仿宋_GB2312" w:eastAsia="仿宋_GB2312" w:cs="仿宋_GB2312"/>
          <w:sz w:val="28"/>
          <w:szCs w:val="28"/>
          <w:u w:val="single"/>
          <w:lang w:val="en-US" w:eastAsia="zh-CN"/>
        </w:rPr>
        <w:t xml:space="preserve"> 0.34</w:t>
      </w:r>
      <w:r>
        <w:rPr>
          <w:rFonts w:hint="eastAsia" w:ascii="仿宋_GB2312" w:hAnsi="仿宋_GB2312" w:eastAsia="仿宋_GB2312" w:cs="仿宋_GB2312"/>
          <w:sz w:val="28"/>
          <w:szCs w:val="28"/>
        </w:rPr>
        <w:t>万元，完成预算的</w:t>
      </w:r>
      <w:r>
        <w:rPr>
          <w:rFonts w:hint="eastAsia" w:ascii="仿宋_GB2312" w:hAnsi="仿宋_GB2312" w:eastAsia="仿宋_GB2312" w:cs="仿宋_GB2312"/>
          <w:sz w:val="28"/>
          <w:szCs w:val="28"/>
          <w:u w:val="single"/>
          <w:lang w:val="en-US" w:eastAsia="zh-CN"/>
        </w:rPr>
        <w:t xml:space="preserve"> 26.15</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；与上年相比减少</w:t>
      </w:r>
      <w:r>
        <w:rPr>
          <w:rFonts w:hint="eastAsia" w:ascii="仿宋_GB2312" w:hAnsi="仿宋_GB2312" w:eastAsia="仿宋_GB2312" w:cs="仿宋_GB2312"/>
          <w:sz w:val="28"/>
          <w:szCs w:val="28"/>
          <w:u w:val="single"/>
          <w:lang w:val="en-US" w:eastAsia="zh-CN"/>
        </w:rPr>
        <w:t>0.33</w:t>
      </w:r>
      <w:r>
        <w:rPr>
          <w:rFonts w:hint="eastAsia" w:ascii="仿宋_GB2312" w:hAnsi="仿宋_GB2312" w:eastAsia="仿宋_GB2312" w:cs="仿宋_GB2312"/>
          <w:sz w:val="28"/>
          <w:szCs w:val="28"/>
        </w:rPr>
        <w:t>万元，降低</w:t>
      </w:r>
      <w:r>
        <w:rPr>
          <w:rFonts w:hint="eastAsia" w:ascii="仿宋_GB2312" w:hAnsi="仿宋_GB2312" w:eastAsia="仿宋_GB2312" w:cs="仿宋_GB2312"/>
          <w:sz w:val="28"/>
          <w:szCs w:val="28"/>
          <w:lang w:val="en-US" w:eastAsia="zh-CN"/>
        </w:rPr>
        <w:t>49.62</w:t>
      </w:r>
      <w:r>
        <w:rPr>
          <w:rFonts w:hint="eastAsia" w:ascii="仿宋_GB2312" w:hAnsi="仿宋_GB2312" w:eastAsia="仿宋_GB2312" w:cs="仿宋_GB2312"/>
          <w:sz w:val="28"/>
          <w:szCs w:val="28"/>
        </w:rPr>
        <w:t>%。决算数小于预算数</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上年数的主要原因是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en-US" w:eastAsia="zh-CN"/>
        </w:rPr>
        <w:t>本着厉行节约的原则，一再缩减招待费开支。</w:t>
      </w:r>
    </w:p>
    <w:p w14:paraId="0C651D90">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2024年度共接待来访团组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个、来宾</w:t>
      </w:r>
      <w:r>
        <w:rPr>
          <w:rFonts w:hint="eastAsia" w:ascii="仿宋_GB2312" w:hAnsi="仿宋_GB2312" w:eastAsia="仿宋_GB2312" w:cs="仿宋_GB2312"/>
          <w:sz w:val="28"/>
          <w:szCs w:val="28"/>
          <w:lang w:val="en-US" w:eastAsia="zh-CN"/>
        </w:rPr>
        <w:t>59</w:t>
      </w:r>
      <w:r>
        <w:rPr>
          <w:rFonts w:hint="eastAsia" w:ascii="仿宋_GB2312" w:hAnsi="仿宋_GB2312" w:eastAsia="仿宋_GB2312" w:cs="仿宋_GB2312"/>
          <w:sz w:val="28"/>
          <w:szCs w:val="28"/>
        </w:rPr>
        <w:t>人次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接待开支主要是</w:t>
      </w:r>
      <w:r>
        <w:rPr>
          <w:rFonts w:hint="eastAsia" w:ascii="仿宋_GB2312" w:hAnsi="仿宋_GB2312" w:eastAsia="仿宋_GB2312" w:cs="仿宋_GB2312"/>
          <w:color w:val="000000"/>
          <w:sz w:val="28"/>
          <w:szCs w:val="28"/>
        </w:rPr>
        <w:t>上级</w:t>
      </w:r>
      <w:r>
        <w:rPr>
          <w:rFonts w:hint="eastAsia" w:ascii="仿宋_GB2312" w:hAnsi="仿宋_GB2312" w:eastAsia="仿宋_GB2312" w:cs="仿宋_GB2312"/>
          <w:color w:val="000000"/>
          <w:sz w:val="28"/>
          <w:szCs w:val="28"/>
          <w:lang w:eastAsia="zh-CN"/>
        </w:rPr>
        <w:t>部门考核</w:t>
      </w:r>
      <w:r>
        <w:rPr>
          <w:rFonts w:hint="eastAsia" w:ascii="仿宋_GB2312" w:hAnsi="仿宋_GB2312" w:eastAsia="仿宋_GB2312" w:cs="仿宋_GB2312"/>
          <w:color w:val="000000"/>
          <w:sz w:val="28"/>
          <w:szCs w:val="28"/>
        </w:rPr>
        <w:t>检查</w:t>
      </w:r>
      <w:r>
        <w:rPr>
          <w:rFonts w:hint="eastAsia" w:ascii="仿宋_GB2312" w:hAnsi="仿宋_GB2312" w:eastAsia="仿宋_GB2312" w:cs="仿宋_GB2312"/>
          <w:color w:val="000000"/>
          <w:sz w:val="28"/>
          <w:szCs w:val="28"/>
          <w:lang w:eastAsia="zh-CN"/>
        </w:rPr>
        <w:t>公务招待。</w:t>
      </w:r>
    </w:p>
    <w:p w14:paraId="6266830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36DD7AE">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本单位无政府性基金收支</w:t>
      </w:r>
      <w:r>
        <w:rPr>
          <w:rFonts w:hint="eastAsia" w:ascii="仿宋_GB2312" w:hAnsi="仿宋_GB2312" w:eastAsia="仿宋_GB2312" w:cs="仿宋_GB2312"/>
          <w:sz w:val="28"/>
          <w:szCs w:val="28"/>
          <w:lang w:val="en-US" w:eastAsia="zh-CN"/>
        </w:rPr>
        <w:t xml:space="preserve"> 。</w:t>
      </w:r>
    </w:p>
    <w:p w14:paraId="02BA3B6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E5058CD">
      <w:pPr>
        <w:widowControl w:val="0"/>
        <w:numPr>
          <w:ilvl w:val="0"/>
          <w:numId w:val="0"/>
        </w:numPr>
        <w:snapToGrid w:val="0"/>
        <w:spacing w:line="52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本部门2024年度机关运行经费支出</w:t>
      </w:r>
      <w:r>
        <w:rPr>
          <w:rFonts w:hint="eastAsia" w:ascii="仿宋_GB2312" w:hAnsi="仿宋_GB2312" w:eastAsia="仿宋_GB2312" w:cs="仿宋_GB2312"/>
          <w:sz w:val="28"/>
          <w:szCs w:val="28"/>
          <w:u w:val="single"/>
          <w:lang w:val="en-US" w:eastAsia="zh-CN"/>
        </w:rPr>
        <w:t xml:space="preserve"> 31.71</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比年初预算数</w:t>
      </w:r>
      <w:r>
        <w:rPr>
          <w:rFonts w:hint="eastAsia" w:ascii="仿宋_GB2312" w:hAnsi="仿宋_GB2312" w:eastAsia="仿宋_GB2312" w:cs="仿宋_GB2312"/>
          <w:sz w:val="28"/>
          <w:szCs w:val="28"/>
          <w:u w:val="single"/>
          <w:lang w:val="en-US" w:eastAsia="zh-CN"/>
        </w:rPr>
        <w:t xml:space="preserve"> 23</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增加</w:t>
      </w:r>
      <w:r>
        <w:rPr>
          <w:rFonts w:hint="eastAsia" w:ascii="仿宋_GB2312" w:hAnsi="仿宋_GB2312" w:eastAsia="仿宋_GB2312" w:cs="仿宋_GB2312"/>
          <w:sz w:val="28"/>
          <w:szCs w:val="28"/>
          <w:u w:val="single"/>
          <w:lang w:val="en-US" w:eastAsia="zh-CN"/>
        </w:rPr>
        <w:t xml:space="preserve"> 8.71</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28"/>
          <w:szCs w:val="28"/>
        </w:rPr>
        <w:t>增长</w:t>
      </w:r>
      <w:r>
        <w:rPr>
          <w:rFonts w:hint="eastAsia" w:ascii="仿宋_GB2312" w:hAnsi="仿宋_GB2312" w:eastAsia="仿宋_GB2312" w:cs="仿宋_GB2312"/>
          <w:sz w:val="28"/>
          <w:szCs w:val="28"/>
          <w:u w:val="single"/>
          <w:lang w:val="en-US" w:eastAsia="zh-CN"/>
        </w:rPr>
        <w:t xml:space="preserve"> 37.87</w:t>
      </w:r>
      <w:r>
        <w:rPr>
          <w:rFonts w:hint="eastAsia" w:ascii="仿宋_GB2312" w:hAnsi="仿宋_GB2312" w:eastAsia="仿宋_GB2312" w:cs="仿宋_GB2312"/>
          <w:sz w:val="28"/>
          <w:szCs w:val="28"/>
        </w:rPr>
        <w:t>%。主要原因是：</w:t>
      </w:r>
      <w:r>
        <w:rPr>
          <w:rFonts w:hint="eastAsia" w:ascii="仿宋_GB2312" w:hAnsi="仿宋_GB2312" w:eastAsia="仿宋_GB2312" w:cs="仿宋_GB2312"/>
          <w:color w:val="000000"/>
          <w:sz w:val="28"/>
          <w:szCs w:val="28"/>
          <w:lang w:val="en-US" w:eastAsia="zh-CN"/>
        </w:rPr>
        <w:t>本年奖金绩效增幅较大，而且4月份从太平乡政府调来1人，7月份新招录公务员1人，相应的工资福利支出也大大增加。</w:t>
      </w:r>
    </w:p>
    <w:p w14:paraId="17C33AB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F2B2EC2">
      <w:pPr>
        <w:pStyle w:val="14"/>
        <w:overflowPunct w:val="0"/>
        <w:autoSpaceDE/>
        <w:autoSpaceDN/>
        <w:spacing w:line="600"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2024年本部门开支会议费</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万元，开支培训费</w:t>
      </w:r>
      <w:r>
        <w:rPr>
          <w:rFonts w:hint="eastAsia" w:ascii="仿宋_GB2312" w:hAnsi="仿宋_GB2312" w:eastAsia="仿宋_GB2312" w:cs="仿宋_GB2312"/>
          <w:sz w:val="28"/>
          <w:szCs w:val="28"/>
          <w:u w:val="single"/>
          <w:lang w:val="en-US" w:eastAsia="zh-CN"/>
        </w:rPr>
        <w:t xml:space="preserve"> 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14:paraId="2E854DA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F50513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u w:val="single"/>
          <w:lang w:val="en-US" w:eastAsia="zh-CN"/>
        </w:rPr>
        <w:t xml:space="preserve"> 25.41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u w:val="single"/>
          <w:lang w:val="en-US" w:eastAsia="zh-CN"/>
        </w:rPr>
        <w:t xml:space="preserve"> 18.83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u w:val="single"/>
          <w:lang w:val="en-US" w:eastAsia="zh-CN"/>
        </w:rPr>
        <w:t xml:space="preserve"> 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u w:val="single"/>
          <w:lang w:val="en-US" w:eastAsia="zh-CN"/>
        </w:rPr>
        <w:t xml:space="preserve"> 6.58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u w:val="single"/>
          <w:lang w:val="en-US" w:eastAsia="zh-CN"/>
        </w:rPr>
        <w:t xml:space="preserve"> 25.23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u w:val="single"/>
          <w:lang w:val="en-US" w:eastAsia="zh-CN"/>
        </w:rPr>
        <w:t xml:space="preserve"> 99.29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val="en-US" w:eastAsia="zh-CN"/>
        </w:rPr>
        <w:t>20.83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u w:val="single"/>
          <w:lang w:val="en-US" w:eastAsia="zh-CN"/>
        </w:rPr>
        <w:t xml:space="preserve"> 82.56</w:t>
      </w:r>
      <w:r>
        <w:rPr>
          <w:rFonts w:ascii="Times New Roman" w:hAnsi="Times New Roman" w:eastAsia="仿宋_GB2312" w:cs="Times New Roman"/>
          <w:color w:val="auto"/>
          <w:sz w:val="32"/>
          <w:szCs w:val="32"/>
        </w:rPr>
        <w:t>%。</w:t>
      </w:r>
    </w:p>
    <w:p w14:paraId="7A03878F">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6DD803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截至2024年12月31日，部单位共有车辆</w:t>
      </w:r>
      <w:r>
        <w:rPr>
          <w:rFonts w:hint="eastAsia" w:ascii="Times New Roman" w:hAnsi="Times New Roman" w:eastAsia="仿宋_GB2312" w:cs="Times New Roman"/>
          <w:color w:val="auto"/>
          <w:sz w:val="32"/>
          <w:szCs w:val="32"/>
          <w:u w:val="single"/>
          <w:lang w:val="en-US" w:eastAsia="zh-CN"/>
        </w:rPr>
        <w:t xml:space="preserve"> 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u w:val="single"/>
          <w:lang w:val="en-US" w:eastAsia="zh-CN"/>
        </w:rPr>
        <w:t xml:space="preserve"> 0</w:t>
      </w:r>
      <w:r>
        <w:rPr>
          <w:rFonts w:ascii="Times New Roman" w:hAnsi="Times New Roman" w:eastAsia="仿宋_GB2312" w:cs="Times New Roman"/>
          <w:color w:val="auto"/>
          <w:sz w:val="32"/>
          <w:szCs w:val="32"/>
        </w:rPr>
        <w:t>台（套）。</w:t>
      </w:r>
    </w:p>
    <w:p w14:paraId="0F5CE14B">
      <w:pPr>
        <w:pStyle w:val="14"/>
        <w:numPr>
          <w:ilvl w:val="0"/>
          <w:numId w:val="1"/>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513A268">
      <w:pPr>
        <w:bidi w:val="0"/>
        <w:ind w:firstLine="64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sz w:val="32"/>
          <w:szCs w:val="32"/>
        </w:rPr>
        <w:t>按照财政部门的部署</w:t>
      </w:r>
      <w:r>
        <w:rPr>
          <w:rFonts w:hint="eastAsia" w:ascii="仿宋_GB2312" w:hAnsi="仿宋_GB2312" w:eastAsia="仿宋_GB2312" w:cs="仿宋_GB2312"/>
          <w:sz w:val="32"/>
          <w:szCs w:val="32"/>
          <w:lang w:eastAsia="zh-CN"/>
        </w:rPr>
        <w:t>和要求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成立了以</w:t>
      </w:r>
      <w:r>
        <w:rPr>
          <w:rFonts w:hint="eastAsia" w:ascii="仿宋_GB2312" w:hAnsi="仿宋_GB2312" w:eastAsia="仿宋_GB2312" w:cs="仿宋_GB2312"/>
          <w:sz w:val="32"/>
          <w:szCs w:val="32"/>
          <w:lang w:eastAsia="zh-CN"/>
        </w:rPr>
        <w:t>站长</w:t>
      </w:r>
      <w:r>
        <w:rPr>
          <w:rFonts w:hint="eastAsia" w:ascii="仿宋_GB2312" w:hAnsi="仿宋_GB2312" w:eastAsia="仿宋_GB2312" w:cs="仿宋_GB2312"/>
          <w:sz w:val="32"/>
          <w:szCs w:val="32"/>
        </w:rPr>
        <w:t>谭声吉为组长，雷统中、成克鹫、唐志芳、蒋龙喜为</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员的绩效评价小组，</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2024年度部门整体支出进行了绩效自评。详情见第五部分附件：</w:t>
      </w:r>
      <w:r>
        <w:rPr>
          <w:rFonts w:hint="eastAsia" w:ascii="仿宋_GB2312" w:hAnsi="仿宋_GB2312" w:eastAsia="仿宋_GB2312" w:cs="仿宋_GB2312"/>
          <w:sz w:val="28"/>
          <w:szCs w:val="28"/>
          <w:lang w:eastAsia="zh-CN"/>
        </w:rPr>
        <w:t>蓝山县农经站</w:t>
      </w:r>
      <w:r>
        <w:rPr>
          <w:rFonts w:hint="eastAsia" w:ascii="仿宋_GB2312" w:hAnsi="仿宋_GB2312" w:eastAsia="仿宋_GB2312" w:cs="仿宋_GB2312"/>
          <w:sz w:val="28"/>
          <w:szCs w:val="28"/>
        </w:rPr>
        <w:t>2024年度</w:t>
      </w:r>
      <w:r>
        <w:rPr>
          <w:rFonts w:hint="eastAsia" w:ascii="仿宋_GB2312" w:hAnsi="仿宋_GB2312" w:eastAsia="仿宋_GB2312" w:cs="仿宋_GB2312"/>
          <w:sz w:val="28"/>
          <w:szCs w:val="28"/>
          <w:lang w:eastAsia="zh-CN"/>
        </w:rPr>
        <w:t>部门</w:t>
      </w:r>
      <w:r>
        <w:rPr>
          <w:rFonts w:hint="eastAsia" w:ascii="仿宋_GB2312" w:hAnsi="仿宋_GB2312" w:eastAsia="仿宋_GB2312" w:cs="仿宋_GB2312"/>
          <w:sz w:val="28"/>
          <w:szCs w:val="28"/>
        </w:rPr>
        <w:t>整体支出绩效</w:t>
      </w:r>
      <w:r>
        <w:rPr>
          <w:rFonts w:hint="eastAsia" w:ascii="仿宋_GB2312" w:hAnsi="仿宋_GB2312" w:eastAsia="仿宋_GB2312" w:cs="仿宋_GB2312"/>
          <w:sz w:val="28"/>
          <w:szCs w:val="28"/>
          <w:lang w:eastAsia="zh-CN"/>
        </w:rPr>
        <w:t>评价</w:t>
      </w:r>
      <w:r>
        <w:rPr>
          <w:rFonts w:hint="eastAsia" w:ascii="仿宋_GB2312" w:hAnsi="仿宋_GB2312" w:eastAsia="仿宋_GB2312" w:cs="仿宋_GB2312"/>
          <w:sz w:val="28"/>
          <w:szCs w:val="28"/>
        </w:rPr>
        <w:t>报告</w:t>
      </w:r>
    </w:p>
    <w:p w14:paraId="59956BD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lang w:val="en-US" w:eastAsia="zh-CN"/>
        </w:rPr>
        <w:t>2024年收到财政资金348.07万元，</w:t>
      </w:r>
      <w:r>
        <w:rPr>
          <w:rFonts w:hint="eastAsia" w:ascii="仿宋_GB2312" w:hAnsi="仿宋_GB2312" w:eastAsia="仿宋_GB2312" w:cs="仿宋_GB2312"/>
          <w:color w:val="auto"/>
          <w:sz w:val="32"/>
          <w:szCs w:val="32"/>
        </w:rPr>
        <w:t>主要用于农林水方</w:t>
      </w:r>
      <w:r>
        <w:rPr>
          <w:rFonts w:hint="eastAsia" w:ascii="仿宋_GB2312" w:hAnsi="仿宋_GB2312" w:eastAsia="仿宋_GB2312" w:cs="仿宋_GB2312"/>
          <w:color w:val="auto"/>
          <w:sz w:val="32"/>
          <w:szCs w:val="32"/>
          <w:lang w:eastAsia="zh-CN"/>
        </w:rPr>
        <w:t>面的支出。</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年全年实际支出</w:t>
      </w:r>
      <w:r>
        <w:rPr>
          <w:rFonts w:hint="eastAsia" w:ascii="仿宋_GB2312" w:hAnsi="仿宋_GB2312" w:eastAsia="仿宋_GB2312" w:cs="仿宋_GB2312"/>
          <w:color w:val="auto"/>
          <w:sz w:val="32"/>
          <w:szCs w:val="32"/>
          <w:lang w:val="en-US" w:eastAsia="zh-CN"/>
        </w:rPr>
        <w:t>348.07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239.24</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108.83万</w:t>
      </w:r>
      <w:r>
        <w:rPr>
          <w:rFonts w:hint="eastAsia" w:ascii="仿宋_GB2312" w:hAnsi="仿宋_GB2312" w:eastAsia="仿宋_GB2312" w:cs="仿宋_GB2312"/>
          <w:color w:val="auto"/>
          <w:sz w:val="32"/>
          <w:szCs w:val="32"/>
        </w:rPr>
        <w:t>元。</w:t>
      </w:r>
    </w:p>
    <w:p w14:paraId="0E5FD835">
      <w:pPr>
        <w:pStyle w:val="14"/>
        <w:numPr>
          <w:ilvl w:val="0"/>
          <w:numId w:val="0"/>
        </w:numPr>
        <w:spacing w:line="600" w:lineRule="exact"/>
        <w:ind w:firstLine="640" w:firstLineChars="200"/>
        <w:outlineLvl w:val="1"/>
        <w:rPr>
          <w:rFonts w:hint="eastAsia" w:ascii="仿宋_GB2312" w:hAnsi="仿宋_GB2312" w:eastAsia="仿宋_GB2312" w:cs="仿宋_GB2312"/>
          <w:color w:val="auto"/>
          <w:sz w:val="32"/>
          <w:szCs w:val="32"/>
          <w:lang w:val="en-US" w:eastAsia="zh-CN"/>
        </w:rPr>
      </w:pPr>
    </w:p>
    <w:p w14:paraId="75B44A4C">
      <w:pPr>
        <w:pStyle w:val="14"/>
        <w:jc w:val="center"/>
        <w:rPr>
          <w:rFonts w:ascii="Times New Roman" w:hAnsi="Times New Roman" w:cs="Times New Roman"/>
          <w:sz w:val="72"/>
          <w:szCs w:val="72"/>
        </w:rPr>
      </w:pPr>
    </w:p>
    <w:p w14:paraId="00EF1B61">
      <w:pPr>
        <w:pStyle w:val="14"/>
        <w:jc w:val="center"/>
        <w:rPr>
          <w:rFonts w:ascii="Times New Roman" w:hAnsi="Times New Roman" w:cs="Times New Roman"/>
          <w:sz w:val="72"/>
          <w:szCs w:val="72"/>
        </w:rPr>
      </w:pPr>
    </w:p>
    <w:p w14:paraId="4289AF04">
      <w:pPr>
        <w:pStyle w:val="14"/>
        <w:jc w:val="center"/>
        <w:rPr>
          <w:rFonts w:ascii="Times New Roman" w:hAnsi="Times New Roman" w:cs="Times New Roman"/>
          <w:sz w:val="72"/>
          <w:szCs w:val="72"/>
        </w:rPr>
      </w:pPr>
    </w:p>
    <w:p w14:paraId="41B82CC2">
      <w:pPr>
        <w:pStyle w:val="14"/>
        <w:jc w:val="center"/>
        <w:rPr>
          <w:rFonts w:ascii="Times New Roman" w:hAnsi="Times New Roman" w:cs="Times New Roman"/>
          <w:sz w:val="72"/>
          <w:szCs w:val="72"/>
        </w:rPr>
      </w:pPr>
    </w:p>
    <w:p w14:paraId="28BF623D">
      <w:pPr>
        <w:pStyle w:val="14"/>
        <w:jc w:val="center"/>
        <w:rPr>
          <w:rFonts w:ascii="Times New Roman" w:hAnsi="Times New Roman" w:cs="Times New Roman"/>
          <w:sz w:val="72"/>
          <w:szCs w:val="72"/>
        </w:rPr>
      </w:pPr>
    </w:p>
    <w:p w14:paraId="4F9B747D">
      <w:pPr>
        <w:pStyle w:val="14"/>
        <w:jc w:val="both"/>
        <w:rPr>
          <w:rFonts w:ascii="Times New Roman" w:hAnsi="Times New Roman" w:cs="Times New Roman"/>
          <w:sz w:val="72"/>
          <w:szCs w:val="72"/>
        </w:rPr>
      </w:pPr>
    </w:p>
    <w:p w14:paraId="22E3E9FE">
      <w:pPr>
        <w:pStyle w:val="14"/>
        <w:jc w:val="both"/>
        <w:rPr>
          <w:rFonts w:ascii="Times New Roman" w:hAnsi="Times New Roman" w:cs="Times New Roman"/>
          <w:sz w:val="72"/>
          <w:szCs w:val="72"/>
        </w:rPr>
      </w:pPr>
    </w:p>
    <w:p w14:paraId="2A878BA3">
      <w:pPr>
        <w:pStyle w:val="14"/>
        <w:spacing w:line="360" w:lineRule="auto"/>
        <w:jc w:val="center"/>
        <w:rPr>
          <w:rFonts w:ascii="Times New Roman" w:hAnsi="Times New Roman" w:eastAsia="方正小标宋_GBK" w:cs="Times New Roman"/>
          <w:sz w:val="52"/>
          <w:szCs w:val="52"/>
        </w:rPr>
      </w:pPr>
    </w:p>
    <w:p w14:paraId="4B143BD4">
      <w:pPr>
        <w:pStyle w:val="14"/>
        <w:spacing w:line="360" w:lineRule="auto"/>
        <w:jc w:val="center"/>
        <w:rPr>
          <w:rFonts w:ascii="Times New Roman" w:hAnsi="Times New Roman" w:eastAsia="方正小标宋_GBK" w:cs="Times New Roman"/>
          <w:sz w:val="52"/>
          <w:szCs w:val="52"/>
        </w:rPr>
      </w:pPr>
    </w:p>
    <w:p w14:paraId="3768B148">
      <w:pPr>
        <w:pStyle w:val="14"/>
        <w:spacing w:line="360" w:lineRule="auto"/>
        <w:jc w:val="center"/>
        <w:rPr>
          <w:rFonts w:ascii="Times New Roman" w:hAnsi="Times New Roman" w:eastAsia="方正小标宋_GBK" w:cs="Times New Roman"/>
          <w:sz w:val="52"/>
          <w:szCs w:val="52"/>
        </w:rPr>
      </w:pPr>
    </w:p>
    <w:p w14:paraId="3F029F51">
      <w:pPr>
        <w:pStyle w:val="14"/>
        <w:spacing w:line="360" w:lineRule="auto"/>
        <w:jc w:val="center"/>
        <w:rPr>
          <w:rFonts w:ascii="Times New Roman" w:hAnsi="Times New Roman" w:eastAsia="方正小标宋_GBK" w:cs="Times New Roman"/>
          <w:sz w:val="52"/>
          <w:szCs w:val="52"/>
        </w:rPr>
      </w:pPr>
    </w:p>
    <w:p w14:paraId="33AF903D">
      <w:pPr>
        <w:pStyle w:val="14"/>
        <w:spacing w:line="360" w:lineRule="auto"/>
        <w:jc w:val="center"/>
        <w:rPr>
          <w:rFonts w:ascii="Times New Roman" w:hAnsi="Times New Roman" w:eastAsia="方正小标宋_GBK" w:cs="Times New Roman"/>
          <w:sz w:val="52"/>
          <w:szCs w:val="52"/>
        </w:rPr>
      </w:pPr>
    </w:p>
    <w:p w14:paraId="6912240B">
      <w:pPr>
        <w:pStyle w:val="14"/>
        <w:spacing w:line="360" w:lineRule="auto"/>
        <w:jc w:val="center"/>
        <w:rPr>
          <w:rFonts w:ascii="Times New Roman" w:hAnsi="Times New Roman" w:eastAsia="方正小标宋_GBK" w:cs="Times New Roman"/>
          <w:sz w:val="52"/>
          <w:szCs w:val="52"/>
        </w:rPr>
      </w:pPr>
    </w:p>
    <w:p w14:paraId="0E69A7E2">
      <w:pPr>
        <w:pStyle w:val="14"/>
        <w:spacing w:line="360" w:lineRule="auto"/>
        <w:jc w:val="center"/>
        <w:rPr>
          <w:rFonts w:ascii="Times New Roman" w:hAnsi="Times New Roman" w:eastAsia="方正小标宋_GBK" w:cs="Times New Roman"/>
          <w:sz w:val="52"/>
          <w:szCs w:val="52"/>
        </w:rPr>
      </w:pPr>
    </w:p>
    <w:p w14:paraId="2C11C113">
      <w:pPr>
        <w:pStyle w:val="14"/>
        <w:spacing w:line="360" w:lineRule="auto"/>
        <w:jc w:val="center"/>
        <w:rPr>
          <w:rFonts w:ascii="Times New Roman" w:hAnsi="Times New Roman" w:eastAsia="方正小标宋_GBK" w:cs="Times New Roman"/>
          <w:sz w:val="52"/>
          <w:szCs w:val="52"/>
        </w:rPr>
      </w:pPr>
    </w:p>
    <w:p w14:paraId="7C5A058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9FC75C0">
      <w:pPr>
        <w:widowControl/>
        <w:jc w:val="left"/>
        <w:rPr>
          <w:rFonts w:ascii="Times New Roman" w:hAnsi="Times New Roman" w:cs="Times New Roman"/>
          <w:color w:val="000000"/>
          <w:kern w:val="0"/>
          <w:sz w:val="32"/>
          <w:szCs w:val="32"/>
        </w:rPr>
      </w:pPr>
    </w:p>
    <w:p w14:paraId="262846CA">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26C2D88">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2AEE00E">
      <w:pPr>
        <w:ind w:firstLine="640" w:firstLineChars="200"/>
        <w:jc w:val="left"/>
        <w:rPr>
          <w:rFonts w:hint="eastAsia"/>
        </w:rPr>
      </w:pPr>
      <w:r>
        <w:rPr>
          <w:rFonts w:hint="eastAsia" w:ascii="宋体" w:hAnsi="宋体" w:cs="黑体"/>
          <w:color w:val="000000"/>
          <w:kern w:val="0"/>
          <w:sz w:val="32"/>
          <w:szCs w:val="32"/>
        </w:rPr>
        <w:t>……</w:t>
      </w:r>
    </w:p>
    <w:p w14:paraId="121FD4FB">
      <w:pPr>
        <w:pStyle w:val="14"/>
        <w:jc w:val="center"/>
        <w:rPr>
          <w:rFonts w:ascii="Times New Roman" w:hAnsi="Times New Roman" w:cs="Times New Roman"/>
          <w:sz w:val="72"/>
          <w:szCs w:val="72"/>
        </w:rPr>
      </w:pPr>
    </w:p>
    <w:p w14:paraId="0D9B91D5">
      <w:pPr>
        <w:pStyle w:val="14"/>
        <w:jc w:val="center"/>
        <w:rPr>
          <w:rFonts w:ascii="Times New Roman" w:hAnsi="Times New Roman" w:cs="Times New Roman"/>
          <w:sz w:val="72"/>
          <w:szCs w:val="72"/>
        </w:rPr>
      </w:pPr>
    </w:p>
    <w:p w14:paraId="7E749E7D">
      <w:pPr>
        <w:pStyle w:val="14"/>
        <w:jc w:val="center"/>
        <w:rPr>
          <w:rFonts w:ascii="Times New Roman" w:hAnsi="Times New Roman" w:cs="Times New Roman"/>
          <w:sz w:val="72"/>
          <w:szCs w:val="72"/>
        </w:rPr>
      </w:pPr>
    </w:p>
    <w:p w14:paraId="2635C751">
      <w:pPr>
        <w:pStyle w:val="14"/>
        <w:jc w:val="both"/>
        <w:rPr>
          <w:rFonts w:ascii="Times New Roman" w:hAnsi="Times New Roman" w:cs="Times New Roman"/>
          <w:sz w:val="72"/>
          <w:szCs w:val="72"/>
        </w:rPr>
      </w:pPr>
    </w:p>
    <w:p w14:paraId="625A13DB">
      <w:pPr>
        <w:pStyle w:val="14"/>
        <w:jc w:val="both"/>
        <w:rPr>
          <w:rFonts w:ascii="Times New Roman" w:hAnsi="Times New Roman" w:cs="Times New Roman"/>
          <w:sz w:val="72"/>
          <w:szCs w:val="72"/>
        </w:rPr>
      </w:pPr>
    </w:p>
    <w:p w14:paraId="1129EB5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43E8FB3">
      <w:pPr>
        <w:rPr>
          <w:rFonts w:ascii="Times New Roman" w:hAnsi="Times New Roman" w:cs="Times New Roman"/>
          <w:sz w:val="72"/>
          <w:szCs w:val="72"/>
        </w:rPr>
      </w:pPr>
    </w:p>
    <w:p w14:paraId="587B1170">
      <w:pPr>
        <w:pStyle w:val="14"/>
        <w:spacing w:line="600" w:lineRule="exact"/>
        <w:ind w:firstLine="360" w:firstLineChars="100"/>
        <w:rPr>
          <w:rFonts w:hint="eastAsia" w:ascii="微软雅黑" w:hAnsi="微软雅黑" w:eastAsia="微软雅黑" w:cs="微软雅黑"/>
          <w:sz w:val="36"/>
          <w:szCs w:val="36"/>
        </w:rPr>
      </w:pPr>
      <w:r>
        <w:rPr>
          <w:rFonts w:hint="eastAsia" w:ascii="微软雅黑" w:hAnsi="微软雅黑" w:eastAsia="微软雅黑" w:cs="微软雅黑"/>
          <w:sz w:val="36"/>
          <w:szCs w:val="36"/>
          <w:lang w:eastAsia="zh-CN"/>
        </w:rPr>
        <w:t>蓝山县农经站</w:t>
      </w:r>
      <w:r>
        <w:rPr>
          <w:rFonts w:hint="eastAsia" w:ascii="微软雅黑" w:hAnsi="微软雅黑" w:eastAsia="微软雅黑" w:cs="微软雅黑"/>
          <w:sz w:val="36"/>
          <w:szCs w:val="36"/>
        </w:rPr>
        <w:t>2024年度</w:t>
      </w:r>
      <w:r>
        <w:rPr>
          <w:rFonts w:hint="eastAsia" w:ascii="微软雅黑" w:hAnsi="微软雅黑" w:eastAsia="微软雅黑" w:cs="微软雅黑"/>
          <w:sz w:val="36"/>
          <w:szCs w:val="36"/>
          <w:lang w:eastAsia="zh-CN"/>
        </w:rPr>
        <w:t>部门</w:t>
      </w:r>
      <w:r>
        <w:rPr>
          <w:rFonts w:hint="eastAsia" w:ascii="微软雅黑" w:hAnsi="微软雅黑" w:eastAsia="微软雅黑" w:cs="微软雅黑"/>
          <w:sz w:val="36"/>
          <w:szCs w:val="36"/>
        </w:rPr>
        <w:t>整体支出绩效</w:t>
      </w:r>
      <w:r>
        <w:rPr>
          <w:rFonts w:hint="eastAsia" w:ascii="微软雅黑" w:hAnsi="微软雅黑" w:eastAsia="微软雅黑" w:cs="微软雅黑"/>
          <w:sz w:val="36"/>
          <w:szCs w:val="36"/>
          <w:lang w:eastAsia="zh-CN"/>
        </w:rPr>
        <w:t>评价</w:t>
      </w:r>
      <w:r>
        <w:rPr>
          <w:rFonts w:hint="eastAsia" w:ascii="微软雅黑" w:hAnsi="微软雅黑" w:eastAsia="微软雅黑" w:cs="微软雅黑"/>
          <w:sz w:val="36"/>
          <w:szCs w:val="36"/>
        </w:rPr>
        <w:t>报告</w:t>
      </w:r>
    </w:p>
    <w:p w14:paraId="569747E9">
      <w:pPr>
        <w:pStyle w:val="14"/>
        <w:rPr>
          <w:rFonts w:ascii="Times New Roman" w:hAnsi="Times New Roman" w:eastAsia="仿宋_GB2312" w:cs="Times New Roman"/>
          <w:sz w:val="32"/>
          <w:szCs w:val="32"/>
        </w:rPr>
      </w:pPr>
    </w:p>
    <w:p w14:paraId="1FF1F35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w:t>
      </w:r>
      <w:r>
        <w:rPr>
          <w:rFonts w:hint="eastAsia" w:ascii="微软雅黑" w:hAnsi="微软雅黑" w:eastAsia="微软雅黑" w:cs="微软雅黑"/>
          <w:sz w:val="24"/>
          <w:szCs w:val="24"/>
          <w:lang w:eastAsia="zh-CN"/>
        </w:rPr>
        <w:t>蓝山县财政局关于开展202</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年度财政支出绩效自评工作的通知</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蓝</w:t>
      </w:r>
      <w:r>
        <w:rPr>
          <w:rFonts w:hint="eastAsia" w:ascii="微软雅黑" w:hAnsi="微软雅黑" w:eastAsia="微软雅黑" w:cs="微软雅黑"/>
          <w:sz w:val="24"/>
          <w:szCs w:val="24"/>
        </w:rPr>
        <w:t>财绩[20</w:t>
      </w:r>
      <w:r>
        <w:rPr>
          <w:rFonts w:hint="eastAsia" w:ascii="微软雅黑" w:hAnsi="微软雅黑" w:eastAsia="微软雅黑" w:cs="微软雅黑"/>
          <w:sz w:val="24"/>
          <w:szCs w:val="24"/>
          <w:lang w:val="en-US" w:eastAsia="zh-CN"/>
        </w:rPr>
        <w:t>25</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号）等文件精神，我</w:t>
      </w:r>
      <w:r>
        <w:rPr>
          <w:rFonts w:hint="eastAsia" w:ascii="微软雅黑" w:hAnsi="微软雅黑" w:eastAsia="微软雅黑" w:cs="微软雅黑"/>
          <w:sz w:val="24"/>
          <w:szCs w:val="24"/>
          <w:lang w:eastAsia="zh-CN"/>
        </w:rPr>
        <w:t>单位</w:t>
      </w:r>
      <w:r>
        <w:rPr>
          <w:rFonts w:hint="eastAsia" w:ascii="微软雅黑" w:hAnsi="微软雅黑" w:eastAsia="微软雅黑" w:cs="微软雅黑"/>
          <w:sz w:val="24"/>
          <w:szCs w:val="24"/>
        </w:rPr>
        <w:t>对20</w:t>
      </w:r>
      <w:r>
        <w:rPr>
          <w:rFonts w:hint="eastAsia" w:ascii="微软雅黑" w:hAnsi="微软雅黑" w:eastAsia="微软雅黑" w:cs="微软雅黑"/>
          <w:sz w:val="24"/>
          <w:szCs w:val="24"/>
          <w:lang w:val="en-US" w:eastAsia="zh-CN"/>
        </w:rPr>
        <w:t>24</w:t>
      </w:r>
      <w:r>
        <w:rPr>
          <w:rFonts w:hint="eastAsia" w:ascii="微软雅黑" w:hAnsi="微软雅黑" w:eastAsia="微软雅黑" w:cs="微软雅黑"/>
          <w:sz w:val="24"/>
          <w:szCs w:val="24"/>
        </w:rPr>
        <w:t>年度部门整体支出绩效进行了全面综合评价。</w:t>
      </w:r>
      <w:r>
        <w:rPr>
          <w:rFonts w:hint="eastAsia" w:ascii="微软雅黑" w:hAnsi="微软雅黑" w:eastAsia="微软雅黑" w:cs="微软雅黑"/>
          <w:sz w:val="24"/>
          <w:szCs w:val="24"/>
          <w:lang w:val="en-US" w:eastAsia="zh-CN"/>
        </w:rPr>
        <w:t>2024</w:t>
      </w:r>
      <w:r>
        <w:rPr>
          <w:rFonts w:hint="eastAsia" w:ascii="微软雅黑" w:hAnsi="微软雅黑" w:eastAsia="微软雅黑" w:cs="微软雅黑"/>
          <w:sz w:val="24"/>
          <w:szCs w:val="24"/>
        </w:rPr>
        <w:t>年度我</w:t>
      </w:r>
      <w:r>
        <w:rPr>
          <w:rFonts w:hint="eastAsia" w:ascii="微软雅黑" w:hAnsi="微软雅黑" w:eastAsia="微软雅黑" w:cs="微软雅黑"/>
          <w:sz w:val="24"/>
          <w:szCs w:val="24"/>
          <w:lang w:eastAsia="zh-CN"/>
        </w:rPr>
        <w:t>单位</w:t>
      </w:r>
      <w:r>
        <w:rPr>
          <w:rFonts w:hint="eastAsia" w:ascii="微软雅黑" w:hAnsi="微软雅黑" w:eastAsia="微软雅黑" w:cs="微软雅黑"/>
          <w:sz w:val="24"/>
          <w:szCs w:val="24"/>
        </w:rPr>
        <w:t>部门整体支出绩效自评</w:t>
      </w:r>
      <w:r>
        <w:rPr>
          <w:rFonts w:hint="eastAsia" w:ascii="微软雅黑" w:hAnsi="微软雅黑" w:eastAsia="微软雅黑" w:cs="微软雅黑"/>
          <w:sz w:val="24"/>
          <w:szCs w:val="24"/>
          <w:lang w:eastAsia="zh-CN"/>
        </w:rPr>
        <w:t>为较好。</w:t>
      </w:r>
      <w:r>
        <w:rPr>
          <w:rFonts w:hint="eastAsia" w:ascii="微软雅黑" w:hAnsi="微软雅黑" w:eastAsia="微软雅黑" w:cs="微软雅黑"/>
          <w:sz w:val="24"/>
          <w:szCs w:val="24"/>
        </w:rPr>
        <w:t>现将有关情况报告如下：</w:t>
      </w:r>
    </w:p>
    <w:p w14:paraId="0F4141BC">
      <w:pPr>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一、部门（单位）概况</w:t>
      </w:r>
    </w:p>
    <w:p w14:paraId="008B40C3">
      <w:pPr>
        <w:ind w:firstLine="480" w:firstLineChars="200"/>
        <w:outlineLvl w:val="1"/>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（一）单位基本情况</w:t>
      </w:r>
    </w:p>
    <w:p w14:paraId="0DE4B10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关于蓝山县边贸开发管委会（机关）等27个事业单位参照公务员法管理的通知》（永实办发[2010]9号）、《关于蓝山县农村经营管理局更名及有关职责和机构编制调整的通知》（蓝编办发[2016]33号）、《关于全县有关事业编制调整的通知》（蓝编发[2019]3号）等文件精神，本单位</w:t>
      </w:r>
      <w:r>
        <w:rPr>
          <w:rFonts w:hint="eastAsia" w:ascii="微软雅黑" w:hAnsi="微软雅黑" w:eastAsia="微软雅黑" w:cs="微软雅黑"/>
          <w:sz w:val="24"/>
          <w:szCs w:val="24"/>
          <w:lang w:eastAsia="zh-CN"/>
        </w:rPr>
        <w:t>归口</w:t>
      </w:r>
      <w:r>
        <w:rPr>
          <w:rFonts w:hint="eastAsia" w:ascii="微软雅黑" w:hAnsi="微软雅黑" w:eastAsia="微软雅黑" w:cs="微软雅黑"/>
          <w:sz w:val="24"/>
          <w:szCs w:val="24"/>
        </w:rPr>
        <w:t>蓝山县农业农村局</w:t>
      </w:r>
      <w:r>
        <w:rPr>
          <w:rFonts w:hint="eastAsia" w:ascii="微软雅黑" w:hAnsi="微软雅黑" w:eastAsia="微软雅黑" w:cs="微软雅黑"/>
          <w:sz w:val="24"/>
          <w:szCs w:val="24"/>
          <w:lang w:eastAsia="zh-CN"/>
        </w:rPr>
        <w:t>二级机构</w:t>
      </w:r>
      <w:r>
        <w:rPr>
          <w:rFonts w:hint="eastAsia" w:ascii="微软雅黑" w:hAnsi="微软雅黑" w:eastAsia="微软雅黑" w:cs="微软雅黑"/>
          <w:sz w:val="24"/>
          <w:szCs w:val="24"/>
        </w:rPr>
        <w:t>（加挂</w:t>
      </w:r>
      <w:r>
        <w:rPr>
          <w:rFonts w:hint="eastAsia" w:ascii="微软雅黑" w:hAnsi="微软雅黑" w:eastAsia="微软雅黑" w:cs="微软雅黑"/>
          <w:sz w:val="24"/>
          <w:szCs w:val="24"/>
          <w:lang w:eastAsia="zh-CN"/>
        </w:rPr>
        <w:t>蓝山</w:t>
      </w:r>
      <w:r>
        <w:rPr>
          <w:rFonts w:hint="eastAsia" w:ascii="微软雅黑" w:hAnsi="微软雅黑" w:eastAsia="微软雅黑" w:cs="微软雅黑"/>
          <w:sz w:val="24"/>
          <w:szCs w:val="24"/>
        </w:rPr>
        <w:t>县</w:t>
      </w:r>
      <w:r>
        <w:rPr>
          <w:rFonts w:hint="eastAsia" w:ascii="微软雅黑" w:hAnsi="微软雅黑" w:eastAsia="微软雅黑" w:cs="微软雅黑"/>
          <w:sz w:val="24"/>
          <w:szCs w:val="24"/>
          <w:lang w:eastAsia="zh-CN"/>
        </w:rPr>
        <w:t>农民权益维护和</w:t>
      </w:r>
      <w:r>
        <w:rPr>
          <w:rFonts w:hint="eastAsia" w:ascii="微软雅黑" w:hAnsi="微软雅黑" w:eastAsia="微软雅黑" w:cs="微软雅黑"/>
          <w:sz w:val="24"/>
          <w:szCs w:val="24"/>
        </w:rPr>
        <w:t>农民负担</w:t>
      </w:r>
      <w:r>
        <w:rPr>
          <w:rFonts w:hint="eastAsia" w:ascii="微软雅黑" w:hAnsi="微软雅黑" w:eastAsia="微软雅黑" w:cs="微软雅黑"/>
          <w:sz w:val="24"/>
          <w:szCs w:val="24"/>
          <w:lang w:eastAsia="zh-CN"/>
        </w:rPr>
        <w:t>监管工作</w:t>
      </w:r>
      <w:r>
        <w:rPr>
          <w:rFonts w:hint="eastAsia" w:ascii="微软雅黑" w:hAnsi="微软雅黑" w:eastAsia="微软雅黑" w:cs="微软雅黑"/>
          <w:sz w:val="24"/>
          <w:szCs w:val="24"/>
        </w:rPr>
        <w:t>领导小组办公室牌子），属县财政全额拨款、实行参照公务员管理的公益一类副科级事业单位，事业编制20人，年末实有在职人员</w:t>
      </w:r>
      <w:r>
        <w:rPr>
          <w:rFonts w:hint="eastAsia" w:ascii="微软雅黑" w:hAnsi="微软雅黑" w:eastAsia="微软雅黑" w:cs="微软雅黑"/>
          <w:sz w:val="24"/>
          <w:szCs w:val="24"/>
          <w:lang w:val="en-US" w:eastAsia="zh-CN"/>
        </w:rPr>
        <w:t>16</w:t>
      </w:r>
      <w:r>
        <w:rPr>
          <w:rFonts w:hint="eastAsia" w:ascii="微软雅黑" w:hAnsi="微软雅黑" w:eastAsia="微软雅黑" w:cs="微软雅黑"/>
          <w:sz w:val="24"/>
          <w:szCs w:val="24"/>
        </w:rPr>
        <w:t>人，</w:t>
      </w:r>
      <w:r>
        <w:rPr>
          <w:rFonts w:hint="eastAsia" w:ascii="微软雅黑" w:hAnsi="微软雅黑" w:eastAsia="微软雅黑" w:cs="微软雅黑"/>
          <w:sz w:val="24"/>
          <w:szCs w:val="24"/>
          <w:lang w:eastAsia="zh-CN"/>
        </w:rPr>
        <w:t>见习人员</w:t>
      </w:r>
      <w:r>
        <w:rPr>
          <w:rFonts w:hint="eastAsia" w:ascii="微软雅黑" w:hAnsi="微软雅黑" w:eastAsia="微软雅黑" w:cs="微软雅黑"/>
          <w:sz w:val="24"/>
          <w:szCs w:val="24"/>
          <w:lang w:val="en-US" w:eastAsia="zh-CN"/>
        </w:rPr>
        <w:t>1人，</w:t>
      </w:r>
      <w:r>
        <w:rPr>
          <w:rFonts w:hint="eastAsia" w:ascii="微软雅黑" w:hAnsi="微软雅黑" w:eastAsia="微软雅黑" w:cs="微软雅黑"/>
          <w:sz w:val="24"/>
          <w:szCs w:val="24"/>
        </w:rPr>
        <w:t>退休人员</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人，执行事业单位会计核算制度。</w:t>
      </w:r>
    </w:p>
    <w:p w14:paraId="24FCACCA">
      <w:pPr>
        <w:ind w:firstLine="480" w:firstLineChars="200"/>
        <w:outlineLvl w:val="1"/>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（二）机构设置</w:t>
      </w:r>
    </w:p>
    <w:p w14:paraId="1053701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本单位内设3个股室，分别为：综合办公室、农民负担监督管理办公室、农村产权交易管理办公室。</w:t>
      </w:r>
    </w:p>
    <w:p w14:paraId="313CDD05">
      <w:pPr>
        <w:ind w:firstLine="480" w:firstLineChars="200"/>
        <w:outlineLvl w:val="1"/>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（三）单位主要职责</w:t>
      </w:r>
    </w:p>
    <w:p w14:paraId="59B96DC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提出稳定和完善农村基本经营制度的政策建议。</w:t>
      </w:r>
    </w:p>
    <w:p w14:paraId="47A8EDD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提出指导、扶持农民专业合作组织建设与发展的政策措施，开展相关服务和监督。</w:t>
      </w:r>
    </w:p>
    <w:p w14:paraId="230E6282">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受县农业农村局的委托，实施对村级集体经济发展和农村集体经济组织建设、资产财务的监督管理和审计。</w:t>
      </w:r>
    </w:p>
    <w:p w14:paraId="6A4B820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宣传贯彻党和国家减轻农民负担的法律法规和政策；受县农业农村局委托，承担减轻农民负担示范、监测、管理工作，协助涉及农民负担的重大案（事）件查处和信访处理。</w:t>
      </w:r>
    </w:p>
    <w:p w14:paraId="09CB736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组织开展农村经济收支、农民收入、农民合作社与农村集体经济组织运行情况的监测、统计和调查；拟定农经统计信息体系建设规划并组织实施。</w:t>
      </w:r>
    </w:p>
    <w:p w14:paraId="029E7C64">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受县农业农村局委托，承担农村产权制度改革、农村土地承包管理。</w:t>
      </w:r>
    </w:p>
    <w:p w14:paraId="0FB436DB">
      <w:pPr>
        <w:ind w:firstLine="480" w:firstLineChars="200"/>
        <w:outlineLvl w:val="1"/>
        <w:rPr>
          <w:rFonts w:hint="eastAsia" w:ascii="微软雅黑" w:hAnsi="微软雅黑" w:eastAsia="微软雅黑" w:cs="微软雅黑"/>
          <w:sz w:val="24"/>
          <w:szCs w:val="24"/>
        </w:rPr>
      </w:pPr>
      <w:r>
        <w:rPr>
          <w:rFonts w:hint="eastAsia" w:ascii="微软雅黑" w:hAnsi="微软雅黑" w:eastAsia="微软雅黑" w:cs="微软雅黑"/>
          <w:sz w:val="24"/>
          <w:szCs w:val="24"/>
        </w:rPr>
        <w:t>（四）主要工作及成效</w:t>
      </w:r>
    </w:p>
    <w:p w14:paraId="6D9A3A59">
      <w:pPr>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主要成效：</w:t>
      </w:r>
    </w:p>
    <w:p w14:paraId="11688E7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1.有序推进第二轮土地承包到期后再延长30年试点工作。</w:t>
      </w:r>
      <w:r>
        <w:rPr>
          <w:rFonts w:hint="eastAsia" w:ascii="微软雅黑" w:hAnsi="微软雅黑" w:eastAsia="微软雅黑" w:cs="微软雅黑"/>
          <w:b w:val="0"/>
          <w:bCs w:val="0"/>
          <w:color w:val="auto"/>
          <w:sz w:val="24"/>
          <w:szCs w:val="24"/>
          <w:lang w:val="en-US" w:eastAsia="zh-CN"/>
        </w:rPr>
        <w:t>县乡村建立了工作机制、制定了工作实施方案、召开了动员培训会议，完成了二轮延包技术服务项目采购，至2025年1月15日已完成摸底调查农户比率96%，预计明年3月底前可以提交延包数据汇交至农业农村部。</w:t>
      </w:r>
    </w:p>
    <w:p w14:paraId="4B6CFB6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2.建立了土地流转行政审批工作制度。</w:t>
      </w:r>
      <w:r>
        <w:rPr>
          <w:rFonts w:hint="eastAsia" w:ascii="微软雅黑" w:hAnsi="微软雅黑" w:eastAsia="微软雅黑" w:cs="微软雅黑"/>
          <w:b w:val="0"/>
          <w:bCs w:val="0"/>
          <w:color w:val="auto"/>
          <w:sz w:val="24"/>
          <w:szCs w:val="24"/>
          <w:lang w:val="en-US" w:eastAsia="zh-CN"/>
        </w:rPr>
        <w:t>对工商企业等社会资本流转土地进行监管，全县已备案流转合同份数</w:t>
      </w:r>
      <w:r>
        <w:rPr>
          <w:rFonts w:hint="eastAsia" w:ascii="微软雅黑" w:hAnsi="微软雅黑" w:eastAsia="微软雅黑" w:cs="微软雅黑"/>
          <w:b w:val="0"/>
          <w:bCs w:val="0"/>
          <w:color w:val="auto"/>
          <w:sz w:val="24"/>
          <w:szCs w:val="24"/>
          <w:u w:val="single"/>
          <w:lang w:val="en-US" w:eastAsia="zh-CN"/>
        </w:rPr>
        <w:t>899</w:t>
      </w:r>
      <w:r>
        <w:rPr>
          <w:rFonts w:hint="eastAsia" w:ascii="微软雅黑" w:hAnsi="微软雅黑" w:eastAsia="微软雅黑" w:cs="微软雅黑"/>
          <w:b w:val="0"/>
          <w:bCs w:val="0"/>
          <w:color w:val="auto"/>
          <w:sz w:val="24"/>
          <w:szCs w:val="24"/>
          <w:lang w:val="en-US" w:eastAsia="zh-CN"/>
        </w:rPr>
        <w:t>份，备案流转面积</w:t>
      </w:r>
      <w:r>
        <w:rPr>
          <w:rFonts w:hint="eastAsia" w:ascii="微软雅黑" w:hAnsi="微软雅黑" w:eastAsia="微软雅黑" w:cs="微软雅黑"/>
          <w:b w:val="0"/>
          <w:bCs w:val="0"/>
          <w:color w:val="auto"/>
          <w:sz w:val="24"/>
          <w:szCs w:val="24"/>
          <w:u w:val="single"/>
          <w:lang w:val="en-US" w:eastAsia="zh-CN"/>
        </w:rPr>
        <w:t>6.92</w:t>
      </w:r>
      <w:r>
        <w:rPr>
          <w:rFonts w:hint="eastAsia" w:ascii="微软雅黑" w:hAnsi="微软雅黑" w:eastAsia="微软雅黑" w:cs="微软雅黑"/>
          <w:b w:val="0"/>
          <w:bCs w:val="0"/>
          <w:color w:val="auto"/>
          <w:sz w:val="24"/>
          <w:szCs w:val="24"/>
          <w:lang w:val="en-US" w:eastAsia="zh-CN"/>
        </w:rPr>
        <w:t>万亩，排全市前列。</w:t>
      </w:r>
    </w:p>
    <w:p w14:paraId="4341F2C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3.完成了农业社会化服务任务。</w:t>
      </w:r>
      <w:r>
        <w:rPr>
          <w:rFonts w:hint="eastAsia" w:ascii="微软雅黑" w:hAnsi="微软雅黑" w:eastAsia="微软雅黑" w:cs="微软雅黑"/>
          <w:b w:val="0"/>
          <w:bCs w:val="0"/>
          <w:color w:val="auto"/>
          <w:sz w:val="24"/>
          <w:szCs w:val="24"/>
          <w:lang w:val="en-US" w:eastAsia="zh-CN"/>
        </w:rPr>
        <w:t>全县共完成集中育秧、机插机抛、飞防和烘干等社会化服务大田面积</w:t>
      </w:r>
      <w:r>
        <w:rPr>
          <w:rFonts w:hint="eastAsia" w:ascii="微软雅黑" w:hAnsi="微软雅黑" w:eastAsia="微软雅黑" w:cs="微软雅黑"/>
          <w:b w:val="0"/>
          <w:bCs w:val="0"/>
          <w:color w:val="auto"/>
          <w:sz w:val="24"/>
          <w:szCs w:val="24"/>
          <w:u w:val="single"/>
          <w:lang w:val="en-US" w:eastAsia="zh-CN"/>
        </w:rPr>
        <w:t xml:space="preserve">124689.52 </w:t>
      </w:r>
      <w:r>
        <w:rPr>
          <w:rFonts w:hint="eastAsia" w:ascii="微软雅黑" w:hAnsi="微软雅黑" w:eastAsia="微软雅黑" w:cs="微软雅黑"/>
          <w:b w:val="0"/>
          <w:bCs w:val="0"/>
          <w:color w:val="auto"/>
          <w:sz w:val="24"/>
          <w:szCs w:val="24"/>
          <w:lang w:val="en-US" w:eastAsia="zh-CN"/>
        </w:rPr>
        <w:t>亩(折算成标准面积</w:t>
      </w:r>
      <w:r>
        <w:rPr>
          <w:rFonts w:hint="eastAsia" w:ascii="微软雅黑" w:hAnsi="微软雅黑" w:eastAsia="微软雅黑" w:cs="微软雅黑"/>
          <w:b w:val="0"/>
          <w:bCs w:val="0"/>
          <w:color w:val="auto"/>
          <w:sz w:val="24"/>
          <w:szCs w:val="24"/>
          <w:u w:val="single"/>
          <w:lang w:val="en-US" w:eastAsia="zh-CN"/>
        </w:rPr>
        <w:t xml:space="preserve">31368.33 </w:t>
      </w:r>
      <w:r>
        <w:rPr>
          <w:rFonts w:hint="eastAsia" w:ascii="微软雅黑" w:hAnsi="微软雅黑" w:eastAsia="微软雅黑" w:cs="微软雅黑"/>
          <w:b w:val="0"/>
          <w:bCs w:val="0"/>
          <w:color w:val="auto"/>
          <w:sz w:val="24"/>
          <w:szCs w:val="24"/>
          <w:lang w:val="en-US" w:eastAsia="zh-CN"/>
        </w:rPr>
        <w:t>亩)，完成率为</w:t>
      </w:r>
      <w:r>
        <w:rPr>
          <w:rFonts w:hint="eastAsia" w:ascii="微软雅黑" w:hAnsi="微软雅黑" w:eastAsia="微软雅黑" w:cs="微软雅黑"/>
          <w:b w:val="0"/>
          <w:bCs w:val="0"/>
          <w:color w:val="auto"/>
          <w:sz w:val="24"/>
          <w:szCs w:val="24"/>
          <w:u w:val="single"/>
          <w:lang w:val="en-US" w:eastAsia="zh-CN"/>
        </w:rPr>
        <w:t>112.43%</w:t>
      </w:r>
      <w:r>
        <w:rPr>
          <w:rFonts w:hint="eastAsia" w:ascii="微软雅黑" w:hAnsi="微软雅黑" w:eastAsia="微软雅黑" w:cs="微软雅黑"/>
          <w:b w:val="0"/>
          <w:bCs w:val="0"/>
          <w:color w:val="auto"/>
          <w:sz w:val="24"/>
          <w:szCs w:val="24"/>
          <w:lang w:val="en-US" w:eastAsia="zh-CN"/>
        </w:rPr>
        <w:t>，拨付补助资金233.27万元。</w:t>
      </w:r>
    </w:p>
    <w:p w14:paraId="7989F00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4.完成了粮安考核和土地承包仲裁考评任务。</w:t>
      </w:r>
      <w:r>
        <w:rPr>
          <w:rFonts w:hint="eastAsia" w:ascii="微软雅黑" w:hAnsi="微软雅黑" w:eastAsia="微软雅黑" w:cs="微软雅黑"/>
          <w:b w:val="0"/>
          <w:bCs w:val="0"/>
          <w:color w:val="auto"/>
          <w:sz w:val="24"/>
          <w:szCs w:val="24"/>
          <w:lang w:val="en-US" w:eastAsia="zh-CN"/>
        </w:rPr>
        <w:t>家庭农场“一码通”赋码完成总量和赋码率排名全市前列；分别建立了家庭农场、合作社和农业社会化服务主体名录库；完成了2024年中央农业经营主体能力提升资金补助项目7个。我县土地承包仲裁委员会成功仲裁了土市镇埠头村1宗承包地权属纠纷案件。</w:t>
      </w:r>
    </w:p>
    <w:p w14:paraId="1A12FB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5.农村集体“三资”专项整治成效明显。</w:t>
      </w:r>
      <w:r>
        <w:rPr>
          <w:rFonts w:hint="eastAsia" w:ascii="微软雅黑" w:hAnsi="微软雅黑" w:eastAsia="微软雅黑" w:cs="微软雅黑"/>
          <w:b w:val="0"/>
          <w:bCs w:val="0"/>
          <w:color w:val="auto"/>
          <w:sz w:val="24"/>
          <w:szCs w:val="24"/>
          <w:lang w:val="en-US" w:eastAsia="zh-CN"/>
        </w:rPr>
        <w:t>全县共排查问题</w:t>
      </w:r>
      <w:r>
        <w:rPr>
          <w:rFonts w:hint="eastAsia" w:ascii="微软雅黑" w:hAnsi="微软雅黑" w:eastAsia="微软雅黑" w:cs="微软雅黑"/>
          <w:b w:val="0"/>
          <w:bCs w:val="0"/>
          <w:color w:val="auto"/>
          <w:sz w:val="24"/>
          <w:szCs w:val="24"/>
          <w:u w:val="single"/>
          <w:lang w:val="en-US" w:eastAsia="zh-CN"/>
        </w:rPr>
        <w:t>162</w:t>
      </w:r>
      <w:r>
        <w:rPr>
          <w:rFonts w:hint="eastAsia" w:ascii="微软雅黑" w:hAnsi="微软雅黑" w:eastAsia="微软雅黑" w:cs="微软雅黑"/>
          <w:b w:val="0"/>
          <w:bCs w:val="0"/>
          <w:color w:val="auto"/>
          <w:sz w:val="24"/>
          <w:szCs w:val="24"/>
          <w:lang w:val="en-US" w:eastAsia="zh-CN"/>
        </w:rPr>
        <w:t>个，已整改</w:t>
      </w:r>
      <w:r>
        <w:rPr>
          <w:rFonts w:hint="eastAsia" w:ascii="微软雅黑" w:hAnsi="微软雅黑" w:eastAsia="微软雅黑" w:cs="微软雅黑"/>
          <w:b w:val="0"/>
          <w:bCs w:val="0"/>
          <w:color w:val="auto"/>
          <w:sz w:val="24"/>
          <w:szCs w:val="24"/>
          <w:u w:val="single"/>
          <w:lang w:val="en-US" w:eastAsia="zh-CN"/>
        </w:rPr>
        <w:t>157</w:t>
      </w:r>
      <w:r>
        <w:rPr>
          <w:rFonts w:hint="eastAsia" w:ascii="微软雅黑" w:hAnsi="微软雅黑" w:eastAsia="微软雅黑" w:cs="微软雅黑"/>
          <w:b w:val="0"/>
          <w:bCs w:val="0"/>
          <w:color w:val="auto"/>
          <w:sz w:val="24"/>
          <w:szCs w:val="24"/>
          <w:lang w:val="en-US" w:eastAsia="zh-CN"/>
        </w:rPr>
        <w:t>个，涉及人数</w:t>
      </w:r>
      <w:r>
        <w:rPr>
          <w:rFonts w:hint="eastAsia" w:ascii="微软雅黑" w:hAnsi="微软雅黑" w:eastAsia="微软雅黑" w:cs="微软雅黑"/>
          <w:b w:val="0"/>
          <w:bCs w:val="0"/>
          <w:color w:val="auto"/>
          <w:sz w:val="24"/>
          <w:szCs w:val="24"/>
          <w:u w:val="single"/>
          <w:lang w:val="en-US" w:eastAsia="zh-CN"/>
        </w:rPr>
        <w:t>95</w:t>
      </w:r>
      <w:r>
        <w:rPr>
          <w:rFonts w:hint="eastAsia" w:ascii="微软雅黑" w:hAnsi="微软雅黑" w:eastAsia="微软雅黑" w:cs="微软雅黑"/>
          <w:b w:val="0"/>
          <w:bCs w:val="0"/>
          <w:color w:val="auto"/>
          <w:sz w:val="24"/>
          <w:szCs w:val="24"/>
          <w:lang w:val="en-US" w:eastAsia="zh-CN"/>
        </w:rPr>
        <w:t>人，涉及总金额</w:t>
      </w:r>
      <w:r>
        <w:rPr>
          <w:rFonts w:hint="eastAsia" w:ascii="微软雅黑" w:hAnsi="微软雅黑" w:eastAsia="微软雅黑" w:cs="微软雅黑"/>
          <w:b w:val="0"/>
          <w:bCs w:val="0"/>
          <w:color w:val="auto"/>
          <w:sz w:val="24"/>
          <w:szCs w:val="24"/>
          <w:u w:val="single"/>
          <w:lang w:val="en-US" w:eastAsia="zh-CN"/>
        </w:rPr>
        <w:t>1022.88</w:t>
      </w:r>
      <w:r>
        <w:rPr>
          <w:rFonts w:hint="eastAsia" w:ascii="微软雅黑" w:hAnsi="微软雅黑" w:eastAsia="微软雅黑" w:cs="微软雅黑"/>
          <w:b w:val="0"/>
          <w:bCs w:val="0"/>
          <w:color w:val="auto"/>
          <w:sz w:val="24"/>
          <w:szCs w:val="24"/>
          <w:lang w:val="en-US" w:eastAsia="zh-CN"/>
        </w:rPr>
        <w:t>万余元，追回金额</w:t>
      </w:r>
      <w:r>
        <w:rPr>
          <w:rFonts w:hint="eastAsia" w:ascii="微软雅黑" w:hAnsi="微软雅黑" w:eastAsia="微软雅黑" w:cs="微软雅黑"/>
          <w:b w:val="0"/>
          <w:bCs w:val="0"/>
          <w:color w:val="auto"/>
          <w:sz w:val="24"/>
          <w:szCs w:val="24"/>
          <w:u w:val="single"/>
          <w:lang w:val="en-US" w:eastAsia="zh-CN"/>
        </w:rPr>
        <w:t>316.18</w:t>
      </w:r>
      <w:r>
        <w:rPr>
          <w:rFonts w:hint="eastAsia" w:ascii="微软雅黑" w:hAnsi="微软雅黑" w:eastAsia="微软雅黑" w:cs="微软雅黑"/>
          <w:b w:val="0"/>
          <w:bCs w:val="0"/>
          <w:color w:val="auto"/>
          <w:sz w:val="24"/>
          <w:szCs w:val="24"/>
          <w:lang w:val="en-US" w:eastAsia="zh-CN"/>
        </w:rPr>
        <w:t>万元，退还群众</w:t>
      </w:r>
      <w:r>
        <w:rPr>
          <w:rFonts w:hint="eastAsia" w:ascii="微软雅黑" w:hAnsi="微软雅黑" w:eastAsia="微软雅黑" w:cs="微软雅黑"/>
          <w:b w:val="0"/>
          <w:bCs w:val="0"/>
          <w:color w:val="auto"/>
          <w:sz w:val="24"/>
          <w:szCs w:val="24"/>
          <w:u w:val="single"/>
          <w:lang w:val="en-US" w:eastAsia="zh-CN"/>
        </w:rPr>
        <w:t>5.11</w:t>
      </w:r>
      <w:r>
        <w:rPr>
          <w:rFonts w:hint="eastAsia" w:ascii="微软雅黑" w:hAnsi="微软雅黑" w:eastAsia="微软雅黑" w:cs="微软雅黑"/>
          <w:b w:val="0"/>
          <w:bCs w:val="0"/>
          <w:color w:val="auto"/>
          <w:sz w:val="24"/>
          <w:szCs w:val="24"/>
          <w:lang w:val="en-US" w:eastAsia="zh-CN"/>
        </w:rPr>
        <w:t>万元。</w:t>
      </w:r>
    </w:p>
    <w:p w14:paraId="599EF254">
      <w:pPr>
        <w:pStyle w:val="2"/>
        <w:rPr>
          <w:rFonts w:hint="eastAsia" w:ascii="微软雅黑" w:hAnsi="微软雅黑" w:eastAsia="微软雅黑" w:cs="微软雅黑"/>
          <w:sz w:val="24"/>
          <w:szCs w:val="24"/>
          <w:lang w:val="en-US" w:eastAsia="zh-CN"/>
        </w:rPr>
      </w:pPr>
    </w:p>
    <w:p w14:paraId="376AAD2F">
      <w:pPr>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主要工作：</w:t>
      </w:r>
    </w:p>
    <w:p w14:paraId="13BFAF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㈠有序推进第二轮土地承包到期后再延长30年试点工作。</w:t>
      </w:r>
      <w:r>
        <w:rPr>
          <w:rFonts w:hint="eastAsia" w:ascii="微软雅黑" w:hAnsi="微软雅黑" w:eastAsia="微软雅黑" w:cs="微软雅黑"/>
          <w:b w:val="0"/>
          <w:bCs w:val="0"/>
          <w:color w:val="auto"/>
          <w:sz w:val="24"/>
          <w:szCs w:val="24"/>
          <w:lang w:val="en-US" w:eastAsia="zh-CN"/>
        </w:rPr>
        <w:t>我县第二轮土地承包于2024年8月31日到期。中央精神是保持土地承包关系稳定并长久不变，土地承包到期后再延长30年。今年初，农业农村部决定将湖南作为二轮延包整省试点地区，我县被纳入我省第一批2024年试点县。县委、县政府先后专题研究了土地延包试点工作，并列入2024年县政府工作报告议定事项进行调度考核。县乡村建立了工作机制、制定了工作实施方案、召开了动员培训会议，开展了多种形式宣传发动，目前正在挂网采购技术服务项目。我们按照部、省《试点工作规范》“八步工作法”的要求有序推进，至2025年1月15日已完成摸底调查农户比率96%，预计2025年3月底前可以提交延包数据汇交至农业农村部。</w:t>
      </w:r>
    </w:p>
    <w:p w14:paraId="3DDB52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㈡继续深化农村土地“三权分置”改革。一是建立土地流转行政审批工作制度。</w:t>
      </w:r>
      <w:r>
        <w:rPr>
          <w:rFonts w:hint="eastAsia" w:ascii="微软雅黑" w:hAnsi="微软雅黑" w:eastAsia="微软雅黑" w:cs="微软雅黑"/>
          <w:b w:val="0"/>
          <w:bCs w:val="0"/>
          <w:color w:val="auto"/>
          <w:sz w:val="24"/>
          <w:szCs w:val="24"/>
          <w:lang w:val="en-US" w:eastAsia="zh-CN"/>
        </w:rPr>
        <w:t>按照省厅工作要求，我们召开了蓝山县建立健全土地流转合同信息备案工作部署会议，印发了《蓝山县工商企业等社会资本通过流转取得土地经营权行政审批实施细则》《蓝山县农办关于加强对工商资本租赁农地监管和风险防范的意见》（蓝农领导小组发〔2024〕4号）。部分乡镇制定了《关于工商企业等社会资本通过流转取得土地经营权审批办事指南》。通过县、乡、村三级联动，对工商企业等社会资本流转土地进行监管，进一步规范土地流转行为，强化风险监管。目前，全县已在《农业农村部土地流转台账信息平台》备案流转合同份数</w:t>
      </w:r>
      <w:r>
        <w:rPr>
          <w:rFonts w:hint="eastAsia" w:ascii="微软雅黑" w:hAnsi="微软雅黑" w:eastAsia="微软雅黑" w:cs="微软雅黑"/>
          <w:b w:val="0"/>
          <w:bCs w:val="0"/>
          <w:color w:val="auto"/>
          <w:sz w:val="24"/>
          <w:szCs w:val="24"/>
          <w:u w:val="single"/>
          <w:lang w:val="en-US" w:eastAsia="zh-CN"/>
        </w:rPr>
        <w:t>899</w:t>
      </w:r>
      <w:r>
        <w:rPr>
          <w:rFonts w:hint="eastAsia" w:ascii="微软雅黑" w:hAnsi="微软雅黑" w:eastAsia="微软雅黑" w:cs="微软雅黑"/>
          <w:b w:val="0"/>
          <w:bCs w:val="0"/>
          <w:color w:val="auto"/>
          <w:sz w:val="24"/>
          <w:szCs w:val="24"/>
          <w:lang w:val="en-US" w:eastAsia="zh-CN"/>
        </w:rPr>
        <w:t>份，备案流转面积</w:t>
      </w:r>
      <w:r>
        <w:rPr>
          <w:rFonts w:hint="eastAsia" w:ascii="微软雅黑" w:hAnsi="微软雅黑" w:eastAsia="微软雅黑" w:cs="微软雅黑"/>
          <w:b w:val="0"/>
          <w:bCs w:val="0"/>
          <w:color w:val="auto"/>
          <w:sz w:val="24"/>
          <w:szCs w:val="24"/>
          <w:u w:val="single"/>
          <w:lang w:val="en-US" w:eastAsia="zh-CN"/>
        </w:rPr>
        <w:t>6.92</w:t>
      </w:r>
      <w:r>
        <w:rPr>
          <w:rFonts w:hint="eastAsia" w:ascii="微软雅黑" w:hAnsi="微软雅黑" w:eastAsia="微软雅黑" w:cs="微软雅黑"/>
          <w:b w:val="0"/>
          <w:bCs w:val="0"/>
          <w:color w:val="auto"/>
          <w:sz w:val="24"/>
          <w:szCs w:val="24"/>
          <w:lang w:val="en-US" w:eastAsia="zh-CN"/>
        </w:rPr>
        <w:t>万亩，排全市第2位。</w:t>
      </w:r>
      <w:r>
        <w:rPr>
          <w:rFonts w:hint="eastAsia" w:ascii="微软雅黑" w:hAnsi="微软雅黑" w:eastAsia="微软雅黑" w:cs="微软雅黑"/>
          <w:b/>
          <w:bCs/>
          <w:color w:val="auto"/>
          <w:sz w:val="24"/>
          <w:szCs w:val="24"/>
          <w:lang w:val="en-US" w:eastAsia="zh-CN"/>
        </w:rPr>
        <w:t>二是推动农村产权流转交易市场建设。</w:t>
      </w:r>
      <w:r>
        <w:rPr>
          <w:rFonts w:hint="eastAsia" w:ascii="微软雅黑" w:hAnsi="微软雅黑" w:eastAsia="微软雅黑" w:cs="微软雅黑"/>
          <w:b w:val="0"/>
          <w:bCs w:val="0"/>
          <w:color w:val="auto"/>
          <w:sz w:val="24"/>
          <w:szCs w:val="24"/>
          <w:lang w:val="en-US" w:eastAsia="zh-CN"/>
        </w:rPr>
        <w:t>我县印发了《蓝山县农村产权流转交易市场建设工作方案》《蓝山县农村土地经营权流转管理办法》《蓝山县农村产权流转交易管理办法(试行)》等文件，用于指导和规范全县农村产权流转交易。县农经站通过公开邀标程序，确定湖南省盛鼎大数据中心有限公司为项目建设合作方。蓝山县农村产权交易中心设在县农业农村局一楼临街铺面，已于2023年初建成并开始运营，累计交易额已达</w:t>
      </w:r>
      <w:r>
        <w:rPr>
          <w:rFonts w:hint="eastAsia" w:ascii="微软雅黑" w:hAnsi="微软雅黑" w:eastAsia="微软雅黑" w:cs="微软雅黑"/>
          <w:b w:val="0"/>
          <w:bCs w:val="0"/>
          <w:color w:val="auto"/>
          <w:sz w:val="24"/>
          <w:szCs w:val="24"/>
          <w:u w:val="single"/>
          <w:lang w:val="en-US" w:eastAsia="zh-CN"/>
        </w:rPr>
        <w:t>4737.45</w:t>
      </w:r>
      <w:r>
        <w:rPr>
          <w:rFonts w:hint="eastAsia" w:ascii="微软雅黑" w:hAnsi="微软雅黑" w:eastAsia="微软雅黑" w:cs="微软雅黑"/>
          <w:b w:val="0"/>
          <w:bCs w:val="0"/>
          <w:color w:val="auto"/>
          <w:sz w:val="24"/>
          <w:szCs w:val="24"/>
          <w:lang w:val="en-US" w:eastAsia="zh-CN"/>
        </w:rPr>
        <w:t>万元。今后，农村各类产权资源可以通过本平台进行市场化交易，推动解决乡村振兴“钱从哪里来、人往哪里去、地当如何用”的难题，撬动大量工商资本、民间资本向农业农村集聚，为乡村振兴注入源源不断的动力和活力。</w:t>
      </w:r>
      <w:r>
        <w:rPr>
          <w:rFonts w:hint="eastAsia" w:ascii="微软雅黑" w:hAnsi="微软雅黑" w:eastAsia="微软雅黑" w:cs="微软雅黑"/>
          <w:b/>
          <w:bCs/>
          <w:color w:val="auto"/>
          <w:sz w:val="24"/>
          <w:szCs w:val="24"/>
          <w:lang w:val="en-US" w:eastAsia="zh-CN"/>
        </w:rPr>
        <w:t>三是做好确权成果的综合利用。</w:t>
      </w:r>
      <w:r>
        <w:rPr>
          <w:rFonts w:hint="eastAsia" w:ascii="微软雅黑" w:hAnsi="微软雅黑" w:eastAsia="微软雅黑" w:cs="微软雅黑"/>
          <w:b w:val="0"/>
          <w:bCs w:val="0"/>
          <w:color w:val="auto"/>
          <w:sz w:val="24"/>
          <w:szCs w:val="24"/>
          <w:lang w:val="en-US" w:eastAsia="zh-CN"/>
        </w:rPr>
        <w:t>我县已完成农村承包地确权数据汇交、承包合同签订、证书颁发、信息应用平台建设。已整理农户确权档案6.43万卷，入馆率100%。我县制定了《蓝山县农村土地承包数据管理办法》《蓝山县农村土地承包经营权变更登记规程》《蓝山县农村土地承包经营权信息应用平台机房管控制度》。今年初，我县再次对确权信息应用平台进行了升级维护，实现了上下互联互通，已经开展农户申请变更登记常态化业务。确权成果数据实现了资源共享，已在早稻核查、烟基工程、产业开发等方面发挥了作用。</w:t>
      </w:r>
      <w:r>
        <w:rPr>
          <w:rFonts w:hint="eastAsia" w:ascii="微软雅黑" w:hAnsi="微软雅黑" w:eastAsia="微软雅黑" w:cs="微软雅黑"/>
          <w:b/>
          <w:bCs/>
          <w:color w:val="auto"/>
          <w:sz w:val="24"/>
          <w:szCs w:val="24"/>
          <w:lang w:val="en-US" w:eastAsia="zh-CN"/>
        </w:rPr>
        <w:t>四是做好土地承包合同的档案管理。</w:t>
      </w:r>
      <w:r>
        <w:rPr>
          <w:rFonts w:hint="eastAsia" w:ascii="微软雅黑" w:hAnsi="微软雅黑" w:eastAsia="微软雅黑" w:cs="微软雅黑"/>
          <w:b w:val="0"/>
          <w:bCs w:val="0"/>
          <w:color w:val="auto"/>
          <w:sz w:val="24"/>
          <w:szCs w:val="24"/>
          <w:lang w:val="en-US" w:eastAsia="zh-CN"/>
        </w:rPr>
        <w:t>将1994年二轮延包合同进行了整理，将本轮土地确权后形成的档案扫描成电子版，分别挂接到档案部门和农业农村部门信息应用平台，方便农户查阅和部门间共享利用。</w:t>
      </w:r>
      <w:r>
        <w:rPr>
          <w:rFonts w:hint="eastAsia" w:ascii="微软雅黑" w:hAnsi="微软雅黑" w:eastAsia="微软雅黑" w:cs="微软雅黑"/>
          <w:b/>
          <w:bCs/>
          <w:color w:val="auto"/>
          <w:sz w:val="24"/>
          <w:szCs w:val="24"/>
          <w:lang w:val="en-US" w:eastAsia="zh-CN"/>
        </w:rPr>
        <w:t>五是提升承包纠纷调解仲裁能力与水平。</w:t>
      </w:r>
      <w:r>
        <w:rPr>
          <w:rFonts w:hint="eastAsia" w:ascii="微软雅黑" w:hAnsi="微软雅黑" w:eastAsia="微软雅黑" w:cs="微软雅黑"/>
          <w:b w:val="0"/>
          <w:bCs w:val="0"/>
          <w:color w:val="auto"/>
          <w:sz w:val="24"/>
          <w:szCs w:val="24"/>
          <w:lang w:val="en-US" w:eastAsia="zh-CN"/>
        </w:rPr>
        <w:t>我县成立了县级农村土地承包仲裁委员会，乡镇成立了农村土地承包调解委员会，村设立了纠纷调解小组或调解员。我县高度重视土地承包经营纠纷调解仲裁考评工作，县级农村土地承包仲裁基础设施已建成，仲裁工作考评连续几年在全市排名靠前。7月份，我县土地承包仲裁委员会成功仲裁了土市镇埠头村1宗承包地权属纠纷案件。县乡接洽化解了</w:t>
      </w:r>
      <w:r>
        <w:rPr>
          <w:rFonts w:hint="eastAsia" w:ascii="微软雅黑" w:hAnsi="微软雅黑" w:eastAsia="微软雅黑" w:cs="微软雅黑"/>
          <w:b w:val="0"/>
          <w:bCs w:val="0"/>
          <w:color w:val="auto"/>
          <w:sz w:val="24"/>
          <w:szCs w:val="24"/>
          <w:u w:val="single"/>
          <w:lang w:val="en-US" w:eastAsia="zh-CN"/>
        </w:rPr>
        <w:t>十余起</w:t>
      </w:r>
      <w:r>
        <w:rPr>
          <w:rFonts w:hint="eastAsia" w:ascii="微软雅黑" w:hAnsi="微软雅黑" w:eastAsia="微软雅黑" w:cs="微软雅黑"/>
          <w:b w:val="0"/>
          <w:bCs w:val="0"/>
          <w:color w:val="auto"/>
          <w:sz w:val="24"/>
          <w:szCs w:val="24"/>
          <w:lang w:val="en-US" w:eastAsia="zh-CN"/>
        </w:rPr>
        <w:t>涉及土地承包问题的信访，全县没有发生土地承包合同纠纷的群体性上访事件。</w:t>
      </w:r>
    </w:p>
    <w:p w14:paraId="62E110D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㈢</w:t>
      </w:r>
      <w:r>
        <w:rPr>
          <w:rFonts w:hint="eastAsia" w:ascii="微软雅黑" w:hAnsi="微软雅黑" w:eastAsia="微软雅黑" w:cs="微软雅黑"/>
          <w:b/>
          <w:bCs/>
          <w:color w:val="auto"/>
          <w:sz w:val="24"/>
          <w:szCs w:val="24"/>
          <w:lang w:eastAsia="zh-CN"/>
        </w:rPr>
        <w:t>提质增效新型经营主体。</w:t>
      </w:r>
      <w:r>
        <w:rPr>
          <w:rFonts w:hint="eastAsia" w:ascii="微软雅黑" w:hAnsi="微软雅黑" w:eastAsia="微软雅黑" w:cs="微软雅黑"/>
          <w:color w:val="auto"/>
          <w:sz w:val="24"/>
          <w:szCs w:val="24"/>
          <w:lang w:eastAsia="zh-CN"/>
        </w:rPr>
        <w:t>我县把培育发展专业大户、家庭农场、农民合作社等新型经营主体作为农经部门的一项重要工作加以贯彻落实，对经营主体注册登记、管理运行、示范创建等方面给予指导。</w:t>
      </w:r>
      <w:r>
        <w:rPr>
          <w:rFonts w:hint="eastAsia" w:ascii="微软雅黑" w:hAnsi="微软雅黑" w:eastAsia="微软雅黑" w:cs="微软雅黑"/>
          <w:b/>
          <w:bCs/>
          <w:color w:val="auto"/>
          <w:sz w:val="24"/>
          <w:szCs w:val="24"/>
          <w:lang w:eastAsia="zh-CN"/>
        </w:rPr>
        <w:t>一是夯实统计基础。</w:t>
      </w:r>
      <w:r>
        <w:rPr>
          <w:rFonts w:hint="eastAsia" w:ascii="微软雅黑" w:hAnsi="微软雅黑" w:eastAsia="微软雅黑" w:cs="微软雅黑"/>
          <w:color w:val="auto"/>
          <w:sz w:val="24"/>
          <w:szCs w:val="24"/>
          <w:lang w:eastAsia="zh-CN"/>
        </w:rPr>
        <w:t>我们通过国家企业信用信息公示系统、天眼查系统、全国家庭农场名录系统等核实全县共注册登记各类农民合作社</w:t>
      </w:r>
      <w:r>
        <w:rPr>
          <w:rFonts w:hint="eastAsia" w:ascii="微软雅黑" w:hAnsi="微软雅黑" w:eastAsia="微软雅黑" w:cs="微软雅黑"/>
          <w:color w:val="auto"/>
          <w:sz w:val="24"/>
          <w:szCs w:val="24"/>
          <w:u w:val="single"/>
          <w:lang w:val="en-US" w:eastAsia="zh-CN"/>
        </w:rPr>
        <w:t>896</w:t>
      </w:r>
      <w:r>
        <w:rPr>
          <w:rFonts w:hint="eastAsia" w:ascii="微软雅黑" w:hAnsi="微软雅黑" w:eastAsia="微软雅黑" w:cs="微软雅黑"/>
          <w:color w:val="auto"/>
          <w:sz w:val="24"/>
          <w:szCs w:val="24"/>
          <w:lang w:eastAsia="zh-CN"/>
        </w:rPr>
        <w:t>家（</w:t>
      </w:r>
      <w:r>
        <w:rPr>
          <w:rFonts w:hint="eastAsia" w:ascii="微软雅黑" w:hAnsi="微软雅黑" w:eastAsia="微软雅黑" w:cs="微软雅黑"/>
          <w:color w:val="auto"/>
          <w:sz w:val="24"/>
          <w:szCs w:val="24"/>
          <w:lang w:val="en-US" w:eastAsia="zh-CN"/>
        </w:rPr>
        <w:t>今年新增</w:t>
      </w:r>
      <w:r>
        <w:rPr>
          <w:rFonts w:hint="eastAsia" w:ascii="微软雅黑" w:hAnsi="微软雅黑" w:eastAsia="微软雅黑" w:cs="微软雅黑"/>
          <w:color w:val="auto"/>
          <w:sz w:val="24"/>
          <w:szCs w:val="24"/>
          <w:u w:val="single"/>
          <w:lang w:val="en-US" w:eastAsia="zh-CN"/>
        </w:rPr>
        <w:t>14</w:t>
      </w:r>
      <w:r>
        <w:rPr>
          <w:rFonts w:hint="eastAsia" w:ascii="微软雅黑" w:hAnsi="微软雅黑" w:eastAsia="微软雅黑" w:cs="微软雅黑"/>
          <w:color w:val="auto"/>
          <w:sz w:val="24"/>
          <w:szCs w:val="24"/>
          <w:lang w:val="en-US" w:eastAsia="zh-CN"/>
        </w:rPr>
        <w:t>家</w:t>
      </w:r>
      <w:r>
        <w:rPr>
          <w:rFonts w:hint="eastAsia" w:ascii="微软雅黑" w:hAnsi="微软雅黑" w:eastAsia="微软雅黑" w:cs="微软雅黑"/>
          <w:color w:val="auto"/>
          <w:sz w:val="24"/>
          <w:szCs w:val="24"/>
          <w:lang w:eastAsia="zh-CN"/>
        </w:rPr>
        <w:t>），累计</w:t>
      </w:r>
      <w:r>
        <w:rPr>
          <w:rFonts w:hint="eastAsia" w:ascii="微软雅黑" w:hAnsi="微软雅黑" w:eastAsia="微软雅黑" w:cs="微软雅黑"/>
          <w:color w:val="auto"/>
          <w:sz w:val="24"/>
          <w:szCs w:val="24"/>
          <w:lang w:val="en-US" w:eastAsia="zh-CN"/>
        </w:rPr>
        <w:t>录入全国</w:t>
      </w:r>
      <w:r>
        <w:rPr>
          <w:rFonts w:hint="eastAsia" w:ascii="微软雅黑" w:hAnsi="微软雅黑" w:eastAsia="微软雅黑" w:cs="微软雅黑"/>
          <w:color w:val="auto"/>
          <w:sz w:val="24"/>
          <w:szCs w:val="24"/>
          <w:lang w:eastAsia="zh-CN"/>
        </w:rPr>
        <w:t>家庭农场</w:t>
      </w:r>
      <w:r>
        <w:rPr>
          <w:rFonts w:hint="eastAsia" w:ascii="微软雅黑" w:hAnsi="微软雅黑" w:eastAsia="微软雅黑" w:cs="微软雅黑"/>
          <w:color w:val="auto"/>
          <w:sz w:val="24"/>
          <w:szCs w:val="24"/>
          <w:lang w:val="en-US" w:eastAsia="zh-CN"/>
        </w:rPr>
        <w:t>名录系统</w:t>
      </w:r>
      <w:r>
        <w:rPr>
          <w:rFonts w:hint="eastAsia" w:ascii="微软雅黑" w:hAnsi="微软雅黑" w:eastAsia="微软雅黑" w:cs="微软雅黑"/>
          <w:color w:val="auto"/>
          <w:sz w:val="24"/>
          <w:szCs w:val="24"/>
          <w:u w:val="single"/>
          <w:lang w:eastAsia="zh-CN"/>
        </w:rPr>
        <w:t>1</w:t>
      </w:r>
      <w:r>
        <w:rPr>
          <w:rFonts w:hint="eastAsia" w:ascii="微软雅黑" w:hAnsi="微软雅黑" w:eastAsia="微软雅黑" w:cs="微软雅黑"/>
          <w:color w:val="auto"/>
          <w:sz w:val="24"/>
          <w:szCs w:val="24"/>
          <w:u w:val="single"/>
          <w:lang w:val="en-US" w:eastAsia="zh-CN"/>
        </w:rPr>
        <w:t>315</w:t>
      </w:r>
      <w:r>
        <w:rPr>
          <w:rFonts w:hint="eastAsia" w:ascii="微软雅黑" w:hAnsi="微软雅黑" w:eastAsia="微软雅黑" w:cs="微软雅黑"/>
          <w:color w:val="auto"/>
          <w:sz w:val="24"/>
          <w:szCs w:val="24"/>
          <w:lang w:eastAsia="zh-CN"/>
        </w:rPr>
        <w:t>家</w:t>
      </w:r>
      <w:r>
        <w:rPr>
          <w:rFonts w:hint="eastAsia" w:ascii="微软雅黑" w:hAnsi="微软雅黑" w:eastAsia="微软雅黑" w:cs="微软雅黑"/>
          <w:color w:val="auto"/>
          <w:sz w:val="24"/>
          <w:szCs w:val="24"/>
          <w:lang w:val="en-US" w:eastAsia="zh-CN"/>
        </w:rPr>
        <w:t>(今年新增</w:t>
      </w:r>
      <w:r>
        <w:rPr>
          <w:rFonts w:hint="eastAsia" w:ascii="微软雅黑" w:hAnsi="微软雅黑" w:eastAsia="微软雅黑" w:cs="微软雅黑"/>
          <w:color w:val="auto"/>
          <w:sz w:val="24"/>
          <w:szCs w:val="24"/>
          <w:u w:val="single"/>
          <w:lang w:val="en-US" w:eastAsia="zh-CN"/>
        </w:rPr>
        <w:t>270</w:t>
      </w:r>
      <w:r>
        <w:rPr>
          <w:rFonts w:hint="eastAsia" w:ascii="微软雅黑" w:hAnsi="微软雅黑" w:eastAsia="微软雅黑" w:cs="微软雅黑"/>
          <w:color w:val="auto"/>
          <w:sz w:val="24"/>
          <w:szCs w:val="24"/>
          <w:lang w:val="en-US" w:eastAsia="zh-CN"/>
        </w:rPr>
        <w:t>家)</w:t>
      </w:r>
      <w:r>
        <w:rPr>
          <w:rFonts w:hint="eastAsia" w:ascii="微软雅黑" w:hAnsi="微软雅黑" w:eastAsia="微软雅黑" w:cs="微软雅黑"/>
          <w:color w:val="auto"/>
          <w:sz w:val="24"/>
          <w:szCs w:val="24"/>
          <w:lang w:eastAsia="zh-CN"/>
        </w:rPr>
        <w:t>，分别建立</w:t>
      </w:r>
      <w:r>
        <w:rPr>
          <w:rFonts w:hint="eastAsia" w:ascii="微软雅黑" w:hAnsi="微软雅黑" w:eastAsia="微软雅黑" w:cs="微软雅黑"/>
          <w:color w:val="auto"/>
          <w:sz w:val="24"/>
          <w:szCs w:val="24"/>
          <w:lang w:val="en-US" w:eastAsia="zh-CN"/>
        </w:rPr>
        <w:t>完善</w:t>
      </w:r>
      <w:r>
        <w:rPr>
          <w:rFonts w:hint="eastAsia" w:ascii="微软雅黑" w:hAnsi="微软雅黑" w:eastAsia="微软雅黑" w:cs="微软雅黑"/>
          <w:color w:val="auto"/>
          <w:sz w:val="24"/>
          <w:szCs w:val="24"/>
          <w:lang w:eastAsia="zh-CN"/>
        </w:rPr>
        <w:t>了家庭农场、合作社和农业社会化服务主体名录库，方便查询和利用。</w:t>
      </w:r>
      <w:r>
        <w:rPr>
          <w:rFonts w:hint="eastAsia" w:ascii="微软雅黑" w:hAnsi="微软雅黑" w:eastAsia="微软雅黑" w:cs="微软雅黑"/>
          <w:b/>
          <w:bCs/>
          <w:color w:val="auto"/>
          <w:sz w:val="24"/>
          <w:szCs w:val="24"/>
          <w:lang w:eastAsia="zh-CN"/>
        </w:rPr>
        <w:t>二是开展示范创建。</w:t>
      </w:r>
      <w:r>
        <w:rPr>
          <w:rFonts w:hint="eastAsia" w:ascii="微软雅黑" w:hAnsi="微软雅黑" w:eastAsia="微软雅黑" w:cs="微软雅黑"/>
          <w:color w:val="auto"/>
          <w:sz w:val="24"/>
          <w:szCs w:val="24"/>
          <w:lang w:eastAsia="zh-CN"/>
        </w:rPr>
        <w:t>按照上级文件要求，完成了2024年中央财政重点支持农民合作社和家庭农场培育项目7个，</w:t>
      </w:r>
      <w:r>
        <w:rPr>
          <w:rFonts w:hint="eastAsia" w:ascii="微软雅黑" w:hAnsi="微软雅黑" w:eastAsia="微软雅黑" w:cs="微软雅黑"/>
          <w:color w:val="auto"/>
          <w:sz w:val="24"/>
          <w:szCs w:val="24"/>
          <w:lang w:val="en-US" w:eastAsia="zh-CN"/>
        </w:rPr>
        <w:t>其中</w:t>
      </w:r>
      <w:r>
        <w:rPr>
          <w:rFonts w:hint="eastAsia" w:ascii="微软雅黑" w:hAnsi="微软雅黑" w:eastAsia="微软雅黑" w:cs="微软雅黑"/>
          <w:color w:val="auto"/>
          <w:sz w:val="24"/>
          <w:szCs w:val="24"/>
          <w:lang w:eastAsia="zh-CN"/>
        </w:rPr>
        <w:t>省级示范社</w:t>
      </w:r>
      <w:r>
        <w:rPr>
          <w:rFonts w:hint="eastAsia" w:ascii="微软雅黑" w:hAnsi="微软雅黑" w:eastAsia="微软雅黑" w:cs="微软雅黑"/>
          <w:color w:val="auto"/>
          <w:sz w:val="24"/>
          <w:szCs w:val="24"/>
          <w:lang w:val="en-US" w:eastAsia="zh-CN"/>
        </w:rPr>
        <w:t>3家</w:t>
      </w:r>
      <w:r>
        <w:rPr>
          <w:rFonts w:hint="eastAsia" w:ascii="微软雅黑" w:hAnsi="微软雅黑" w:eastAsia="微软雅黑" w:cs="微软雅黑"/>
          <w:color w:val="auto"/>
          <w:sz w:val="24"/>
          <w:szCs w:val="24"/>
          <w:lang w:eastAsia="zh-CN"/>
        </w:rPr>
        <w:t>、省级示范农场</w:t>
      </w:r>
      <w:r>
        <w:rPr>
          <w:rFonts w:hint="eastAsia" w:ascii="微软雅黑" w:hAnsi="微软雅黑" w:eastAsia="微软雅黑" w:cs="微软雅黑"/>
          <w:color w:val="auto"/>
          <w:sz w:val="24"/>
          <w:szCs w:val="24"/>
          <w:lang w:val="en-US" w:eastAsia="zh-CN"/>
        </w:rPr>
        <w:t>4家，获得了资金补助50万元</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bCs/>
          <w:color w:val="auto"/>
          <w:sz w:val="24"/>
          <w:szCs w:val="24"/>
          <w:lang w:eastAsia="zh-CN"/>
        </w:rPr>
        <w:t>三是落实赋码登记。</w:t>
      </w:r>
      <w:r>
        <w:rPr>
          <w:rFonts w:hint="eastAsia" w:ascii="微软雅黑" w:hAnsi="微软雅黑" w:eastAsia="微软雅黑" w:cs="微软雅黑"/>
          <w:color w:val="auto"/>
          <w:sz w:val="24"/>
          <w:szCs w:val="24"/>
          <w:lang w:eastAsia="zh-CN"/>
        </w:rPr>
        <w:t>按照</w:t>
      </w:r>
      <w:r>
        <w:rPr>
          <w:rFonts w:hint="eastAsia" w:ascii="微软雅黑" w:hAnsi="微软雅黑" w:eastAsia="微软雅黑" w:cs="微软雅黑"/>
          <w:color w:val="auto"/>
          <w:sz w:val="24"/>
          <w:szCs w:val="24"/>
          <w:lang w:val="en-US" w:eastAsia="zh-CN"/>
        </w:rPr>
        <w:t>粮安考核要求</w:t>
      </w:r>
      <w:r>
        <w:rPr>
          <w:rFonts w:hint="eastAsia" w:ascii="微软雅黑" w:hAnsi="微软雅黑" w:eastAsia="微软雅黑" w:cs="微软雅黑"/>
          <w:color w:val="auto"/>
          <w:sz w:val="24"/>
          <w:szCs w:val="24"/>
          <w:lang w:eastAsia="zh-CN"/>
        </w:rPr>
        <w:t>，我们</w:t>
      </w:r>
      <w:r>
        <w:rPr>
          <w:rFonts w:hint="eastAsia" w:ascii="微软雅黑" w:hAnsi="微软雅黑" w:eastAsia="微软雅黑" w:cs="微软雅黑"/>
          <w:color w:val="auto"/>
          <w:sz w:val="24"/>
          <w:szCs w:val="24"/>
          <w:lang w:val="en-US" w:eastAsia="zh-CN"/>
        </w:rPr>
        <w:t>加大力度开展</w:t>
      </w:r>
      <w:r>
        <w:rPr>
          <w:rFonts w:hint="eastAsia" w:ascii="微软雅黑" w:hAnsi="微软雅黑" w:eastAsia="微软雅黑" w:cs="微软雅黑"/>
          <w:color w:val="auto"/>
          <w:sz w:val="24"/>
          <w:szCs w:val="24"/>
          <w:lang w:eastAsia="zh-CN"/>
        </w:rPr>
        <w:t>家庭农场“一码通”赋码</w:t>
      </w:r>
      <w:r>
        <w:rPr>
          <w:rFonts w:hint="eastAsia" w:ascii="微软雅黑" w:hAnsi="微软雅黑" w:eastAsia="微软雅黑" w:cs="微软雅黑"/>
          <w:color w:val="auto"/>
          <w:sz w:val="24"/>
          <w:szCs w:val="24"/>
          <w:lang w:val="en-US" w:eastAsia="zh-CN"/>
        </w:rPr>
        <w:t>登记，共完成</w:t>
      </w:r>
      <w:r>
        <w:rPr>
          <w:rFonts w:hint="eastAsia" w:ascii="微软雅黑" w:hAnsi="微软雅黑" w:eastAsia="微软雅黑" w:cs="微软雅黑"/>
          <w:color w:val="auto"/>
          <w:sz w:val="24"/>
          <w:szCs w:val="24"/>
          <w:u w:val="single"/>
          <w:lang w:val="en-US" w:eastAsia="zh-CN"/>
        </w:rPr>
        <w:t>692</w:t>
      </w:r>
      <w:r>
        <w:rPr>
          <w:rFonts w:hint="eastAsia" w:ascii="微软雅黑" w:hAnsi="微软雅黑" w:eastAsia="微软雅黑" w:cs="微软雅黑"/>
          <w:color w:val="auto"/>
          <w:sz w:val="24"/>
          <w:szCs w:val="24"/>
          <w:lang w:val="en-US" w:eastAsia="zh-CN"/>
        </w:rPr>
        <w:t>家，</w:t>
      </w:r>
      <w:r>
        <w:rPr>
          <w:rFonts w:hint="eastAsia" w:ascii="微软雅黑" w:hAnsi="微软雅黑" w:eastAsia="微软雅黑" w:cs="微软雅黑"/>
          <w:color w:val="auto"/>
          <w:sz w:val="24"/>
          <w:szCs w:val="24"/>
          <w:lang w:eastAsia="zh-CN"/>
        </w:rPr>
        <w:t>完成</w:t>
      </w:r>
      <w:r>
        <w:rPr>
          <w:rFonts w:hint="eastAsia" w:ascii="微软雅黑" w:hAnsi="微软雅黑" w:eastAsia="微软雅黑" w:cs="微软雅黑"/>
          <w:color w:val="auto"/>
          <w:sz w:val="24"/>
          <w:szCs w:val="24"/>
          <w:lang w:val="en-US" w:eastAsia="zh-CN"/>
        </w:rPr>
        <w:t>总量和赋码率</w:t>
      </w:r>
      <w:r>
        <w:rPr>
          <w:rFonts w:hint="eastAsia" w:ascii="微软雅黑" w:hAnsi="微软雅黑" w:eastAsia="微软雅黑" w:cs="微软雅黑"/>
          <w:color w:val="auto"/>
          <w:sz w:val="24"/>
          <w:szCs w:val="24"/>
          <w:lang w:eastAsia="zh-CN"/>
        </w:rPr>
        <w:t>排名</w:t>
      </w:r>
      <w:r>
        <w:rPr>
          <w:rFonts w:hint="eastAsia" w:ascii="微软雅黑" w:hAnsi="微软雅黑" w:eastAsia="微软雅黑" w:cs="微软雅黑"/>
          <w:color w:val="auto"/>
          <w:sz w:val="24"/>
          <w:szCs w:val="24"/>
          <w:u w:val="single"/>
          <w:lang w:eastAsia="zh-CN"/>
        </w:rPr>
        <w:t>全市</w:t>
      </w:r>
      <w:r>
        <w:rPr>
          <w:rFonts w:hint="eastAsia" w:ascii="微软雅黑" w:hAnsi="微软雅黑" w:eastAsia="微软雅黑" w:cs="微软雅黑"/>
          <w:color w:val="auto"/>
          <w:sz w:val="24"/>
          <w:szCs w:val="24"/>
          <w:u w:val="single"/>
          <w:lang w:val="en-US" w:eastAsia="zh-CN"/>
        </w:rPr>
        <w:t>前列</w:t>
      </w:r>
      <w:r>
        <w:rPr>
          <w:rFonts w:hint="eastAsia" w:ascii="微软雅黑" w:hAnsi="微软雅黑" w:eastAsia="微软雅黑" w:cs="微软雅黑"/>
          <w:color w:val="auto"/>
          <w:sz w:val="24"/>
          <w:szCs w:val="24"/>
          <w:lang w:eastAsia="zh-CN"/>
        </w:rPr>
        <w:t>。在示范性家庭农场中大力推广“随手记”记账，提升其财务管理水平。</w:t>
      </w:r>
      <w:r>
        <w:rPr>
          <w:rFonts w:hint="eastAsia" w:ascii="微软雅黑" w:hAnsi="微软雅黑" w:eastAsia="微软雅黑" w:cs="微软雅黑"/>
          <w:b/>
          <w:bCs/>
          <w:color w:val="auto"/>
          <w:sz w:val="24"/>
          <w:szCs w:val="24"/>
          <w:lang w:eastAsia="zh-CN"/>
        </w:rPr>
        <w:t>四是严防非法集资。</w:t>
      </w:r>
      <w:r>
        <w:rPr>
          <w:rFonts w:hint="eastAsia" w:ascii="微软雅黑" w:hAnsi="微软雅黑" w:eastAsia="微软雅黑" w:cs="微软雅黑"/>
          <w:color w:val="auto"/>
          <w:sz w:val="24"/>
          <w:szCs w:val="24"/>
          <w:lang w:eastAsia="zh-CN"/>
        </w:rPr>
        <w:t>我们与县金融办持续开展全县农民合作社是否存在非法集资问题的宣导和核查，目前为止，尚未发现有合作社存在相关问题。</w:t>
      </w:r>
      <w:r>
        <w:rPr>
          <w:rFonts w:hint="eastAsia" w:ascii="微软雅黑" w:hAnsi="微软雅黑" w:eastAsia="微软雅黑" w:cs="微软雅黑"/>
          <w:b/>
          <w:bCs/>
          <w:color w:val="auto"/>
          <w:sz w:val="24"/>
          <w:szCs w:val="24"/>
          <w:lang w:eastAsia="zh-CN"/>
        </w:rPr>
        <w:t>五是清理问题主体。</w:t>
      </w:r>
      <w:r>
        <w:rPr>
          <w:rFonts w:hint="eastAsia" w:ascii="微软雅黑" w:hAnsi="微软雅黑" w:eastAsia="微软雅黑" w:cs="微软雅黑"/>
          <w:color w:val="auto"/>
          <w:sz w:val="24"/>
          <w:szCs w:val="24"/>
          <w:lang w:eastAsia="zh-CN"/>
        </w:rPr>
        <w:t>我们对全县已注册</w:t>
      </w:r>
      <w:r>
        <w:rPr>
          <w:rFonts w:hint="eastAsia" w:ascii="微软雅黑" w:hAnsi="微软雅黑" w:eastAsia="微软雅黑" w:cs="微软雅黑"/>
          <w:color w:val="auto"/>
          <w:sz w:val="24"/>
          <w:szCs w:val="24"/>
          <w:lang w:val="en-US" w:eastAsia="zh-CN"/>
        </w:rPr>
        <w:t>登记</w:t>
      </w:r>
      <w:r>
        <w:rPr>
          <w:rFonts w:hint="eastAsia" w:ascii="微软雅黑" w:hAnsi="微软雅黑" w:eastAsia="微软雅黑" w:cs="微软雅黑"/>
          <w:color w:val="auto"/>
          <w:sz w:val="24"/>
          <w:szCs w:val="24"/>
          <w:lang w:eastAsia="zh-CN"/>
        </w:rPr>
        <w:t>合作社开展了“空壳社”专项清理，通过核查经营主体是否正常经营和开展年检年审，共清理经营异常、“空壳社”等问题合作社</w:t>
      </w:r>
      <w:r>
        <w:rPr>
          <w:rFonts w:hint="eastAsia" w:ascii="微软雅黑" w:hAnsi="微软雅黑" w:eastAsia="微软雅黑" w:cs="微软雅黑"/>
          <w:color w:val="auto"/>
          <w:sz w:val="24"/>
          <w:szCs w:val="24"/>
          <w:u w:val="single"/>
          <w:lang w:val="en-US" w:eastAsia="zh-CN"/>
        </w:rPr>
        <w:t>299</w:t>
      </w:r>
      <w:r>
        <w:rPr>
          <w:rFonts w:hint="eastAsia" w:ascii="微软雅黑" w:hAnsi="微软雅黑" w:eastAsia="微软雅黑" w:cs="微软雅黑"/>
          <w:color w:val="auto"/>
          <w:sz w:val="24"/>
          <w:szCs w:val="24"/>
          <w:lang w:val="en-US" w:eastAsia="zh-CN"/>
        </w:rPr>
        <w:t>个</w:t>
      </w:r>
      <w:r>
        <w:rPr>
          <w:rFonts w:hint="eastAsia" w:ascii="微软雅黑" w:hAnsi="微软雅黑" w:eastAsia="微软雅黑" w:cs="微软雅黑"/>
          <w:color w:val="auto"/>
          <w:sz w:val="24"/>
          <w:szCs w:val="24"/>
          <w:lang w:eastAsia="zh-CN"/>
        </w:rPr>
        <w:t>，对问题主体列入负面清单，不得申报项目资金支持。</w:t>
      </w:r>
      <w:r>
        <w:rPr>
          <w:rFonts w:hint="eastAsia" w:ascii="微软雅黑" w:hAnsi="微软雅黑" w:eastAsia="微软雅黑" w:cs="微软雅黑"/>
          <w:color w:val="auto"/>
          <w:sz w:val="24"/>
          <w:szCs w:val="24"/>
          <w:lang w:val="en-US" w:eastAsia="zh-CN"/>
        </w:rPr>
        <w:t>每年下半年，</w:t>
      </w:r>
      <w:r>
        <w:rPr>
          <w:rFonts w:hint="eastAsia" w:ascii="微软雅黑" w:hAnsi="微软雅黑" w:eastAsia="微软雅黑" w:cs="微软雅黑"/>
          <w:color w:val="auto"/>
          <w:sz w:val="24"/>
          <w:szCs w:val="24"/>
          <w:lang w:eastAsia="zh-CN"/>
        </w:rPr>
        <w:t>对</w:t>
      </w:r>
      <w:r>
        <w:rPr>
          <w:rFonts w:hint="eastAsia" w:ascii="微软雅黑" w:hAnsi="微软雅黑" w:eastAsia="微软雅黑" w:cs="微软雅黑"/>
          <w:color w:val="auto"/>
          <w:sz w:val="24"/>
          <w:szCs w:val="24"/>
          <w:lang w:val="en-US" w:eastAsia="zh-CN"/>
        </w:rPr>
        <w:t>我县</w:t>
      </w:r>
      <w:r>
        <w:rPr>
          <w:rFonts w:hint="eastAsia" w:ascii="微软雅黑" w:hAnsi="微软雅黑" w:eastAsia="微软雅黑" w:cs="微软雅黑"/>
          <w:color w:val="auto"/>
          <w:sz w:val="24"/>
          <w:szCs w:val="24"/>
          <w:lang w:eastAsia="zh-CN"/>
        </w:rPr>
        <w:t>获得省级以上示范称号的合作社和家庭农场进行动态监测</w:t>
      </w:r>
      <w:r>
        <w:rPr>
          <w:rFonts w:hint="eastAsia" w:ascii="微软雅黑" w:hAnsi="微软雅黑" w:eastAsia="微软雅黑" w:cs="微软雅黑"/>
          <w:color w:val="auto"/>
          <w:sz w:val="24"/>
          <w:szCs w:val="24"/>
          <w:lang w:val="en-US" w:eastAsia="zh-CN"/>
        </w:rPr>
        <w:t>管理</w:t>
      </w:r>
      <w:r>
        <w:rPr>
          <w:rFonts w:hint="eastAsia" w:ascii="微软雅黑" w:hAnsi="微软雅黑" w:eastAsia="微软雅黑" w:cs="微软雅黑"/>
          <w:color w:val="auto"/>
          <w:sz w:val="24"/>
          <w:szCs w:val="24"/>
          <w:lang w:eastAsia="zh-CN"/>
        </w:rPr>
        <w:t>，淘劣促优。</w:t>
      </w:r>
      <w:r>
        <w:rPr>
          <w:rFonts w:hint="eastAsia" w:ascii="微软雅黑" w:hAnsi="微软雅黑" w:eastAsia="微软雅黑" w:cs="微软雅黑"/>
          <w:b/>
          <w:bCs/>
          <w:color w:val="auto"/>
          <w:sz w:val="24"/>
          <w:szCs w:val="24"/>
          <w:lang w:val="en-US" w:eastAsia="zh-CN"/>
        </w:rPr>
        <w:t>六是强化指导培训。</w:t>
      </w:r>
      <w:r>
        <w:rPr>
          <w:rFonts w:hint="eastAsia" w:ascii="微软雅黑" w:hAnsi="微软雅黑" w:eastAsia="微软雅黑" w:cs="微软雅黑"/>
          <w:color w:val="auto"/>
          <w:sz w:val="24"/>
          <w:szCs w:val="24"/>
          <w:lang w:val="en-US" w:eastAsia="zh-CN"/>
        </w:rPr>
        <w:t>县农经站每年对县级以上示范新型经营主体召开高质量发展培训会，组织部分农场主参与“耕耘者”振兴计划线下培训和农业农村部经管司线上专题培训。每年5月份，县农经站还组织申报创建示范性合作社和家庭农场的负责人重点培训财务、信息化管理、示范创建等业务知识。县农广校近年来与有关院校和社会培训机构举办了新型经营主体负责人培训班，培训内容侧重于生产经营实用技能等。</w:t>
      </w:r>
    </w:p>
    <w:p w14:paraId="20C43F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㈣持续</w:t>
      </w:r>
      <w:r>
        <w:rPr>
          <w:rFonts w:hint="eastAsia" w:ascii="微软雅黑" w:hAnsi="微软雅黑" w:eastAsia="微软雅黑" w:cs="微软雅黑"/>
          <w:b/>
          <w:bCs/>
          <w:color w:val="auto"/>
          <w:sz w:val="24"/>
          <w:szCs w:val="24"/>
          <w:lang w:eastAsia="zh-CN"/>
        </w:rPr>
        <w:t>抓好宅基地建房管理。</w:t>
      </w: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eastAsia="zh-CN"/>
        </w:rPr>
        <w:t>是规范审批管理。</w:t>
      </w:r>
      <w:r>
        <w:rPr>
          <w:rFonts w:hint="eastAsia" w:ascii="微软雅黑" w:hAnsi="微软雅黑" w:eastAsia="微软雅黑" w:cs="微软雅黑"/>
          <w:b w:val="0"/>
          <w:bCs w:val="0"/>
          <w:color w:val="auto"/>
          <w:sz w:val="24"/>
          <w:szCs w:val="24"/>
          <w:lang w:eastAsia="zh-CN"/>
        </w:rPr>
        <w:t>我县印发了《蓝山县农村宅基地和建房审批管理农户档案》（一户一本）和《蓝山县农村宅基地和建房审批管理工作资料（填报模板）》（每村一本），推行“一户一档”管理和“六到场”要求，对事前、事中、事后全流程监管并登记在案。</w:t>
      </w:r>
      <w:r>
        <w:rPr>
          <w:rFonts w:hint="eastAsia" w:ascii="微软雅黑" w:hAnsi="微软雅黑" w:eastAsia="微软雅黑" w:cs="微软雅黑"/>
          <w:b/>
          <w:bCs/>
          <w:color w:val="auto"/>
          <w:sz w:val="24"/>
          <w:szCs w:val="24"/>
          <w:lang w:val="en-US" w:eastAsia="zh-CN"/>
        </w:rPr>
        <w:t>二</w:t>
      </w:r>
      <w:r>
        <w:rPr>
          <w:rFonts w:hint="eastAsia" w:ascii="微软雅黑" w:hAnsi="微软雅黑" w:eastAsia="微软雅黑" w:cs="微软雅黑"/>
          <w:b/>
          <w:bCs/>
          <w:color w:val="auto"/>
          <w:sz w:val="24"/>
          <w:szCs w:val="24"/>
          <w:lang w:eastAsia="zh-CN"/>
        </w:rPr>
        <w:t>是严格审批条件。</w:t>
      </w:r>
      <w:r>
        <w:rPr>
          <w:rFonts w:hint="eastAsia" w:ascii="微软雅黑" w:hAnsi="微软雅黑" w:eastAsia="微软雅黑" w:cs="微软雅黑"/>
          <w:b w:val="0"/>
          <w:bCs w:val="0"/>
          <w:color w:val="auto"/>
          <w:sz w:val="24"/>
          <w:szCs w:val="24"/>
          <w:lang w:eastAsia="zh-CN"/>
        </w:rPr>
        <w:t>各乡镇准确界定“成员资格”，严格执行“一户一宅”规定及面积标准，严格落实“建新拆旧”要求，严格审核审批管理申请表、承诺书、审批表、许可证、批准书、验收意见表等资料，严格执行新建住房公示制度，已对审批建房农户设立《农村村民新建住宅公示牌》，并张贴在新建房屋显眼位置。今年来各乡镇共受理宅基地建房申请</w:t>
      </w:r>
      <w:r>
        <w:rPr>
          <w:rFonts w:hint="eastAsia" w:ascii="微软雅黑" w:hAnsi="微软雅黑" w:eastAsia="微软雅黑" w:cs="微软雅黑"/>
          <w:b w:val="0"/>
          <w:bCs w:val="0"/>
          <w:color w:val="auto"/>
          <w:sz w:val="24"/>
          <w:szCs w:val="24"/>
          <w:u w:val="single"/>
          <w:lang w:eastAsia="zh-CN"/>
        </w:rPr>
        <w:t>400</w:t>
      </w:r>
      <w:r>
        <w:rPr>
          <w:rFonts w:hint="eastAsia" w:ascii="微软雅黑" w:hAnsi="微软雅黑" w:eastAsia="微软雅黑" w:cs="微软雅黑"/>
          <w:b w:val="0"/>
          <w:bCs w:val="0"/>
          <w:color w:val="auto"/>
          <w:sz w:val="24"/>
          <w:szCs w:val="24"/>
          <w:lang w:eastAsia="zh-CN"/>
        </w:rPr>
        <w:t>多宗，已通过审批</w:t>
      </w:r>
      <w:r>
        <w:rPr>
          <w:rFonts w:hint="eastAsia" w:ascii="微软雅黑" w:hAnsi="微软雅黑" w:eastAsia="微软雅黑" w:cs="微软雅黑"/>
          <w:b w:val="0"/>
          <w:bCs w:val="0"/>
          <w:color w:val="auto"/>
          <w:sz w:val="24"/>
          <w:szCs w:val="24"/>
          <w:u w:val="single"/>
          <w:lang w:eastAsia="zh-CN"/>
        </w:rPr>
        <w:t>335</w:t>
      </w:r>
      <w:r>
        <w:rPr>
          <w:rFonts w:hint="eastAsia" w:ascii="微软雅黑" w:hAnsi="微软雅黑" w:eastAsia="微软雅黑" w:cs="微软雅黑"/>
          <w:b w:val="0"/>
          <w:bCs w:val="0"/>
          <w:color w:val="auto"/>
          <w:sz w:val="24"/>
          <w:szCs w:val="24"/>
          <w:lang w:eastAsia="zh-CN"/>
        </w:rPr>
        <w:t>宗。自2020年1月日以来，全县累计已受理申请</w:t>
      </w:r>
      <w:r>
        <w:rPr>
          <w:rFonts w:hint="eastAsia" w:ascii="微软雅黑" w:hAnsi="微软雅黑" w:eastAsia="微软雅黑" w:cs="微软雅黑"/>
          <w:b w:val="0"/>
          <w:bCs w:val="0"/>
          <w:color w:val="auto"/>
          <w:sz w:val="24"/>
          <w:szCs w:val="24"/>
          <w:u w:val="single"/>
          <w:lang w:eastAsia="zh-CN"/>
        </w:rPr>
        <w:t>2500</w:t>
      </w:r>
      <w:r>
        <w:rPr>
          <w:rFonts w:hint="eastAsia" w:ascii="微软雅黑" w:hAnsi="微软雅黑" w:eastAsia="微软雅黑" w:cs="微软雅黑"/>
          <w:b w:val="0"/>
          <w:bCs w:val="0"/>
          <w:color w:val="auto"/>
          <w:sz w:val="24"/>
          <w:szCs w:val="24"/>
          <w:lang w:eastAsia="zh-CN"/>
        </w:rPr>
        <w:t>宗，已通过审批</w:t>
      </w:r>
      <w:r>
        <w:rPr>
          <w:rFonts w:hint="eastAsia" w:ascii="微软雅黑" w:hAnsi="微软雅黑" w:eastAsia="微软雅黑" w:cs="微软雅黑"/>
          <w:b w:val="0"/>
          <w:bCs w:val="0"/>
          <w:color w:val="auto"/>
          <w:sz w:val="24"/>
          <w:szCs w:val="24"/>
          <w:u w:val="single"/>
          <w:lang w:eastAsia="zh-CN"/>
        </w:rPr>
        <w:t>1991</w:t>
      </w:r>
      <w:r>
        <w:rPr>
          <w:rFonts w:hint="eastAsia" w:ascii="微软雅黑" w:hAnsi="微软雅黑" w:eastAsia="微软雅黑" w:cs="微软雅黑"/>
          <w:b w:val="0"/>
          <w:bCs w:val="0"/>
          <w:color w:val="auto"/>
          <w:sz w:val="24"/>
          <w:szCs w:val="24"/>
          <w:lang w:eastAsia="zh-CN"/>
        </w:rPr>
        <w:t>宗，未通过审批的主要原因是占用农用地或不符合“一户一宅”要求。</w:t>
      </w:r>
      <w:r>
        <w:rPr>
          <w:rFonts w:hint="eastAsia" w:ascii="微软雅黑" w:hAnsi="微软雅黑" w:eastAsia="微软雅黑" w:cs="微软雅黑"/>
          <w:b/>
          <w:bCs/>
          <w:color w:val="auto"/>
          <w:sz w:val="24"/>
          <w:szCs w:val="24"/>
          <w:lang w:val="en-US" w:eastAsia="zh-CN"/>
        </w:rPr>
        <w:t>三</w:t>
      </w:r>
      <w:r>
        <w:rPr>
          <w:rFonts w:hint="eastAsia" w:ascii="微软雅黑" w:hAnsi="微软雅黑" w:eastAsia="微软雅黑" w:cs="微软雅黑"/>
          <w:b/>
          <w:bCs/>
          <w:color w:val="auto"/>
          <w:sz w:val="24"/>
          <w:szCs w:val="24"/>
          <w:lang w:eastAsia="zh-CN"/>
        </w:rPr>
        <w:t>是做好宣传培训。</w:t>
      </w:r>
      <w:r>
        <w:rPr>
          <w:rFonts w:hint="eastAsia" w:ascii="微软雅黑" w:hAnsi="微软雅黑" w:eastAsia="微软雅黑" w:cs="微软雅黑"/>
          <w:b w:val="0"/>
          <w:bCs w:val="0"/>
          <w:color w:val="auto"/>
          <w:sz w:val="24"/>
          <w:szCs w:val="24"/>
          <w:lang w:val="en-US" w:eastAsia="zh-CN"/>
        </w:rPr>
        <w:t>我们持续抓好农民建房有关政策文件宣传，</w:t>
      </w:r>
      <w:r>
        <w:rPr>
          <w:rFonts w:hint="eastAsia" w:ascii="微软雅黑" w:hAnsi="微软雅黑" w:eastAsia="微软雅黑" w:cs="微软雅黑"/>
          <w:b w:val="0"/>
          <w:bCs w:val="0"/>
          <w:color w:val="auto"/>
          <w:sz w:val="24"/>
          <w:szCs w:val="24"/>
          <w:lang w:eastAsia="zh-CN"/>
        </w:rPr>
        <w:t>重点是宣传《湖南省居民自建房安全管理若干规定》《湖南省人民政府办公厅关于〈湖南省居民自建房安全管理若干规定〉实施工作的意见》（湘政办发〔2023〕7号）文件精神，突出抓好“3个3限额”管理和落实《湖南省农村住房“全生命周期管理”流程图》要求。</w:t>
      </w:r>
      <w:r>
        <w:rPr>
          <w:rFonts w:hint="eastAsia" w:ascii="微软雅黑" w:hAnsi="微软雅黑" w:eastAsia="微软雅黑" w:cs="微软雅黑"/>
          <w:b w:val="0"/>
          <w:bCs w:val="0"/>
          <w:color w:val="auto"/>
          <w:sz w:val="24"/>
          <w:szCs w:val="24"/>
          <w:lang w:val="en-US" w:eastAsia="zh-CN"/>
        </w:rPr>
        <w:t>总结提炼了《蓝山县“一五一十”抓好农村宅基地审批管理方法》，</w:t>
      </w:r>
      <w:r>
        <w:rPr>
          <w:rFonts w:hint="eastAsia" w:ascii="微软雅黑" w:hAnsi="微软雅黑" w:eastAsia="微软雅黑" w:cs="微软雅黑"/>
          <w:b w:val="0"/>
          <w:bCs w:val="0"/>
          <w:color w:val="auto"/>
          <w:sz w:val="24"/>
          <w:szCs w:val="24"/>
          <w:lang w:eastAsia="zh-CN"/>
        </w:rPr>
        <w:t>进一步向乡镇强调了审批程序和监管要求。</w:t>
      </w:r>
      <w:r>
        <w:rPr>
          <w:rFonts w:hint="eastAsia" w:ascii="微软雅黑" w:hAnsi="微软雅黑" w:eastAsia="微软雅黑" w:cs="微软雅黑"/>
          <w:b/>
          <w:bCs/>
          <w:color w:val="auto"/>
          <w:sz w:val="24"/>
          <w:szCs w:val="24"/>
          <w:lang w:val="en-US" w:eastAsia="zh-CN"/>
        </w:rPr>
        <w:t>四</w:t>
      </w:r>
      <w:r>
        <w:rPr>
          <w:rFonts w:hint="eastAsia" w:ascii="微软雅黑" w:hAnsi="微软雅黑" w:eastAsia="微软雅黑" w:cs="微软雅黑"/>
          <w:b/>
          <w:bCs/>
          <w:color w:val="auto"/>
          <w:sz w:val="24"/>
          <w:szCs w:val="24"/>
          <w:lang w:eastAsia="zh-CN"/>
        </w:rPr>
        <w:t>是落实需求调查。</w:t>
      </w:r>
      <w:r>
        <w:rPr>
          <w:rFonts w:hint="eastAsia" w:ascii="微软雅黑" w:hAnsi="微软雅黑" w:eastAsia="微软雅黑" w:cs="微软雅黑"/>
          <w:b w:val="0"/>
          <w:bCs w:val="0"/>
          <w:color w:val="auto"/>
          <w:sz w:val="24"/>
          <w:szCs w:val="24"/>
          <w:lang w:val="en-US" w:eastAsia="zh-CN"/>
        </w:rPr>
        <w:t>年初</w:t>
      </w:r>
      <w:r>
        <w:rPr>
          <w:rFonts w:hint="eastAsia" w:ascii="微软雅黑" w:hAnsi="微软雅黑" w:eastAsia="微软雅黑" w:cs="微软雅黑"/>
          <w:b w:val="0"/>
          <w:bCs w:val="0"/>
          <w:color w:val="auto"/>
          <w:sz w:val="24"/>
          <w:szCs w:val="24"/>
          <w:lang w:eastAsia="zh-CN"/>
        </w:rPr>
        <w:t>，我们组织了蓝山县202</w:t>
      </w: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z w:val="24"/>
          <w:szCs w:val="24"/>
          <w:lang w:eastAsia="zh-CN"/>
        </w:rPr>
        <w:t>年农村宅基地用地需求情况统计调查，调查结果同步报送自然资源部门备案，实现数据成果共建共享共用。县自然资源部门批复近年来农用地转用宅基地建房</w:t>
      </w:r>
      <w:r>
        <w:rPr>
          <w:rFonts w:hint="eastAsia" w:ascii="微软雅黑" w:hAnsi="微软雅黑" w:eastAsia="微软雅黑" w:cs="微软雅黑"/>
          <w:b w:val="0"/>
          <w:bCs w:val="0"/>
          <w:color w:val="auto"/>
          <w:sz w:val="24"/>
          <w:szCs w:val="24"/>
          <w:u w:val="single"/>
          <w:lang w:eastAsia="zh-CN"/>
        </w:rPr>
        <w:t>216</w:t>
      </w:r>
      <w:r>
        <w:rPr>
          <w:rFonts w:hint="eastAsia" w:ascii="微软雅黑" w:hAnsi="微软雅黑" w:eastAsia="微软雅黑" w:cs="微软雅黑"/>
          <w:b w:val="0"/>
          <w:bCs w:val="0"/>
          <w:color w:val="auto"/>
          <w:sz w:val="24"/>
          <w:szCs w:val="24"/>
          <w:lang w:eastAsia="zh-CN"/>
        </w:rPr>
        <w:t>宗，面积</w:t>
      </w:r>
      <w:r>
        <w:rPr>
          <w:rFonts w:hint="eastAsia" w:ascii="微软雅黑" w:hAnsi="微软雅黑" w:eastAsia="微软雅黑" w:cs="微软雅黑"/>
          <w:b w:val="0"/>
          <w:bCs w:val="0"/>
          <w:color w:val="auto"/>
          <w:sz w:val="24"/>
          <w:szCs w:val="24"/>
          <w:u w:val="single"/>
          <w:lang w:eastAsia="zh-CN"/>
        </w:rPr>
        <w:t>2.8064</w:t>
      </w:r>
      <w:r>
        <w:rPr>
          <w:rFonts w:hint="eastAsia" w:ascii="微软雅黑" w:hAnsi="微软雅黑" w:eastAsia="微软雅黑" w:cs="微软雅黑"/>
          <w:b w:val="0"/>
          <w:bCs w:val="0"/>
          <w:color w:val="auto"/>
          <w:sz w:val="24"/>
          <w:szCs w:val="24"/>
          <w:lang w:eastAsia="zh-CN"/>
        </w:rPr>
        <w:t>公顷，解决了部分农户无地建房的问题。</w:t>
      </w:r>
      <w:r>
        <w:rPr>
          <w:rFonts w:hint="eastAsia" w:ascii="微软雅黑" w:hAnsi="微软雅黑" w:eastAsia="微软雅黑" w:cs="微软雅黑"/>
          <w:b/>
          <w:bCs/>
          <w:color w:val="auto"/>
          <w:sz w:val="24"/>
          <w:szCs w:val="24"/>
          <w:lang w:val="en-US" w:eastAsia="zh-CN"/>
        </w:rPr>
        <w:t>五是落实问题核查。</w:t>
      </w:r>
      <w:r>
        <w:rPr>
          <w:rFonts w:hint="eastAsia" w:ascii="微软雅黑" w:hAnsi="微软雅黑" w:eastAsia="微软雅黑" w:cs="微软雅黑"/>
          <w:b w:val="0"/>
          <w:bCs w:val="0"/>
          <w:color w:val="auto"/>
          <w:sz w:val="24"/>
          <w:szCs w:val="24"/>
          <w:lang w:val="en-US" w:eastAsia="zh-CN"/>
        </w:rPr>
        <w:t>今年来，县农业农村部门（农经）共处置</w:t>
      </w:r>
      <w:r>
        <w:rPr>
          <w:rFonts w:hint="eastAsia" w:ascii="微软雅黑" w:hAnsi="微软雅黑" w:eastAsia="微软雅黑" w:cs="微软雅黑"/>
          <w:b w:val="0"/>
          <w:bCs w:val="0"/>
          <w:color w:val="auto"/>
          <w:sz w:val="24"/>
          <w:szCs w:val="24"/>
          <w:u w:val="single"/>
          <w:lang w:val="en-US" w:eastAsia="zh-CN"/>
        </w:rPr>
        <w:t>6</w:t>
      </w:r>
      <w:r>
        <w:rPr>
          <w:rFonts w:hint="eastAsia" w:ascii="微软雅黑" w:hAnsi="微软雅黑" w:eastAsia="微软雅黑" w:cs="微软雅黑"/>
          <w:b w:val="0"/>
          <w:bCs w:val="0"/>
          <w:color w:val="auto"/>
          <w:sz w:val="24"/>
          <w:szCs w:val="24"/>
          <w:lang w:val="en-US" w:eastAsia="zh-CN"/>
        </w:rPr>
        <w:t>起有关村民建房问题的信访件。完成</w:t>
      </w:r>
      <w:r>
        <w:rPr>
          <w:rFonts w:hint="eastAsia" w:ascii="微软雅黑" w:hAnsi="微软雅黑" w:eastAsia="微软雅黑" w:cs="微软雅黑"/>
          <w:b w:val="0"/>
          <w:bCs w:val="0"/>
          <w:color w:val="auto"/>
          <w:sz w:val="24"/>
          <w:szCs w:val="24"/>
          <w:u w:val="single"/>
          <w:lang w:val="en-US" w:eastAsia="zh-CN"/>
        </w:rPr>
        <w:t>8</w:t>
      </w:r>
      <w:r>
        <w:rPr>
          <w:rFonts w:hint="eastAsia" w:ascii="微软雅黑" w:hAnsi="微软雅黑" w:eastAsia="微软雅黑" w:cs="微软雅黑"/>
          <w:b w:val="0"/>
          <w:bCs w:val="0"/>
          <w:color w:val="auto"/>
          <w:sz w:val="24"/>
          <w:szCs w:val="24"/>
          <w:lang w:val="en-US" w:eastAsia="zh-CN"/>
        </w:rPr>
        <w:t>宗疑似图斑核查任务。</w:t>
      </w:r>
    </w:p>
    <w:p w14:paraId="070235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㈤全面落实农业社会化服务任务。</w:t>
      </w:r>
      <w:r>
        <w:rPr>
          <w:rFonts w:hint="eastAsia" w:ascii="微软雅黑" w:hAnsi="微软雅黑" w:eastAsia="微软雅黑" w:cs="微软雅黑"/>
          <w:color w:val="auto"/>
          <w:sz w:val="24"/>
          <w:szCs w:val="24"/>
          <w:lang w:val="en-US" w:eastAsia="zh-CN"/>
        </w:rPr>
        <w:t>根据省农业农村厅任务清单和工作要求，今年我县农业社会化服务项目要完成标准面积2.68万亩（其中供销合作主体承担任务0.9万亩），支持资金总计233.3万元。其中集中育秧标准面积0.44万亩;机插机抛标准面积1.85万亩;其他环节标准面积0.39万亩。</w:t>
      </w:r>
    </w:p>
    <w:p w14:paraId="6F3CDD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我县加强了工作统筹。由农业农村（农经）部门统筹抓总，要兜底完成。县农业农村局种植业股、农机、供销各负其责，共同抓好组织实施。我们向县分管领导作了专门汇报，多次召开部门工作协调会，召开有关经营服务主体业务培训会，学习文件精神，吃透政策要求，研究解决问题办法，并到村到大户到合作社现场调查，想方设法推进工作任务的落实落地。</w:t>
      </w:r>
    </w:p>
    <w:p w14:paraId="7E8B49F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至10月底，全县总任务大田面积</w:t>
      </w:r>
      <w:r>
        <w:rPr>
          <w:rFonts w:hint="eastAsia" w:ascii="微软雅黑" w:hAnsi="微软雅黑" w:eastAsia="微软雅黑" w:cs="微软雅黑"/>
          <w:b w:val="0"/>
          <w:bCs w:val="0"/>
          <w:color w:val="auto"/>
          <w:sz w:val="24"/>
          <w:szCs w:val="24"/>
          <w:u w:val="single"/>
          <w:lang w:val="en-US" w:eastAsia="zh-CN"/>
        </w:rPr>
        <w:t>110900.00</w:t>
      </w:r>
      <w:r>
        <w:rPr>
          <w:rFonts w:hint="eastAsia" w:ascii="微软雅黑" w:hAnsi="微软雅黑" w:eastAsia="微软雅黑" w:cs="微软雅黑"/>
          <w:color w:val="auto"/>
          <w:sz w:val="24"/>
          <w:szCs w:val="24"/>
          <w:lang w:val="en-US" w:eastAsia="zh-CN"/>
        </w:rPr>
        <w:t>亩，已完成大田面积</w:t>
      </w:r>
      <w:r>
        <w:rPr>
          <w:rFonts w:hint="eastAsia" w:ascii="微软雅黑" w:hAnsi="微软雅黑" w:eastAsia="微软雅黑" w:cs="微软雅黑"/>
          <w:b w:val="0"/>
          <w:bCs w:val="0"/>
          <w:color w:val="auto"/>
          <w:sz w:val="24"/>
          <w:szCs w:val="24"/>
          <w:u w:val="single"/>
          <w:lang w:val="en-US" w:eastAsia="zh-CN"/>
        </w:rPr>
        <w:t>120491.91</w:t>
      </w:r>
      <w:r>
        <w:rPr>
          <w:rFonts w:hint="eastAsia" w:ascii="微软雅黑" w:hAnsi="微软雅黑" w:eastAsia="微软雅黑" w:cs="微软雅黑"/>
          <w:color w:val="auto"/>
          <w:sz w:val="24"/>
          <w:szCs w:val="24"/>
          <w:lang w:val="en-US" w:eastAsia="zh-CN"/>
        </w:rPr>
        <w:t>亩(折算成标准面积为32139.57 亩)，完成率为</w:t>
      </w:r>
      <w:r>
        <w:rPr>
          <w:rFonts w:hint="eastAsia" w:ascii="微软雅黑" w:hAnsi="微软雅黑" w:eastAsia="微软雅黑" w:cs="微软雅黑"/>
          <w:b w:val="0"/>
          <w:bCs w:val="0"/>
          <w:color w:val="auto"/>
          <w:sz w:val="24"/>
          <w:szCs w:val="24"/>
          <w:u w:val="single"/>
          <w:lang w:val="en-US" w:eastAsia="zh-CN"/>
        </w:rPr>
        <w:t>108.12%</w:t>
      </w:r>
      <w:r>
        <w:rPr>
          <w:rFonts w:hint="eastAsia" w:ascii="微软雅黑" w:hAnsi="微软雅黑" w:eastAsia="微软雅黑" w:cs="微软雅黑"/>
          <w:color w:val="auto"/>
          <w:sz w:val="24"/>
          <w:szCs w:val="24"/>
          <w:lang w:val="en-US" w:eastAsia="zh-CN"/>
        </w:rPr>
        <w:t>。其中：完成集中育秧大田面积</w:t>
      </w:r>
      <w:r>
        <w:rPr>
          <w:rFonts w:hint="eastAsia" w:ascii="微软雅黑" w:hAnsi="微软雅黑" w:eastAsia="微软雅黑" w:cs="微软雅黑"/>
          <w:b w:val="0"/>
          <w:bCs w:val="0"/>
          <w:color w:val="auto"/>
          <w:sz w:val="24"/>
          <w:szCs w:val="24"/>
          <w:u w:val="single"/>
          <w:lang w:val="en-US" w:eastAsia="zh-CN"/>
        </w:rPr>
        <w:t>38485</w:t>
      </w:r>
      <w:r>
        <w:rPr>
          <w:rFonts w:hint="eastAsia" w:ascii="微软雅黑" w:hAnsi="微软雅黑" w:eastAsia="微软雅黑" w:cs="微软雅黑"/>
          <w:color w:val="auto"/>
          <w:sz w:val="24"/>
          <w:szCs w:val="24"/>
          <w:lang w:val="en-US" w:eastAsia="zh-CN"/>
        </w:rPr>
        <w:t>亩，完成比例为</w:t>
      </w:r>
      <w:r>
        <w:rPr>
          <w:rFonts w:hint="eastAsia" w:ascii="微软雅黑" w:hAnsi="微软雅黑" w:eastAsia="微软雅黑" w:cs="微软雅黑"/>
          <w:b w:val="0"/>
          <w:bCs w:val="0"/>
          <w:color w:val="auto"/>
          <w:sz w:val="24"/>
          <w:szCs w:val="24"/>
          <w:u w:val="single"/>
          <w:lang w:val="en-US" w:eastAsia="zh-CN"/>
        </w:rPr>
        <w:t>100.22%</w:t>
      </w:r>
      <w:r>
        <w:rPr>
          <w:rFonts w:hint="eastAsia" w:ascii="微软雅黑" w:hAnsi="微软雅黑" w:eastAsia="微软雅黑" w:cs="微软雅黑"/>
          <w:color w:val="auto"/>
          <w:sz w:val="24"/>
          <w:szCs w:val="24"/>
          <w:lang w:val="en-US" w:eastAsia="zh-CN"/>
        </w:rPr>
        <w:t>；完成机插机抛大田面积</w:t>
      </w:r>
      <w:r>
        <w:rPr>
          <w:rFonts w:hint="eastAsia" w:ascii="微软雅黑" w:hAnsi="微软雅黑" w:eastAsia="微软雅黑" w:cs="微软雅黑"/>
          <w:b w:val="0"/>
          <w:bCs w:val="0"/>
          <w:color w:val="auto"/>
          <w:sz w:val="24"/>
          <w:szCs w:val="24"/>
          <w:u w:val="single"/>
          <w:lang w:val="en-US" w:eastAsia="zh-CN"/>
        </w:rPr>
        <w:t>49975.99</w:t>
      </w:r>
      <w:r>
        <w:rPr>
          <w:rFonts w:hint="eastAsia" w:ascii="微软雅黑" w:hAnsi="微软雅黑" w:eastAsia="微软雅黑" w:cs="微软雅黑"/>
          <w:color w:val="auto"/>
          <w:sz w:val="24"/>
          <w:szCs w:val="24"/>
          <w:lang w:val="en-US" w:eastAsia="zh-CN"/>
        </w:rPr>
        <w:t>亩，完成比例为</w:t>
      </w:r>
      <w:r>
        <w:rPr>
          <w:rFonts w:hint="eastAsia" w:ascii="微软雅黑" w:hAnsi="微软雅黑" w:eastAsia="微软雅黑" w:cs="微软雅黑"/>
          <w:b w:val="0"/>
          <w:bCs w:val="0"/>
          <w:color w:val="auto"/>
          <w:sz w:val="24"/>
          <w:szCs w:val="24"/>
          <w:u w:val="single"/>
          <w:lang w:val="en-US" w:eastAsia="zh-CN"/>
        </w:rPr>
        <w:t>130.15%</w:t>
      </w:r>
      <w:r>
        <w:rPr>
          <w:rFonts w:hint="eastAsia" w:ascii="微软雅黑" w:hAnsi="微软雅黑" w:eastAsia="微软雅黑" w:cs="微软雅黑"/>
          <w:color w:val="auto"/>
          <w:sz w:val="24"/>
          <w:szCs w:val="24"/>
          <w:lang w:val="en-US" w:eastAsia="zh-CN"/>
        </w:rPr>
        <w:t>；完成飞防大田面积</w:t>
      </w:r>
      <w:r>
        <w:rPr>
          <w:rFonts w:hint="eastAsia" w:ascii="微软雅黑" w:hAnsi="微软雅黑" w:eastAsia="微软雅黑" w:cs="微软雅黑"/>
          <w:b w:val="0"/>
          <w:bCs w:val="0"/>
          <w:color w:val="auto"/>
          <w:sz w:val="24"/>
          <w:szCs w:val="24"/>
          <w:u w:val="single"/>
          <w:lang w:val="en-US" w:eastAsia="zh-CN"/>
        </w:rPr>
        <w:t>17720</w:t>
      </w:r>
      <w:r>
        <w:rPr>
          <w:rFonts w:hint="eastAsia" w:ascii="微软雅黑" w:hAnsi="微软雅黑" w:eastAsia="微软雅黑" w:cs="微软雅黑"/>
          <w:color w:val="auto"/>
          <w:sz w:val="24"/>
          <w:szCs w:val="24"/>
          <w:lang w:val="en-US" w:eastAsia="zh-CN"/>
        </w:rPr>
        <w:t>亩，完成比例为</w:t>
      </w:r>
      <w:r>
        <w:rPr>
          <w:rFonts w:hint="eastAsia" w:ascii="微软雅黑" w:hAnsi="微软雅黑" w:eastAsia="微软雅黑" w:cs="微软雅黑"/>
          <w:b w:val="0"/>
          <w:bCs w:val="0"/>
          <w:color w:val="auto"/>
          <w:sz w:val="24"/>
          <w:szCs w:val="24"/>
          <w:u w:val="single"/>
          <w:lang w:val="en-US" w:eastAsia="zh-CN"/>
        </w:rPr>
        <w:t>101.90%</w:t>
      </w:r>
      <w:r>
        <w:rPr>
          <w:rFonts w:hint="eastAsia" w:ascii="微软雅黑" w:hAnsi="微软雅黑" w:eastAsia="微软雅黑" w:cs="微软雅黑"/>
          <w:color w:val="auto"/>
          <w:sz w:val="24"/>
          <w:szCs w:val="24"/>
          <w:lang w:val="en-US" w:eastAsia="zh-CN"/>
        </w:rPr>
        <w:t>；完成烘干大田面积</w:t>
      </w:r>
      <w:r>
        <w:rPr>
          <w:rFonts w:hint="eastAsia" w:ascii="微软雅黑" w:hAnsi="微软雅黑" w:eastAsia="微软雅黑" w:cs="微软雅黑"/>
          <w:b w:val="0"/>
          <w:bCs w:val="0"/>
          <w:color w:val="auto"/>
          <w:sz w:val="24"/>
          <w:szCs w:val="24"/>
          <w:u w:val="single"/>
          <w:lang w:val="en-US" w:eastAsia="zh-CN"/>
        </w:rPr>
        <w:t>14310.92</w:t>
      </w:r>
      <w:r>
        <w:rPr>
          <w:rFonts w:hint="eastAsia" w:ascii="微软雅黑" w:hAnsi="微软雅黑" w:eastAsia="微软雅黑" w:cs="微软雅黑"/>
          <w:color w:val="auto"/>
          <w:sz w:val="24"/>
          <w:szCs w:val="24"/>
          <w:lang w:val="en-US" w:eastAsia="zh-CN"/>
        </w:rPr>
        <w:t>亩，完成比例为</w:t>
      </w:r>
      <w:r>
        <w:rPr>
          <w:rFonts w:hint="eastAsia" w:ascii="微软雅黑" w:hAnsi="微软雅黑" w:eastAsia="微软雅黑" w:cs="微软雅黑"/>
          <w:b w:val="0"/>
          <w:bCs w:val="0"/>
          <w:color w:val="auto"/>
          <w:sz w:val="24"/>
          <w:szCs w:val="24"/>
          <w:u w:val="single"/>
          <w:lang w:val="en-US" w:eastAsia="zh-CN"/>
        </w:rPr>
        <w:t>85.64%</w:t>
      </w:r>
      <w:r>
        <w:rPr>
          <w:rFonts w:hint="eastAsia" w:ascii="微软雅黑" w:hAnsi="微软雅黑" w:eastAsia="微软雅黑" w:cs="微软雅黑"/>
          <w:color w:val="auto"/>
          <w:sz w:val="24"/>
          <w:szCs w:val="24"/>
          <w:lang w:val="en-US" w:eastAsia="zh-CN"/>
        </w:rPr>
        <w:t>。下一步，将启动补贴名单、服务面积公示和申请财政结算、拨付补贴资金。</w:t>
      </w:r>
    </w:p>
    <w:p w14:paraId="3960BA4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㈥扎实开展集体“三资”专项整治。</w:t>
      </w:r>
      <w:r>
        <w:rPr>
          <w:rFonts w:hint="eastAsia" w:ascii="微软雅黑" w:hAnsi="微软雅黑" w:eastAsia="微软雅黑" w:cs="微软雅黑"/>
          <w:b w:val="0"/>
          <w:bCs w:val="0"/>
          <w:color w:val="auto"/>
          <w:sz w:val="24"/>
          <w:szCs w:val="24"/>
          <w:lang w:val="en-US" w:eastAsia="zh-CN"/>
        </w:rPr>
        <w:t>群众身边不正之风和腐败问题集中整治工作开展以来，蓝山县“三资”管理专项整治工作领导小组紧盯农村集体财务管理不规范、集体经济合同清理不彻底、村级集体违规举债、集体工程项目管理混乱等“三资”管理问题，主动作为、精准施策，推动集中整治工作走深走实，取得了阶段性成效。</w:t>
      </w:r>
    </w:p>
    <w:p w14:paraId="3EF94AB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1.全面排查农村集体“三资”问题，切实抓好整改。</w:t>
      </w:r>
      <w:r>
        <w:rPr>
          <w:rFonts w:hint="eastAsia" w:ascii="微软雅黑" w:hAnsi="微软雅黑" w:eastAsia="微软雅黑" w:cs="微软雅黑"/>
          <w:b w:val="0"/>
          <w:bCs w:val="0"/>
          <w:color w:val="auto"/>
          <w:sz w:val="24"/>
          <w:szCs w:val="24"/>
          <w:u w:val="single"/>
          <w:lang w:val="en-US" w:eastAsia="zh-CN"/>
        </w:rPr>
        <w:t>全县共排查问题162个，已整改157个，涉及人数95人，涉及总金额1022.88万余元，追回金额316.18万元，退还群众5.11万元</w:t>
      </w:r>
      <w:r>
        <w:rPr>
          <w:rFonts w:hint="eastAsia" w:ascii="微软雅黑" w:hAnsi="微软雅黑" w:eastAsia="微软雅黑" w:cs="微软雅黑"/>
          <w:b w:val="0"/>
          <w:bCs w:val="0"/>
          <w:color w:val="auto"/>
          <w:sz w:val="24"/>
          <w:szCs w:val="24"/>
          <w:lang w:val="en-US" w:eastAsia="zh-CN"/>
        </w:rPr>
        <w:t>，剩余的问题将重点督促落实整改到位。7月10日，省纪委第三督导组来蓝督查，反馈我县“三资”方面存在4个方面问题，我们按照“一个问题、一名领导、一项措施、一个时限”的要求抓好整改。目前除“压力传导不够、工作责任还没有扛牢”仍在整改中外，其它的村级负债、共享贷、集体经济合同等三个问题均已按时间节点整改到位。</w:t>
      </w:r>
    </w:p>
    <w:p w14:paraId="6F38216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2.开展“驻场解剖麻雀式”检查。将太平圩镇里田村作为“驻场解剖式”村，截至目前，</w:t>
      </w:r>
      <w:r>
        <w:rPr>
          <w:rFonts w:hint="eastAsia" w:ascii="微软雅黑" w:hAnsi="微软雅黑" w:eastAsia="微软雅黑" w:cs="微软雅黑"/>
          <w:b w:val="0"/>
          <w:bCs w:val="0"/>
          <w:color w:val="auto"/>
          <w:sz w:val="24"/>
          <w:szCs w:val="24"/>
          <w:u w:val="single"/>
          <w:lang w:val="en-US" w:eastAsia="zh-CN"/>
        </w:rPr>
        <w:t>已移交县纪委监委问题线索16件，涉及村干部17人，金额216.2248万元，处理违纪违法人员5人。</w:t>
      </w:r>
    </w:p>
    <w:p w14:paraId="08E5FB8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3.开展“共享贷”等专项整治。</w:t>
      </w:r>
      <w:r>
        <w:rPr>
          <w:rFonts w:hint="eastAsia" w:ascii="微软雅黑" w:hAnsi="微软雅黑" w:eastAsia="微软雅黑" w:cs="微软雅黑"/>
          <w:b w:val="0"/>
          <w:bCs w:val="0"/>
          <w:color w:val="auto"/>
          <w:sz w:val="24"/>
          <w:szCs w:val="24"/>
          <w:u w:val="single"/>
          <w:lang w:val="en-US" w:eastAsia="zh-CN"/>
        </w:rPr>
        <w:t>目前共排查发现问题6个，移交线索6个，其中11个乡镇36个村使用乡村振兴共享贷资金，实际借款为1751.88万元，</w:t>
      </w:r>
      <w:r>
        <w:rPr>
          <w:rFonts w:hint="eastAsia" w:ascii="微软雅黑" w:hAnsi="微软雅黑" w:eastAsia="微软雅黑" w:cs="微软雅黑"/>
          <w:b w:val="0"/>
          <w:bCs w:val="0"/>
          <w:color w:val="auto"/>
          <w:sz w:val="24"/>
          <w:szCs w:val="24"/>
          <w:lang w:val="en-US" w:eastAsia="zh-CN"/>
        </w:rPr>
        <w:t>现均已录入村财系统，纳入了监管。按照“三湘护农”行动的要求，县整治办采取集中督查与日常调研暗访相结合的方式，对所属乡镇进行全面督查，乡镇低于10个村的全覆盖，多于10个村的不低于60%。</w:t>
      </w:r>
    </w:p>
    <w:p w14:paraId="610AA2D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7"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4.建立健全长效监管机制。一是加大宣传力度。下发了农村集体“三资”管理政策汇编，向县、乡两级发放宣传资料2000多份、制作宣传板报200多块。二是强化业务培训。组织全县200多名农村集体“三资”专项整治人员进行业务培训。三是规范财务公开。依托“三资”监管平台，持续规范各村财务支出手续，严格落实财务公开和民主管理制度，确保集体资金使用安全，运行平稳。截至目前，我县已经制定和建立《蓝山县农村集体资产管理办法（暂行）》《蓝山县村级集体经济组织财务管理办法（暂行）》《蓝山县关于加强惠农补贴资金行政监管的意见》等制度。</w:t>
      </w:r>
    </w:p>
    <w:p w14:paraId="1CC85B8F">
      <w:pPr>
        <w:pStyle w:val="2"/>
        <w:rPr>
          <w:rFonts w:hint="eastAsia" w:ascii="微软雅黑" w:hAnsi="微软雅黑" w:eastAsia="微软雅黑" w:cs="微软雅黑"/>
          <w:sz w:val="24"/>
          <w:szCs w:val="24"/>
          <w:lang w:val="en-US" w:eastAsia="zh-CN"/>
        </w:rPr>
      </w:pPr>
    </w:p>
    <w:p w14:paraId="333B9CF2">
      <w:pPr>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二、部门（单位）整体支出管理及使用情况</w:t>
      </w:r>
    </w:p>
    <w:p w14:paraId="11080947">
      <w:pPr>
        <w:ind w:firstLine="480" w:firstLineChars="200"/>
        <w:outlineLvl w:val="1"/>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（一）基本支出管理情况</w:t>
      </w:r>
    </w:p>
    <w:p w14:paraId="03091B58">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本单位202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年收到财政</w:t>
      </w:r>
      <w:r>
        <w:rPr>
          <w:rFonts w:hint="eastAsia" w:ascii="微软雅黑" w:hAnsi="微软雅黑" w:eastAsia="微软雅黑" w:cs="微软雅黑"/>
          <w:color w:val="auto"/>
          <w:sz w:val="24"/>
          <w:szCs w:val="24"/>
          <w:lang w:eastAsia="zh-CN"/>
        </w:rPr>
        <w:t>预算</w:t>
      </w:r>
      <w:r>
        <w:rPr>
          <w:rFonts w:hint="eastAsia" w:ascii="微软雅黑" w:hAnsi="微软雅黑" w:eastAsia="微软雅黑" w:cs="微软雅黑"/>
          <w:color w:val="auto"/>
          <w:sz w:val="24"/>
          <w:szCs w:val="24"/>
        </w:rPr>
        <w:t>资金</w:t>
      </w:r>
      <w:r>
        <w:rPr>
          <w:rFonts w:hint="eastAsia" w:ascii="微软雅黑" w:hAnsi="微软雅黑" w:eastAsia="微软雅黑" w:cs="微软雅黑"/>
          <w:color w:val="auto"/>
          <w:sz w:val="24"/>
          <w:szCs w:val="24"/>
          <w:lang w:val="en-US" w:eastAsia="zh-CN"/>
        </w:rPr>
        <w:t>493.37</w:t>
      </w:r>
      <w:r>
        <w:rPr>
          <w:rFonts w:hint="eastAsia" w:ascii="微软雅黑" w:hAnsi="微软雅黑" w:eastAsia="微软雅黑" w:cs="微软雅黑"/>
          <w:color w:val="auto"/>
          <w:sz w:val="24"/>
          <w:szCs w:val="24"/>
        </w:rPr>
        <w:t>万元，主要用于农林水方</w:t>
      </w:r>
      <w:r>
        <w:rPr>
          <w:rFonts w:hint="eastAsia" w:ascii="微软雅黑" w:hAnsi="微软雅黑" w:eastAsia="微软雅黑" w:cs="微软雅黑"/>
          <w:color w:val="auto"/>
          <w:sz w:val="24"/>
          <w:szCs w:val="24"/>
          <w:lang w:eastAsia="zh-CN"/>
        </w:rPr>
        <w:t>面的支出。</w:t>
      </w: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年全年实际支出</w:t>
      </w:r>
      <w:r>
        <w:rPr>
          <w:rFonts w:hint="eastAsia" w:ascii="微软雅黑" w:hAnsi="微软雅黑" w:eastAsia="微软雅黑" w:cs="微软雅黑"/>
          <w:color w:val="auto"/>
          <w:sz w:val="24"/>
          <w:szCs w:val="24"/>
          <w:lang w:val="en-US" w:eastAsia="zh-CN"/>
        </w:rPr>
        <w:t>348.07</w:t>
      </w:r>
      <w:r>
        <w:rPr>
          <w:rFonts w:hint="eastAsia" w:ascii="微软雅黑" w:hAnsi="微软雅黑" w:eastAsia="微软雅黑" w:cs="微软雅黑"/>
          <w:color w:val="auto"/>
          <w:sz w:val="24"/>
          <w:szCs w:val="24"/>
        </w:rPr>
        <w:t>万元，基本支出</w:t>
      </w:r>
      <w:r>
        <w:rPr>
          <w:rFonts w:hint="eastAsia" w:ascii="微软雅黑" w:hAnsi="微软雅黑" w:eastAsia="微软雅黑" w:cs="微软雅黑"/>
          <w:color w:val="auto"/>
          <w:sz w:val="24"/>
          <w:szCs w:val="24"/>
          <w:lang w:val="en-US" w:eastAsia="zh-CN"/>
        </w:rPr>
        <w:t>239.24</w:t>
      </w:r>
      <w:r>
        <w:rPr>
          <w:rFonts w:hint="eastAsia" w:ascii="微软雅黑" w:hAnsi="微软雅黑" w:eastAsia="微软雅黑" w:cs="微软雅黑"/>
          <w:color w:val="auto"/>
          <w:sz w:val="24"/>
          <w:szCs w:val="24"/>
        </w:rPr>
        <w:t>万元，其中：人员经费</w:t>
      </w:r>
      <w:r>
        <w:rPr>
          <w:rFonts w:hint="eastAsia" w:ascii="微软雅黑" w:hAnsi="微软雅黑" w:eastAsia="微软雅黑" w:cs="微软雅黑"/>
          <w:color w:val="auto"/>
          <w:sz w:val="24"/>
          <w:szCs w:val="24"/>
          <w:lang w:val="en-US" w:eastAsia="zh-CN"/>
        </w:rPr>
        <w:t>207.52</w:t>
      </w:r>
      <w:r>
        <w:rPr>
          <w:rFonts w:hint="eastAsia" w:ascii="微软雅黑" w:hAnsi="微软雅黑" w:eastAsia="微软雅黑" w:cs="微软雅黑"/>
          <w:color w:val="auto"/>
          <w:sz w:val="24"/>
          <w:szCs w:val="24"/>
        </w:rPr>
        <w:t>万元，主要用于基本工资、津贴补贴、奖金、伙食补助、基本养老保险缴费、职业年金缴费、基本医疗保险缴费、其他社会保障缴费、其他工资福利支出、对个人和家庭的补助；公用经费</w:t>
      </w:r>
      <w:r>
        <w:rPr>
          <w:rFonts w:hint="eastAsia" w:ascii="微软雅黑" w:hAnsi="微软雅黑" w:eastAsia="微软雅黑" w:cs="微软雅黑"/>
          <w:color w:val="auto"/>
          <w:sz w:val="24"/>
          <w:szCs w:val="24"/>
          <w:lang w:val="en-US" w:eastAsia="zh-CN"/>
        </w:rPr>
        <w:t>31.71</w:t>
      </w:r>
      <w:r>
        <w:rPr>
          <w:rFonts w:hint="eastAsia" w:ascii="微软雅黑" w:hAnsi="微软雅黑" w:eastAsia="微软雅黑" w:cs="微软雅黑"/>
          <w:color w:val="auto"/>
          <w:sz w:val="24"/>
          <w:szCs w:val="24"/>
        </w:rPr>
        <w:t>万元，主要用于办公费、水电费、差旅费、培训费、公务接待费、劳务费、工会经费、福利费、其他交通费用、其他商品和服务支出。项目支出</w:t>
      </w:r>
      <w:r>
        <w:rPr>
          <w:rFonts w:hint="eastAsia" w:ascii="微软雅黑" w:hAnsi="微软雅黑" w:eastAsia="微软雅黑" w:cs="微软雅黑"/>
          <w:color w:val="auto"/>
          <w:sz w:val="24"/>
          <w:szCs w:val="24"/>
          <w:lang w:val="en-US" w:eastAsia="zh-CN"/>
        </w:rPr>
        <w:t>108.83万</w:t>
      </w:r>
      <w:r>
        <w:rPr>
          <w:rFonts w:hint="eastAsia" w:ascii="微软雅黑" w:hAnsi="微软雅黑" w:eastAsia="微软雅黑" w:cs="微软雅黑"/>
          <w:color w:val="auto"/>
          <w:sz w:val="24"/>
          <w:szCs w:val="24"/>
        </w:rPr>
        <w:t>元。</w:t>
      </w:r>
    </w:p>
    <w:p w14:paraId="42ECF9A6">
      <w:pPr>
        <w:ind w:firstLine="480" w:firstLineChars="200"/>
        <w:outlineLvl w:val="1"/>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w:t>
      </w:r>
      <w:r>
        <w:rPr>
          <w:rFonts w:hint="eastAsia" w:ascii="微软雅黑" w:hAnsi="微软雅黑" w:eastAsia="微软雅黑" w:cs="微软雅黑"/>
          <w:b/>
          <w:bCs/>
          <w:sz w:val="24"/>
          <w:szCs w:val="24"/>
          <w:lang w:eastAsia="zh-CN"/>
        </w:rPr>
        <w:t>二</w:t>
      </w:r>
      <w:r>
        <w:rPr>
          <w:rFonts w:hint="eastAsia" w:ascii="微软雅黑" w:hAnsi="微软雅黑" w:eastAsia="微软雅黑" w:cs="微软雅黑"/>
          <w:b/>
          <w:bCs/>
          <w:sz w:val="24"/>
          <w:szCs w:val="24"/>
        </w:rPr>
        <w:t>）项目支出管理和使用情况</w:t>
      </w:r>
    </w:p>
    <w:p w14:paraId="20DE83E7">
      <w:pPr>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本单位202</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年度项目</w:t>
      </w:r>
      <w:r>
        <w:rPr>
          <w:rFonts w:hint="eastAsia" w:ascii="微软雅黑" w:hAnsi="微软雅黑" w:eastAsia="微软雅黑" w:cs="微软雅黑"/>
          <w:sz w:val="24"/>
          <w:szCs w:val="24"/>
          <w:lang w:eastAsia="zh-CN"/>
        </w:rPr>
        <w:t>支出</w:t>
      </w:r>
      <w:r>
        <w:rPr>
          <w:rFonts w:hint="eastAsia" w:ascii="微软雅黑" w:hAnsi="微软雅黑" w:eastAsia="微软雅黑" w:cs="微软雅黑"/>
          <w:sz w:val="24"/>
          <w:szCs w:val="24"/>
        </w:rPr>
        <w:t>资金</w:t>
      </w:r>
      <w:r>
        <w:rPr>
          <w:rFonts w:hint="eastAsia" w:ascii="微软雅黑" w:hAnsi="微软雅黑" w:eastAsia="微软雅黑" w:cs="微软雅黑"/>
          <w:sz w:val="24"/>
          <w:szCs w:val="24"/>
          <w:lang w:eastAsia="zh-CN"/>
        </w:rPr>
        <w:t>主要有：</w:t>
      </w:r>
    </w:p>
    <w:p w14:paraId="48760B4F">
      <w:pPr>
        <w:pStyle w:val="2"/>
        <w:ind w:firstLine="240" w:firstLine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1、蓝山县农村产权流转交易中心工作经费支出6.26万元，其中：办公费支出1.26万元，印刷费支出4.55万元，差旅费支出0.27万元，维修费支出0.18万元。</w:t>
      </w:r>
    </w:p>
    <w:p w14:paraId="332DFB2B">
      <w:pPr>
        <w:pStyle w:val="3"/>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2022年土地承包仲裁工作经费支出1.54万元，其中：印刷费支出1.06万元，差旅费支出0.28万元，其他交通费支出0.2万元。</w:t>
      </w:r>
    </w:p>
    <w:p w14:paraId="5BB5DC3C">
      <w:pPr>
        <w:pStyle w:val="3"/>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2023年中央农业经营主体能力提升资金支出76万元，用于支持6家合作社及家庭农场的农业生产发展，其中：蓝山县裕家种植专业合作社20万元、蓝山县雷家岭生态农业种养殖专业合作社20万元、蓝山县绿鑫源生态农业专业合作社20万元、蓝山县涵泽家庭农场5万元、蓝山县马龙山家庭农场5万元、蓝山县葡之语家庭农场6万元。</w:t>
      </w:r>
    </w:p>
    <w:p w14:paraId="4684390D">
      <w:pPr>
        <w:pStyle w:val="3"/>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农村集体三资管理突出问题专项治理工作经费支出1.53万元，其中：印刷费支出1.3万元，差旅费支出0.09万元，会议费支出0.07万元，公务接待费支出0.07万元。</w:t>
      </w:r>
    </w:p>
    <w:p w14:paraId="0BC81859">
      <w:pPr>
        <w:pStyle w:val="3"/>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i w:val="0"/>
          <w:caps w:val="0"/>
          <w:color w:val="333333"/>
          <w:spacing w:val="0"/>
          <w:sz w:val="24"/>
          <w:szCs w:val="24"/>
          <w:shd w:val="clear" w:color="auto" w:fill="FFFFFF"/>
        </w:rPr>
        <w:t>2024年省级现代农业农村发展专项资金（蓝山县土地延包整县试点项目工作经费</w:t>
      </w:r>
      <w:r>
        <w:rPr>
          <w:rFonts w:hint="eastAsia" w:ascii="微软雅黑" w:hAnsi="微软雅黑" w:eastAsia="微软雅黑" w:cs="微软雅黑"/>
          <w:b w:val="0"/>
          <w:bCs w:val="0"/>
          <w:i w:val="0"/>
          <w:caps w:val="0"/>
          <w:color w:val="333333"/>
          <w:spacing w:val="0"/>
          <w:sz w:val="24"/>
          <w:szCs w:val="24"/>
          <w:shd w:val="clear" w:color="auto" w:fill="FFFFFF"/>
          <w:lang w:eastAsia="zh-CN"/>
        </w:rPr>
        <w:t>）支出</w:t>
      </w:r>
      <w:r>
        <w:rPr>
          <w:rFonts w:hint="eastAsia" w:ascii="微软雅黑" w:hAnsi="微软雅黑" w:eastAsia="微软雅黑" w:cs="微软雅黑"/>
          <w:b w:val="0"/>
          <w:bCs w:val="0"/>
          <w:i w:val="0"/>
          <w:caps w:val="0"/>
          <w:color w:val="333333"/>
          <w:spacing w:val="0"/>
          <w:sz w:val="24"/>
          <w:szCs w:val="24"/>
          <w:shd w:val="clear" w:color="auto" w:fill="FFFFFF"/>
          <w:lang w:val="en-US" w:eastAsia="zh-CN"/>
        </w:rPr>
        <w:t>11.58万元。其中：印刷费支出11.52万元，公务接待费支出0.06万元，</w:t>
      </w:r>
    </w:p>
    <w:p w14:paraId="1FC0522D">
      <w:pPr>
        <w:pStyle w:val="3"/>
        <w:numPr>
          <w:ilvl w:val="0"/>
          <w:numId w:val="2"/>
        </w:numPr>
        <w:rPr>
          <w:rFonts w:hint="eastAsia" w:ascii="微软雅黑" w:hAnsi="微软雅黑" w:eastAsia="微软雅黑" w:cs="微软雅黑"/>
          <w:b w:val="0"/>
          <w:bCs w:val="0"/>
          <w:sz w:val="24"/>
          <w:szCs w:val="24"/>
        </w:rPr>
      </w:pPr>
      <w:r>
        <w:rPr>
          <w:rFonts w:hint="eastAsia" w:ascii="微软雅黑" w:hAnsi="微软雅黑" w:eastAsia="微软雅黑" w:cs="微软雅黑"/>
          <w:i w:val="0"/>
          <w:caps w:val="0"/>
          <w:color w:val="333333"/>
          <w:spacing w:val="0"/>
          <w:sz w:val="24"/>
          <w:szCs w:val="24"/>
          <w:shd w:val="clear" w:color="auto" w:fill="FFFFFF"/>
        </w:rPr>
        <w:t>2022省级农村发展（延包试点）专项资金</w:t>
      </w:r>
      <w:r>
        <w:rPr>
          <w:rFonts w:hint="eastAsia" w:ascii="微软雅黑" w:hAnsi="微软雅黑" w:eastAsia="微软雅黑" w:cs="微软雅黑"/>
          <w:i w:val="0"/>
          <w:caps w:val="0"/>
          <w:color w:val="333333"/>
          <w:spacing w:val="0"/>
          <w:sz w:val="24"/>
          <w:szCs w:val="24"/>
          <w:shd w:val="clear" w:color="auto" w:fill="FFFFFF"/>
          <w:lang w:eastAsia="zh-CN"/>
        </w:rPr>
        <w:t>支出</w:t>
      </w:r>
      <w:r>
        <w:rPr>
          <w:rFonts w:hint="eastAsia" w:ascii="微软雅黑" w:hAnsi="微软雅黑" w:eastAsia="微软雅黑" w:cs="微软雅黑"/>
          <w:i w:val="0"/>
          <w:caps w:val="0"/>
          <w:color w:val="333333"/>
          <w:spacing w:val="0"/>
          <w:sz w:val="24"/>
          <w:szCs w:val="24"/>
          <w:shd w:val="clear" w:color="auto" w:fill="FFFFFF"/>
          <w:lang w:val="en-US" w:eastAsia="zh-CN"/>
        </w:rPr>
        <w:t>8.74万元，其中：印刷费支出2.63万元，技术服务费支出6万元，公务接待费及差旅费支出0.11万元。</w:t>
      </w:r>
    </w:p>
    <w:p w14:paraId="5B6E7DD8">
      <w:pPr>
        <w:pStyle w:val="3"/>
        <w:numPr>
          <w:ilvl w:val="0"/>
          <w:numId w:val="2"/>
        </w:numPr>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宅基地管理工作经费支出1.51万元：其中办公费支出1.41万元，差旅费支出0.1万元。</w:t>
      </w:r>
    </w:p>
    <w:p w14:paraId="5FB55272">
      <w:pPr>
        <w:ind w:firstLine="480" w:firstLineChars="200"/>
        <w:outlineLvl w:val="1"/>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（三）</w:t>
      </w:r>
      <w:r>
        <w:rPr>
          <w:rFonts w:hint="eastAsia" w:ascii="微软雅黑" w:hAnsi="微软雅黑" w:eastAsia="微软雅黑" w:cs="微软雅黑"/>
          <w:b/>
          <w:bCs/>
          <w:sz w:val="24"/>
          <w:szCs w:val="24"/>
        </w:rPr>
        <w:t>“三公经费”支出使用和管理情况</w:t>
      </w:r>
    </w:p>
    <w:p w14:paraId="5C93FD78">
      <w:pPr>
        <w:ind w:firstLine="480" w:firstLineChars="200"/>
        <w:outlineLvl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1、本年“三公经费”预算情况</w:t>
      </w:r>
    </w:p>
    <w:p w14:paraId="4579378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本单位202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年“三公”经费财政拨款支出预算为</w:t>
      </w: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万元，其中公务接待费支出预算</w:t>
      </w: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万元。</w:t>
      </w:r>
    </w:p>
    <w:p w14:paraId="388364AE">
      <w:pPr>
        <w:ind w:firstLine="480" w:firstLineChars="200"/>
        <w:outlineLvl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2、“三公经费”预算执行情况</w:t>
      </w:r>
    </w:p>
    <w:p w14:paraId="5B0C527E">
      <w:pPr>
        <w:snapToGrid w:val="0"/>
        <w:spacing w:line="52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本单位202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年“三公经费”财政拨款支出决算</w:t>
      </w:r>
      <w:r>
        <w:rPr>
          <w:rFonts w:hint="eastAsia" w:ascii="微软雅黑" w:hAnsi="微软雅黑" w:eastAsia="微软雅黑" w:cs="微软雅黑"/>
          <w:color w:val="auto"/>
          <w:sz w:val="24"/>
          <w:szCs w:val="24"/>
          <w:lang w:val="en-US" w:eastAsia="zh-CN"/>
        </w:rPr>
        <w:t>0.34</w:t>
      </w:r>
      <w:r>
        <w:rPr>
          <w:rFonts w:hint="eastAsia" w:ascii="微软雅黑" w:hAnsi="微软雅黑" w:eastAsia="微软雅黑" w:cs="微软雅黑"/>
          <w:color w:val="auto"/>
          <w:sz w:val="24"/>
          <w:szCs w:val="24"/>
        </w:rPr>
        <w:t>万元，其中公务接待费支出决算</w:t>
      </w:r>
      <w:r>
        <w:rPr>
          <w:rFonts w:hint="eastAsia" w:ascii="微软雅黑" w:hAnsi="微软雅黑" w:eastAsia="微软雅黑" w:cs="微软雅黑"/>
          <w:color w:val="auto"/>
          <w:sz w:val="24"/>
          <w:szCs w:val="24"/>
          <w:lang w:val="en-US" w:eastAsia="zh-CN"/>
        </w:rPr>
        <w:t>0.34</w:t>
      </w:r>
      <w:r>
        <w:rPr>
          <w:rFonts w:hint="eastAsia" w:ascii="微软雅黑" w:hAnsi="微软雅黑" w:eastAsia="微软雅黑" w:cs="微软雅黑"/>
          <w:color w:val="auto"/>
          <w:sz w:val="24"/>
          <w:szCs w:val="24"/>
        </w:rPr>
        <w:t>万元，全年共接待来访</w:t>
      </w:r>
      <w:r>
        <w:rPr>
          <w:rFonts w:hint="eastAsia" w:ascii="微软雅黑" w:hAnsi="微软雅黑" w:eastAsia="微软雅黑" w:cs="微软雅黑"/>
          <w:color w:val="auto"/>
          <w:sz w:val="24"/>
          <w:szCs w:val="24"/>
          <w:lang w:val="en-US" w:eastAsia="zh-CN"/>
        </w:rPr>
        <w:t>5批次</w:t>
      </w:r>
      <w:r>
        <w:rPr>
          <w:rFonts w:hint="eastAsia" w:ascii="微软雅黑" w:hAnsi="微软雅黑" w:eastAsia="微软雅黑" w:cs="微软雅黑"/>
          <w:color w:val="auto"/>
          <w:sz w:val="24"/>
          <w:szCs w:val="24"/>
        </w:rPr>
        <w:t>、来宾</w:t>
      </w:r>
      <w:r>
        <w:rPr>
          <w:rFonts w:hint="eastAsia" w:ascii="微软雅黑" w:hAnsi="微软雅黑" w:eastAsia="微软雅黑" w:cs="微软雅黑"/>
          <w:color w:val="auto"/>
          <w:sz w:val="24"/>
          <w:szCs w:val="24"/>
          <w:lang w:val="en-US" w:eastAsia="zh-CN"/>
        </w:rPr>
        <w:t>59余</w:t>
      </w:r>
      <w:r>
        <w:rPr>
          <w:rFonts w:hint="eastAsia" w:ascii="微软雅黑" w:hAnsi="微软雅黑" w:eastAsia="微软雅黑" w:cs="微软雅黑"/>
          <w:color w:val="auto"/>
          <w:sz w:val="24"/>
          <w:szCs w:val="24"/>
        </w:rPr>
        <w:t>人次，</w:t>
      </w:r>
      <w:r>
        <w:rPr>
          <w:rFonts w:hint="eastAsia" w:ascii="微软雅黑" w:hAnsi="微软雅黑" w:eastAsia="微软雅黑" w:cs="微软雅黑"/>
          <w:sz w:val="24"/>
          <w:szCs w:val="24"/>
          <w:lang w:val="en-US" w:eastAsia="zh-CN"/>
        </w:rPr>
        <w:t>主要是</w:t>
      </w:r>
      <w:r>
        <w:rPr>
          <w:rFonts w:hint="eastAsia" w:ascii="微软雅黑" w:hAnsi="微软雅黑" w:eastAsia="微软雅黑" w:cs="微软雅黑"/>
          <w:color w:val="000000"/>
          <w:sz w:val="24"/>
          <w:szCs w:val="24"/>
        </w:rPr>
        <w:t>接待上级检查</w:t>
      </w:r>
      <w:r>
        <w:rPr>
          <w:rFonts w:hint="eastAsia" w:ascii="微软雅黑" w:hAnsi="微软雅黑" w:eastAsia="微软雅黑" w:cs="微软雅黑"/>
          <w:color w:val="000000"/>
          <w:sz w:val="24"/>
          <w:szCs w:val="24"/>
          <w:lang w:eastAsia="zh-CN"/>
        </w:rPr>
        <w:t>及三资清理公务招待。</w:t>
      </w:r>
    </w:p>
    <w:p w14:paraId="7404C757">
      <w:pPr>
        <w:ind w:firstLine="480" w:firstLineChars="200"/>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3、与上年比较，“三公经费”控制情况</w:t>
      </w:r>
    </w:p>
    <w:p w14:paraId="699834E3">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本单位202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年“三公经费”决算数</w:t>
      </w:r>
      <w:r>
        <w:rPr>
          <w:rFonts w:hint="eastAsia" w:ascii="微软雅黑" w:hAnsi="微软雅黑" w:eastAsia="微软雅黑" w:cs="微软雅黑"/>
          <w:color w:val="auto"/>
          <w:sz w:val="24"/>
          <w:szCs w:val="24"/>
          <w:lang w:val="en-US" w:eastAsia="zh-CN"/>
        </w:rPr>
        <w:t>0.34</w:t>
      </w:r>
      <w:r>
        <w:rPr>
          <w:rFonts w:hint="eastAsia" w:ascii="微软雅黑" w:hAnsi="微软雅黑" w:eastAsia="微软雅黑" w:cs="微软雅黑"/>
          <w:color w:val="auto"/>
          <w:sz w:val="24"/>
          <w:szCs w:val="24"/>
        </w:rPr>
        <w:t>万元，与上年相比</w:t>
      </w:r>
      <w:r>
        <w:rPr>
          <w:rFonts w:hint="eastAsia" w:ascii="微软雅黑" w:hAnsi="微软雅黑" w:eastAsia="微软雅黑" w:cs="微软雅黑"/>
          <w:color w:val="auto"/>
          <w:sz w:val="24"/>
          <w:szCs w:val="24"/>
          <w:lang w:eastAsia="zh-CN"/>
        </w:rPr>
        <w:t>减少</w:t>
      </w:r>
      <w:r>
        <w:rPr>
          <w:rFonts w:hint="eastAsia" w:ascii="微软雅黑" w:hAnsi="微软雅黑" w:eastAsia="微软雅黑" w:cs="微软雅黑"/>
          <w:color w:val="auto"/>
          <w:sz w:val="24"/>
          <w:szCs w:val="24"/>
          <w:lang w:val="en-US" w:eastAsia="zh-CN"/>
        </w:rPr>
        <w:t>0.33</w:t>
      </w:r>
      <w:r>
        <w:rPr>
          <w:rFonts w:hint="eastAsia" w:ascii="微软雅黑" w:hAnsi="微软雅黑" w:eastAsia="微软雅黑" w:cs="微软雅黑"/>
          <w:color w:val="auto"/>
          <w:sz w:val="24"/>
          <w:szCs w:val="24"/>
        </w:rPr>
        <w:t>万元，</w:t>
      </w:r>
      <w:r>
        <w:rPr>
          <w:rFonts w:hint="eastAsia" w:ascii="微软雅黑" w:hAnsi="微软雅黑" w:eastAsia="微软雅黑" w:cs="微软雅黑"/>
          <w:color w:val="auto"/>
          <w:sz w:val="24"/>
          <w:szCs w:val="24"/>
          <w:lang w:eastAsia="zh-CN"/>
        </w:rPr>
        <w:t>减少</w:t>
      </w:r>
      <w:r>
        <w:rPr>
          <w:rFonts w:hint="eastAsia" w:ascii="微软雅黑" w:hAnsi="微软雅黑" w:eastAsia="微软雅黑" w:cs="微软雅黑"/>
          <w:color w:val="auto"/>
          <w:sz w:val="24"/>
          <w:szCs w:val="24"/>
          <w:lang w:val="en-US" w:eastAsia="zh-CN"/>
        </w:rPr>
        <w:t>49.62</w:t>
      </w:r>
      <w:r>
        <w:rPr>
          <w:rFonts w:hint="eastAsia" w:ascii="微软雅黑" w:hAnsi="微软雅黑" w:eastAsia="微软雅黑" w:cs="微软雅黑"/>
          <w:color w:val="auto"/>
          <w:sz w:val="24"/>
          <w:szCs w:val="24"/>
        </w:rPr>
        <w:t>%。</w:t>
      </w:r>
    </w:p>
    <w:p w14:paraId="23D7AFB9">
      <w:pPr>
        <w:pStyle w:val="3"/>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三、政府性基金预算支出情况</w:t>
      </w:r>
    </w:p>
    <w:p w14:paraId="03ACCB89">
      <w:pPr>
        <w:pStyle w:val="3"/>
        <w:ind w:firstLine="720" w:firstLineChars="3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我单位无政府性基金预算支出情况。</w:t>
      </w:r>
    </w:p>
    <w:p w14:paraId="7583B619">
      <w:pPr>
        <w:pStyle w:val="3"/>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四、国有资本经营预算支出情况</w:t>
      </w:r>
    </w:p>
    <w:p w14:paraId="0060705E">
      <w:pPr>
        <w:pStyle w:val="3"/>
        <w:ind w:firstLine="720" w:firstLineChars="3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我单位无国有资本经营预算支出情况</w:t>
      </w:r>
    </w:p>
    <w:p w14:paraId="2F8392DC">
      <w:pPr>
        <w:pStyle w:val="3"/>
        <w:ind w:firstLine="720" w:firstLineChars="300"/>
        <w:rPr>
          <w:rFonts w:hint="eastAsia" w:ascii="微软雅黑" w:hAnsi="微软雅黑" w:eastAsia="微软雅黑" w:cs="微软雅黑"/>
          <w:color w:val="auto"/>
          <w:sz w:val="24"/>
          <w:szCs w:val="24"/>
          <w:lang w:val="en-US" w:eastAsia="zh-CN"/>
        </w:rPr>
      </w:pPr>
    </w:p>
    <w:p w14:paraId="305C2B7E">
      <w:pPr>
        <w:pStyle w:val="3"/>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五、社会保险基金预算支出情况</w:t>
      </w:r>
    </w:p>
    <w:p w14:paraId="101E1042">
      <w:pPr>
        <w:pStyle w:val="3"/>
        <w:widowControl w:val="0"/>
        <w:numPr>
          <w:ilvl w:val="0"/>
          <w:numId w:val="0"/>
        </w:numPr>
        <w:spacing w:after="120"/>
        <w:ind w:firstLine="720" w:firstLineChars="300"/>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我单位无</w:t>
      </w:r>
      <w:r>
        <w:rPr>
          <w:rFonts w:hint="eastAsia" w:ascii="微软雅黑" w:hAnsi="微软雅黑" w:eastAsia="微软雅黑" w:cs="微软雅黑"/>
          <w:color w:val="auto"/>
          <w:sz w:val="24"/>
          <w:szCs w:val="24"/>
          <w:lang w:val="en-US" w:eastAsia="zh-CN"/>
        </w:rPr>
        <w:t>社会保险基金预算支出情况</w:t>
      </w:r>
    </w:p>
    <w:p w14:paraId="17F3EB8F">
      <w:pPr>
        <w:ind w:firstLine="240" w:firstLineChars="1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六</w:t>
      </w:r>
      <w:r>
        <w:rPr>
          <w:rFonts w:hint="eastAsia" w:ascii="微软雅黑" w:hAnsi="微软雅黑" w:eastAsia="微软雅黑" w:cs="微软雅黑"/>
          <w:sz w:val="24"/>
          <w:szCs w:val="24"/>
        </w:rPr>
        <w:t>、部门（单位）绩效评价工作组织实施情况</w:t>
      </w:r>
    </w:p>
    <w:p w14:paraId="14DD8DD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按照财政部门的部署</w:t>
      </w:r>
      <w:r>
        <w:rPr>
          <w:rFonts w:hint="eastAsia" w:ascii="微软雅黑" w:hAnsi="微软雅黑" w:eastAsia="微软雅黑" w:cs="微软雅黑"/>
          <w:sz w:val="24"/>
          <w:szCs w:val="24"/>
          <w:lang w:eastAsia="zh-CN"/>
        </w:rPr>
        <w:t>和要求</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我单位</w:t>
      </w:r>
      <w:r>
        <w:rPr>
          <w:rFonts w:hint="eastAsia" w:ascii="微软雅黑" w:hAnsi="微软雅黑" w:eastAsia="微软雅黑" w:cs="微软雅黑"/>
          <w:sz w:val="24"/>
          <w:szCs w:val="24"/>
        </w:rPr>
        <w:t>成立了以</w:t>
      </w:r>
      <w:r>
        <w:rPr>
          <w:rFonts w:hint="eastAsia" w:ascii="微软雅黑" w:hAnsi="微软雅黑" w:eastAsia="微软雅黑" w:cs="微软雅黑"/>
          <w:sz w:val="24"/>
          <w:szCs w:val="24"/>
          <w:lang w:eastAsia="zh-CN"/>
        </w:rPr>
        <w:t>站长</w:t>
      </w:r>
      <w:r>
        <w:rPr>
          <w:rFonts w:hint="eastAsia" w:ascii="微软雅黑" w:hAnsi="微软雅黑" w:eastAsia="微软雅黑" w:cs="微软雅黑"/>
          <w:sz w:val="24"/>
          <w:szCs w:val="24"/>
        </w:rPr>
        <w:t>谭声吉为组长，雷统中、成克鹫、唐志芳、蒋龙喜</w:t>
      </w:r>
      <w:r>
        <w:rPr>
          <w:rFonts w:hint="eastAsia" w:ascii="微软雅黑" w:hAnsi="微软雅黑" w:eastAsia="微软雅黑" w:cs="微软雅黑"/>
          <w:sz w:val="24"/>
          <w:szCs w:val="24"/>
          <w:lang w:eastAsia="zh-CN"/>
        </w:rPr>
        <w:t>、唐超</w:t>
      </w:r>
      <w:r>
        <w:rPr>
          <w:rFonts w:hint="eastAsia" w:ascii="微软雅黑" w:hAnsi="微软雅黑" w:eastAsia="微软雅黑" w:cs="微软雅黑"/>
          <w:sz w:val="24"/>
          <w:szCs w:val="24"/>
        </w:rPr>
        <w:t>为</w:t>
      </w:r>
      <w:r>
        <w:rPr>
          <w:rFonts w:hint="eastAsia" w:ascii="微软雅黑" w:hAnsi="微软雅黑" w:eastAsia="微软雅黑" w:cs="微软雅黑"/>
          <w:sz w:val="24"/>
          <w:szCs w:val="24"/>
          <w:lang w:eastAsia="zh-CN"/>
        </w:rPr>
        <w:t>成</w:t>
      </w:r>
      <w:r>
        <w:rPr>
          <w:rFonts w:hint="eastAsia" w:ascii="微软雅黑" w:hAnsi="微软雅黑" w:eastAsia="微软雅黑" w:cs="微软雅黑"/>
          <w:sz w:val="24"/>
          <w:szCs w:val="24"/>
        </w:rPr>
        <w:t>员的绩效评价小组，</w:t>
      </w:r>
      <w:r>
        <w:rPr>
          <w:rFonts w:hint="eastAsia" w:ascii="微软雅黑" w:hAnsi="微软雅黑" w:eastAsia="微软雅黑" w:cs="微软雅黑"/>
          <w:sz w:val="24"/>
          <w:szCs w:val="24"/>
          <w:lang w:eastAsia="zh-CN"/>
        </w:rPr>
        <w:t>负责</w:t>
      </w:r>
      <w:r>
        <w:rPr>
          <w:rFonts w:hint="eastAsia" w:ascii="微软雅黑" w:hAnsi="微软雅黑" w:eastAsia="微软雅黑" w:cs="微软雅黑"/>
          <w:sz w:val="24"/>
          <w:szCs w:val="24"/>
        </w:rPr>
        <w:t>组织开展单位绩效评价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收集相关资料审查核实</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并安排专人撰写</w:t>
      </w:r>
      <w:r>
        <w:rPr>
          <w:rFonts w:hint="eastAsia" w:ascii="微软雅黑" w:hAnsi="微软雅黑" w:eastAsia="微软雅黑" w:cs="微软雅黑"/>
          <w:sz w:val="24"/>
          <w:szCs w:val="24"/>
          <w:lang w:eastAsia="zh-CN"/>
        </w:rPr>
        <w:t>并及时上报</w:t>
      </w:r>
      <w:r>
        <w:rPr>
          <w:rFonts w:hint="eastAsia" w:ascii="微软雅黑" w:hAnsi="微软雅黑" w:eastAsia="微软雅黑" w:cs="微软雅黑"/>
          <w:sz w:val="24"/>
          <w:szCs w:val="24"/>
        </w:rPr>
        <w:t>提交评价报告。</w:t>
      </w:r>
    </w:p>
    <w:p w14:paraId="6682082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w:t>
      </w:r>
      <w:r>
        <w:rPr>
          <w:rFonts w:hint="eastAsia" w:ascii="微软雅黑" w:hAnsi="微软雅黑" w:eastAsia="微软雅黑" w:cs="微软雅黑"/>
          <w:sz w:val="24"/>
          <w:szCs w:val="24"/>
          <w:lang w:eastAsia="zh-CN"/>
        </w:rPr>
        <w:t>单位</w:t>
      </w:r>
      <w:r>
        <w:rPr>
          <w:rFonts w:hint="eastAsia" w:ascii="微软雅黑" w:hAnsi="微软雅黑" w:eastAsia="微软雅黑" w:cs="微软雅黑"/>
          <w:sz w:val="24"/>
          <w:szCs w:val="24"/>
        </w:rPr>
        <w:t>制定了财务管理、公务接待、公务用车管理、议事决策</w:t>
      </w:r>
      <w:r>
        <w:rPr>
          <w:rFonts w:hint="eastAsia" w:ascii="微软雅黑" w:hAnsi="微软雅黑" w:eastAsia="微软雅黑" w:cs="微软雅黑"/>
          <w:sz w:val="24"/>
          <w:szCs w:val="24"/>
          <w:lang w:eastAsia="zh-CN"/>
        </w:rPr>
        <w:t>等规章</w:t>
      </w:r>
      <w:r>
        <w:rPr>
          <w:rFonts w:hint="eastAsia" w:ascii="微软雅黑" w:hAnsi="微软雅黑" w:eastAsia="微软雅黑" w:cs="微软雅黑"/>
          <w:sz w:val="24"/>
          <w:szCs w:val="24"/>
        </w:rPr>
        <w:t>制度</w:t>
      </w:r>
      <w:r>
        <w:rPr>
          <w:rFonts w:hint="eastAsia" w:ascii="微软雅黑" w:hAnsi="微软雅黑" w:eastAsia="微软雅黑" w:cs="微软雅黑"/>
          <w:sz w:val="24"/>
          <w:szCs w:val="24"/>
          <w:lang w:eastAsia="zh-CN"/>
        </w:rPr>
        <w:t>。不断</w:t>
      </w:r>
      <w:r>
        <w:rPr>
          <w:rFonts w:hint="eastAsia" w:ascii="微软雅黑" w:hAnsi="微软雅黑" w:eastAsia="微软雅黑" w:cs="微软雅黑"/>
          <w:sz w:val="24"/>
          <w:szCs w:val="24"/>
        </w:rPr>
        <w:t>强化日常管理，财务运行严格执行有关法律法规、财经纪律、财务规章，做到公开公平公正，杜绝违纪违规行为。</w:t>
      </w:r>
    </w:p>
    <w:p w14:paraId="662A4821">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w:t>
      </w:r>
      <w:r>
        <w:rPr>
          <w:rFonts w:hint="eastAsia" w:ascii="微软雅黑" w:hAnsi="微软雅黑" w:eastAsia="微软雅黑" w:cs="微软雅黑"/>
          <w:sz w:val="24"/>
          <w:szCs w:val="24"/>
          <w:lang w:eastAsia="zh-CN"/>
        </w:rPr>
        <w:t>单位</w:t>
      </w:r>
      <w:r>
        <w:rPr>
          <w:rFonts w:hint="eastAsia" w:ascii="微软雅黑" w:hAnsi="微软雅黑" w:eastAsia="微软雅黑" w:cs="微软雅黑"/>
          <w:sz w:val="24"/>
          <w:szCs w:val="24"/>
        </w:rPr>
        <w:t>资金使用管理逐步加强。单位支出严格按照国家财经法规和财务管理制度规定执行，正确组织资金的筹集、调度和使用，费用开支有标准、有预算，债权债务及时结算、结清。所有支出均通过我单位财政直接支付方式办理，资金使用无截留、挤占、挪用、虚列支出等情况。</w:t>
      </w:r>
    </w:p>
    <w:p w14:paraId="5E042A4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我单位部门预算收支严格按年初部门预算方案执行，部门预决算、“三公”经费预决算信息均按要求及时进行了公开。</w:t>
      </w:r>
    </w:p>
    <w:p w14:paraId="2E63BA96">
      <w:pPr>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四、部门（单位）整体支出绩效情况</w:t>
      </w:r>
    </w:p>
    <w:p w14:paraId="1C3401BC">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年，我单位积极履职，强化管理，较好地完成了年度工作目标。通过加强预算收支管理，不断建立健全内部管理制度，梳理内部管理流程，部门整体支出管理水平得到提升。</w:t>
      </w:r>
    </w:p>
    <w:p w14:paraId="4081E162">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（一）</w:t>
      </w:r>
      <w:r>
        <w:rPr>
          <w:rFonts w:hint="eastAsia" w:ascii="微软雅黑" w:hAnsi="微软雅黑" w:eastAsia="微软雅黑" w:cs="微软雅黑"/>
          <w:sz w:val="24"/>
          <w:szCs w:val="24"/>
        </w:rPr>
        <w:t>部门整体支出绩效</w:t>
      </w:r>
      <w:r>
        <w:rPr>
          <w:rFonts w:hint="eastAsia" w:ascii="微软雅黑" w:hAnsi="微软雅黑" w:eastAsia="微软雅黑" w:cs="微软雅黑"/>
          <w:sz w:val="24"/>
          <w:szCs w:val="24"/>
          <w:lang w:eastAsia="zh-CN"/>
        </w:rPr>
        <w:t>预期目标</w:t>
      </w:r>
      <w:r>
        <w:rPr>
          <w:rFonts w:hint="eastAsia" w:ascii="微软雅黑" w:hAnsi="微软雅黑" w:eastAsia="微软雅黑" w:cs="微软雅黑"/>
          <w:sz w:val="24"/>
          <w:szCs w:val="24"/>
        </w:rPr>
        <w:t>：</w:t>
      </w:r>
    </w:p>
    <w:p w14:paraId="6EF35578">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目标1.负责完成第二轮承包地到期后再延长30年试点工作；</w:t>
      </w:r>
    </w:p>
    <w:p w14:paraId="174FE6A1">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目标2：以县集体产权改革办为主，本单位抽调人员参与完成农村集体产权制度改革工作；</w:t>
      </w:r>
    </w:p>
    <w:p w14:paraId="5939BF79">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目标3：负责完成土地承包仲裁工作考评；</w:t>
      </w:r>
    </w:p>
    <w:p w14:paraId="3AFB14CF">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目标4：负责完成农经年报统计工作；</w:t>
      </w:r>
    </w:p>
    <w:p w14:paraId="13312D28">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目标5：负责指导和发展新型农业经营主体；</w:t>
      </w:r>
    </w:p>
    <w:p w14:paraId="03E5CA1B">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目标6：负责农民权益维护和农民负担监督；</w:t>
      </w:r>
    </w:p>
    <w:p w14:paraId="1B54E168">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目标7：负责农村宅基地管理与改革的具体工作；</w:t>
      </w:r>
    </w:p>
    <w:p w14:paraId="039175CE">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rPr>
        <w:t>目标8：负责完成农村土地承包经营权纳入不动产统一登记工作。</w:t>
      </w:r>
    </w:p>
    <w:p w14:paraId="2382AF53">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部门整体支出绩效</w:t>
      </w:r>
      <w:r>
        <w:rPr>
          <w:rFonts w:hint="eastAsia" w:ascii="微软雅黑" w:hAnsi="微软雅黑" w:eastAsia="微软雅黑" w:cs="微软雅黑"/>
          <w:sz w:val="24"/>
          <w:szCs w:val="24"/>
          <w:lang w:eastAsia="zh-CN"/>
        </w:rPr>
        <w:t>实际完成情况</w:t>
      </w:r>
    </w:p>
    <w:p w14:paraId="0293AF28">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有序推进第二轮土地承包到期后再延长30年试点工作。县乡村建立了工作机制、制定了工作实施方案、召开了动员培训会议，完成了二轮延包技术服务项目采购，至2025年1月15日已完成摸底调查农户比率96%，预计明年3月底前可以提交延包数据汇交至农业农村部。</w:t>
      </w:r>
    </w:p>
    <w:p w14:paraId="2F14C015">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2.建立了土地流转行政审批工作制度。对工商企业等社会资本流转土地进行监管，全县已备案流转合同份数899份，备案流转面积6.92万亩，排全市前列。</w:t>
      </w:r>
    </w:p>
    <w:p w14:paraId="1482CD7D">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3.完成了农业社会化服务任务。全县共完成集中育秧、机插机抛、飞防和烘干等社会化服务大田面积124689.52 亩(折算成标准面积31368.33 亩)，完成率为112.43%，拨付补助资金233.27万元。</w:t>
      </w:r>
    </w:p>
    <w:p w14:paraId="26F57D84">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完成了粮安考核和土地承包仲裁考评任务。家庭农场“一码通”赋码完成总量和赋码率排名全市前列；分别建立了家庭农场、合作社和农业社会化服务主体名录库；完成了2024年中央农业经营主体能力提升资金补助项目7个。我县土地承包仲裁委员会成功仲裁了土市镇埠头村1宗承包地权属纠纷案件。</w:t>
      </w:r>
    </w:p>
    <w:p w14:paraId="0396BA00">
      <w:pPr>
        <w:pStyle w:val="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5.农村集体“三资”专项整治成效明显。全县共排查问题162个，已整改157个，涉及人数95人，涉及总金额1022.88万余元，追回金额316.18万元，退还群众5.11万元。</w:t>
      </w:r>
    </w:p>
    <w:p w14:paraId="0FDFB31A">
      <w:pPr>
        <w:pStyle w:val="3"/>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2024年我单位</w:t>
      </w:r>
      <w:r>
        <w:rPr>
          <w:rFonts w:hint="eastAsia" w:ascii="微软雅黑" w:hAnsi="微软雅黑" w:eastAsia="微软雅黑" w:cs="微软雅黑"/>
          <w:color w:val="auto"/>
          <w:sz w:val="24"/>
          <w:szCs w:val="24"/>
          <w:lang w:val="en-US" w:eastAsia="zh-CN"/>
        </w:rPr>
        <w:t>认真落实了年初制定的工作任务和目标管理责任制，农经各项工作全面、有序推进，取得了一定成效。</w:t>
      </w:r>
    </w:p>
    <w:p w14:paraId="5B2C99C0">
      <w:pPr>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五、存在的主要问题</w:t>
      </w:r>
    </w:p>
    <w:p w14:paraId="1665E69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rPr>
        <w:t>我县农经工作还存在着不少的困难和问题：</w:t>
      </w:r>
      <w:r>
        <w:rPr>
          <w:rFonts w:hint="eastAsia" w:ascii="微软雅黑" w:hAnsi="微软雅黑" w:eastAsia="微软雅黑" w:cs="微软雅黑"/>
          <w:sz w:val="24"/>
          <w:szCs w:val="24"/>
        </w:rPr>
        <w:t>本单位属典型的“小马拉大车”。机构改革后，农经部门被降格降级，名称由“局”改成“站”，而且职能调整又没有随事走，反而全县性、全局性的工作任务越来越重，2021年新增了农村宅基地管理与改革、推进农业社会化服务等工作。单位能够独当一面的业务骨干少，要完成上级指标任务倍感压力。单位财政预算内经费不足，且无预算外收入，要靠财政追加工作经费才能保运转。农经工作新形势、新问题逐渐呈现，农经部门担负的职责任务与其机构性质、人员素质、预算经费、领导重视程度等不相适应，甚至脱节，在一定程度上影响了工作执行力。</w:t>
      </w:r>
    </w:p>
    <w:p w14:paraId="7376897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2.单位负担重。</w:t>
      </w:r>
      <w:r>
        <w:rPr>
          <w:rFonts w:hint="eastAsia" w:ascii="微软雅黑" w:hAnsi="微软雅黑" w:eastAsia="微软雅黑" w:cs="微软雅黑"/>
          <w:sz w:val="24"/>
          <w:szCs w:val="24"/>
        </w:rPr>
        <w:t>从近几年财政批复我站部门预算看，部门预算基本围绕保人员经费、公用经费包干进行。从实际运行和决算情况看，除基本支出外，单位每年要负担一些财政无预算的刚性支出，如</w:t>
      </w:r>
      <w:r>
        <w:rPr>
          <w:rFonts w:hint="eastAsia" w:ascii="微软雅黑" w:hAnsi="微软雅黑" w:eastAsia="微软雅黑" w:cs="微软雅黑"/>
          <w:sz w:val="24"/>
          <w:szCs w:val="24"/>
          <w:lang w:eastAsia="zh-CN"/>
        </w:rPr>
        <w:t>乡村振兴</w:t>
      </w:r>
      <w:r>
        <w:rPr>
          <w:rFonts w:hint="eastAsia" w:ascii="微软雅黑" w:hAnsi="微软雅黑" w:eastAsia="微软雅黑" w:cs="微软雅黑"/>
          <w:sz w:val="24"/>
          <w:szCs w:val="24"/>
        </w:rPr>
        <w:t>工作支出、</w:t>
      </w:r>
      <w:r>
        <w:rPr>
          <w:rFonts w:hint="eastAsia" w:ascii="微软雅黑" w:hAnsi="微软雅黑" w:eastAsia="微软雅黑" w:cs="微软雅黑"/>
          <w:sz w:val="24"/>
          <w:szCs w:val="24"/>
          <w:lang w:eastAsia="zh-CN"/>
        </w:rPr>
        <w:t>联系乡镇后盾单位摊派资金</w:t>
      </w:r>
      <w:r>
        <w:rPr>
          <w:rFonts w:hint="eastAsia" w:ascii="微软雅黑" w:hAnsi="微软雅黑" w:eastAsia="微软雅黑" w:cs="微软雅黑"/>
          <w:sz w:val="24"/>
          <w:szCs w:val="24"/>
        </w:rPr>
        <w:t>等，这些支出每年约需</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万元以上，因无预算，资金来源无着落，单位只能靠挤占基本支出和项目经费，造成单位运转困难</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也</w:t>
      </w:r>
      <w:r>
        <w:rPr>
          <w:rFonts w:hint="eastAsia" w:ascii="微软雅黑" w:hAnsi="微软雅黑" w:eastAsia="微软雅黑" w:cs="微软雅黑"/>
          <w:sz w:val="24"/>
          <w:szCs w:val="24"/>
          <w:lang w:eastAsia="zh-CN"/>
        </w:rPr>
        <w:t>就</w:t>
      </w:r>
      <w:r>
        <w:rPr>
          <w:rFonts w:hint="eastAsia" w:ascii="微软雅黑" w:hAnsi="微软雅黑" w:eastAsia="微软雅黑" w:cs="微软雅黑"/>
          <w:sz w:val="24"/>
          <w:szCs w:val="24"/>
        </w:rPr>
        <w:t>难以完全按照部门预算</w:t>
      </w:r>
      <w:r>
        <w:rPr>
          <w:rFonts w:hint="eastAsia" w:ascii="微软雅黑" w:hAnsi="微软雅黑" w:eastAsia="微软雅黑" w:cs="微软雅黑"/>
          <w:sz w:val="24"/>
          <w:szCs w:val="24"/>
          <w:lang w:eastAsia="zh-CN"/>
        </w:rPr>
        <w:t>方案</w:t>
      </w:r>
      <w:r>
        <w:rPr>
          <w:rFonts w:hint="eastAsia" w:ascii="微软雅黑" w:hAnsi="微软雅黑" w:eastAsia="微软雅黑" w:cs="微软雅黑"/>
          <w:sz w:val="24"/>
          <w:szCs w:val="24"/>
        </w:rPr>
        <w:t>使用资金。</w:t>
      </w:r>
    </w:p>
    <w:p w14:paraId="3236EF2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3.经费支出难以准确预算。</w:t>
      </w:r>
      <w:r>
        <w:rPr>
          <w:rFonts w:hint="eastAsia" w:ascii="微软雅黑" w:hAnsi="微软雅黑" w:eastAsia="微软雅黑" w:cs="微软雅黑"/>
          <w:sz w:val="24"/>
          <w:szCs w:val="24"/>
        </w:rPr>
        <w:t>上年预算时，因物价、经济发展、具体工作内容等因素无法完全估算准确，导致一些预算执行起来较为困难，如</w:t>
      </w:r>
      <w:r>
        <w:rPr>
          <w:rFonts w:hint="eastAsia" w:ascii="微软雅黑" w:hAnsi="微软雅黑" w:eastAsia="微软雅黑" w:cs="微软雅黑"/>
          <w:sz w:val="24"/>
          <w:szCs w:val="24"/>
          <w:lang w:eastAsia="zh-CN"/>
        </w:rPr>
        <w:t>宅基地管理、土地承包仲裁、延包</w:t>
      </w:r>
      <w:r>
        <w:rPr>
          <w:rFonts w:hint="eastAsia" w:ascii="微软雅黑" w:hAnsi="微软雅黑" w:eastAsia="微软雅黑" w:cs="微软雅黑"/>
          <w:sz w:val="24"/>
          <w:szCs w:val="24"/>
          <w:lang w:val="en-US" w:eastAsia="zh-CN"/>
        </w:rPr>
        <w:t>30年工作试点等</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有些</w:t>
      </w:r>
      <w:r>
        <w:rPr>
          <w:rFonts w:hint="eastAsia" w:ascii="微软雅黑" w:hAnsi="微软雅黑" w:eastAsia="微软雅黑" w:cs="微软雅黑"/>
          <w:sz w:val="24"/>
          <w:szCs w:val="24"/>
        </w:rPr>
        <w:t>工作开展</w:t>
      </w:r>
      <w:r>
        <w:rPr>
          <w:rFonts w:hint="eastAsia" w:ascii="微软雅黑" w:hAnsi="微软雅黑" w:eastAsia="微软雅黑" w:cs="微软雅黑"/>
          <w:sz w:val="24"/>
          <w:szCs w:val="24"/>
          <w:lang w:eastAsia="zh-CN"/>
        </w:rPr>
        <w:t>是持续性、长期性的，很难在当年度结账结清</w:t>
      </w:r>
      <w:r>
        <w:rPr>
          <w:rFonts w:hint="eastAsia" w:ascii="微软雅黑" w:hAnsi="微软雅黑" w:eastAsia="微软雅黑" w:cs="微软雅黑"/>
          <w:sz w:val="24"/>
          <w:szCs w:val="24"/>
        </w:rPr>
        <w:t>，各环节需要资金根本无法精确预算。</w:t>
      </w:r>
    </w:p>
    <w:p w14:paraId="1A3AE414">
      <w:pPr>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六、改进措施和有关建议</w:t>
      </w:r>
    </w:p>
    <w:p w14:paraId="48347392">
      <w:pPr>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1.科学合理编制预算。</w:t>
      </w:r>
      <w:r>
        <w:rPr>
          <w:rFonts w:hint="eastAsia" w:ascii="微软雅黑" w:hAnsi="微软雅黑" w:eastAsia="微软雅黑" w:cs="微软雅黑"/>
          <w:sz w:val="24"/>
          <w:szCs w:val="24"/>
          <w:lang w:val="en-US" w:eastAsia="zh-CN"/>
        </w:rPr>
        <w:t>对一些试点工作、新项目加强预算编制的前瞻性，尽量考虑周全，按照新《预算法》及其实施条例的相关政策规定，科学、合理地编制本年预算。执行中确需调剂预算的，按规定程序报经批准。</w:t>
      </w:r>
    </w:p>
    <w:p w14:paraId="5CFB685B">
      <w:pPr>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2.完善管理制度。</w:t>
      </w:r>
      <w:r>
        <w:rPr>
          <w:rFonts w:hint="eastAsia" w:ascii="微软雅黑" w:hAnsi="微软雅黑" w:eastAsia="微软雅黑" w:cs="微软雅黑"/>
          <w:sz w:val="24"/>
          <w:szCs w:val="24"/>
          <w:lang w:val="en-US" w:eastAsia="zh-CN"/>
        </w:rPr>
        <w:t>制定公务接待、公车管理、公务出差等方面规范制度，加强内部控制管理，做到有章可循、有据可依，促进各项支出规范有序，避免乱开支现象。</w:t>
      </w:r>
    </w:p>
    <w:p w14:paraId="208E394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3.加强宣传培训。</w:t>
      </w:r>
      <w:r>
        <w:rPr>
          <w:rFonts w:hint="eastAsia" w:ascii="微软雅黑" w:hAnsi="微软雅黑" w:eastAsia="微软雅黑" w:cs="微软雅黑"/>
          <w:sz w:val="24"/>
          <w:szCs w:val="24"/>
          <w:lang w:val="en-US" w:eastAsia="zh-CN"/>
        </w:rPr>
        <w:t>一是加强新《预算法》、《行政单位会计制度》、《内部控制规范》等方面的教育培训，增强全体工作人员的业务和道德素养，提高单位财政预算和经费支出管理水平。二是</w:t>
      </w:r>
      <w:r>
        <w:rPr>
          <w:rFonts w:hint="eastAsia" w:ascii="微软雅黑" w:hAnsi="微软雅黑" w:eastAsia="微软雅黑" w:cs="微软雅黑"/>
          <w:sz w:val="24"/>
          <w:szCs w:val="24"/>
        </w:rPr>
        <w:t>加强会计方面的业务学习培训，规范部门预算收支核算</w:t>
      </w:r>
      <w:r>
        <w:rPr>
          <w:rFonts w:hint="eastAsia" w:ascii="微软雅黑" w:hAnsi="微软雅黑" w:eastAsia="微软雅黑" w:cs="微软雅黑"/>
          <w:sz w:val="24"/>
          <w:szCs w:val="24"/>
          <w:lang w:eastAsia="zh-CN"/>
        </w:rPr>
        <w:t>。要</w:t>
      </w:r>
      <w:r>
        <w:rPr>
          <w:rFonts w:hint="eastAsia" w:ascii="微软雅黑" w:hAnsi="微软雅黑" w:eastAsia="微软雅黑" w:cs="微软雅黑"/>
          <w:sz w:val="24"/>
          <w:szCs w:val="24"/>
        </w:rPr>
        <w:t>制定和完善各项支出标准，严格预算执行，增强预算的约束力和严肃性。</w:t>
      </w:r>
      <w:r>
        <w:rPr>
          <w:rFonts w:hint="eastAsia" w:ascii="微软雅黑" w:hAnsi="微软雅黑" w:eastAsia="微软雅黑" w:cs="微软雅黑"/>
          <w:sz w:val="24"/>
          <w:szCs w:val="24"/>
          <w:lang w:eastAsia="zh-CN"/>
        </w:rPr>
        <w:t>要</w:t>
      </w:r>
      <w:r>
        <w:rPr>
          <w:rFonts w:hint="eastAsia" w:ascii="微软雅黑" w:hAnsi="微软雅黑" w:eastAsia="微软雅黑" w:cs="微软雅黑"/>
          <w:sz w:val="24"/>
          <w:szCs w:val="24"/>
        </w:rPr>
        <w:t>落实预算执行分析，及时了解预算执行差异，合理调整、纠正预算执行偏差，切实提高部门预算收支管理水平。</w:t>
      </w:r>
    </w:p>
    <w:p w14:paraId="3E8E551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4.加强对新的一年项目进度的跟踪。</w:t>
      </w:r>
      <w:r>
        <w:rPr>
          <w:rFonts w:hint="eastAsia" w:ascii="微软雅黑" w:hAnsi="微软雅黑" w:eastAsia="微软雅黑" w:cs="微软雅黑"/>
          <w:sz w:val="24"/>
          <w:szCs w:val="24"/>
          <w:lang w:val="en-US" w:eastAsia="zh-CN"/>
        </w:rPr>
        <w:t>适时开展项目绩效评价，确保项目绩效目标按预期完成。</w:t>
      </w:r>
    </w:p>
    <w:p w14:paraId="3CD8A717">
      <w:pPr>
        <w:ind w:firstLine="480" w:firstLineChars="200"/>
        <w:rPr>
          <w:rFonts w:hint="eastAsia" w:ascii="微软雅黑" w:hAnsi="微软雅黑" w:eastAsia="微软雅黑" w:cs="微软雅黑"/>
          <w:sz w:val="24"/>
          <w:szCs w:val="24"/>
        </w:rPr>
      </w:pPr>
    </w:p>
    <w:p w14:paraId="67A7DD75">
      <w:pPr>
        <w:ind w:firstLine="480" w:firstLineChars="20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蓝山县农村经营服务站</w:t>
      </w:r>
    </w:p>
    <w:p w14:paraId="2046DE94">
      <w:pPr>
        <w:ind w:firstLine="480" w:firstLineChars="20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14</w:t>
      </w:r>
      <w:r>
        <w:rPr>
          <w:rFonts w:hint="eastAsia" w:ascii="微软雅黑" w:hAnsi="微软雅黑" w:eastAsia="微软雅黑" w:cs="微软雅黑"/>
          <w:sz w:val="24"/>
          <w:szCs w:val="24"/>
        </w:rPr>
        <w:t>日</w:t>
      </w:r>
    </w:p>
    <w:p w14:paraId="49E80E3B">
      <w:pPr>
        <w:pStyle w:val="14"/>
        <w:rPr>
          <w:rFonts w:ascii="Times New Roman" w:hAnsi="Times New Roman" w:eastAsia="仿宋_GB2312" w:cs="Times New Roman"/>
          <w:sz w:val="32"/>
          <w:szCs w:val="32"/>
        </w:rPr>
      </w:pPr>
    </w:p>
    <w:p w14:paraId="6E5F600A">
      <w:pPr>
        <w:pStyle w:val="14"/>
        <w:spacing w:line="600" w:lineRule="exact"/>
        <w:ind w:firstLine="640" w:firstLineChars="200"/>
        <w:rPr>
          <w:rFonts w:ascii="Times New Roman" w:hAnsi="Times New Roman" w:eastAsia="仿宋_GB2312" w:cs="Times New Roman"/>
          <w:sz w:val="32"/>
          <w:szCs w:val="32"/>
        </w:rPr>
      </w:pPr>
    </w:p>
    <w:p w14:paraId="3239E45A">
      <w:pPr>
        <w:pStyle w:val="14"/>
        <w:jc w:val="center"/>
        <w:rPr>
          <w:rFonts w:ascii="Times New Roman" w:hAnsi="Times New Roman" w:cs="Times New Roman"/>
          <w:sz w:val="72"/>
          <w:szCs w:val="72"/>
        </w:rPr>
      </w:pPr>
    </w:p>
    <w:p w14:paraId="238D37C5">
      <w:pPr>
        <w:pStyle w:val="14"/>
        <w:jc w:val="center"/>
        <w:rPr>
          <w:rFonts w:ascii="Times New Roman" w:hAnsi="Times New Roman" w:cs="Times New Roman"/>
          <w:sz w:val="72"/>
          <w:szCs w:val="72"/>
        </w:rPr>
      </w:pPr>
    </w:p>
    <w:p w14:paraId="6FAC1B2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845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79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603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8EE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17AD0">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517AD0">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CF0E6"/>
    <w:multiLevelType w:val="singleLevel"/>
    <w:tmpl w:val="EDECF0E6"/>
    <w:lvl w:ilvl="0" w:tentative="0">
      <w:start w:val="13"/>
      <w:numFmt w:val="chineseCounting"/>
      <w:suff w:val="nothing"/>
      <w:lvlText w:val="%1、"/>
      <w:lvlJc w:val="left"/>
      <w:rPr>
        <w:rFonts w:hint="eastAsia"/>
      </w:rPr>
    </w:lvl>
  </w:abstractNum>
  <w:abstractNum w:abstractNumId="1">
    <w:nsid w:val="59EA1F60"/>
    <w:multiLevelType w:val="singleLevel"/>
    <w:tmpl w:val="59EA1F6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D2310"/>
    <w:rsid w:val="03BC5D6F"/>
    <w:rsid w:val="09532292"/>
    <w:rsid w:val="098A53F3"/>
    <w:rsid w:val="0DEA3A88"/>
    <w:rsid w:val="127354B2"/>
    <w:rsid w:val="12782650"/>
    <w:rsid w:val="15C95B82"/>
    <w:rsid w:val="18C8720E"/>
    <w:rsid w:val="1AC01D51"/>
    <w:rsid w:val="1AE21017"/>
    <w:rsid w:val="1D4458C8"/>
    <w:rsid w:val="1D97DEFF"/>
    <w:rsid w:val="1DF42DFE"/>
    <w:rsid w:val="1DFF72E5"/>
    <w:rsid w:val="1EFC6F07"/>
    <w:rsid w:val="266F3FF1"/>
    <w:rsid w:val="27D604E0"/>
    <w:rsid w:val="284127D3"/>
    <w:rsid w:val="2B6F7F5F"/>
    <w:rsid w:val="2BCD36AB"/>
    <w:rsid w:val="2C410950"/>
    <w:rsid w:val="2F5E5B1E"/>
    <w:rsid w:val="2FDF85B8"/>
    <w:rsid w:val="2FF40717"/>
    <w:rsid w:val="2FFFEE04"/>
    <w:rsid w:val="33D66B8A"/>
    <w:rsid w:val="3465787E"/>
    <w:rsid w:val="34DF85B0"/>
    <w:rsid w:val="36F80954"/>
    <w:rsid w:val="38E32EBD"/>
    <w:rsid w:val="39151A3F"/>
    <w:rsid w:val="39AE3826"/>
    <w:rsid w:val="3A3D1831"/>
    <w:rsid w:val="3B6B35B7"/>
    <w:rsid w:val="3B8F36BC"/>
    <w:rsid w:val="428359EA"/>
    <w:rsid w:val="43173ACA"/>
    <w:rsid w:val="43F719F8"/>
    <w:rsid w:val="45C10D70"/>
    <w:rsid w:val="45D7104B"/>
    <w:rsid w:val="491FF225"/>
    <w:rsid w:val="49C864AD"/>
    <w:rsid w:val="4A9528D4"/>
    <w:rsid w:val="4AEE1DB8"/>
    <w:rsid w:val="4B4349E1"/>
    <w:rsid w:val="4DA80416"/>
    <w:rsid w:val="4E5D4F86"/>
    <w:rsid w:val="4FCF4301"/>
    <w:rsid w:val="4FFD214C"/>
    <w:rsid w:val="52C76FBA"/>
    <w:rsid w:val="55BD7366"/>
    <w:rsid w:val="563A0FF7"/>
    <w:rsid w:val="5777D4F5"/>
    <w:rsid w:val="57A02969"/>
    <w:rsid w:val="59DD8326"/>
    <w:rsid w:val="5AE92545"/>
    <w:rsid w:val="5CDC3E0B"/>
    <w:rsid w:val="5DEF592A"/>
    <w:rsid w:val="5FC6BB1E"/>
    <w:rsid w:val="5FF720F1"/>
    <w:rsid w:val="6415356C"/>
    <w:rsid w:val="64E04A5E"/>
    <w:rsid w:val="670A6088"/>
    <w:rsid w:val="67EB4F70"/>
    <w:rsid w:val="67FF5C0B"/>
    <w:rsid w:val="6A1707C7"/>
    <w:rsid w:val="6ABF6769"/>
    <w:rsid w:val="6CF81229"/>
    <w:rsid w:val="6EFC0924"/>
    <w:rsid w:val="6FB74722"/>
    <w:rsid w:val="6FEF8B7E"/>
    <w:rsid w:val="710D6F9E"/>
    <w:rsid w:val="71A6591B"/>
    <w:rsid w:val="72B327CE"/>
    <w:rsid w:val="73495405"/>
    <w:rsid w:val="737D59BA"/>
    <w:rsid w:val="75521FDF"/>
    <w:rsid w:val="770E556E"/>
    <w:rsid w:val="77C37683"/>
    <w:rsid w:val="79D19834"/>
    <w:rsid w:val="79FF515B"/>
    <w:rsid w:val="7E477619"/>
    <w:rsid w:val="7E9E1962"/>
    <w:rsid w:val="7E9F11B4"/>
    <w:rsid w:val="7F0D3769"/>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1538</Words>
  <Characters>1712</Characters>
  <Lines>69</Lines>
  <Paragraphs>19</Paragraphs>
  <TotalTime>4</TotalTime>
  <ScaleCrop>false</ScaleCrop>
  <LinksUpToDate>false</LinksUpToDate>
  <CharactersWithSpaces>1905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2025-12-04T06:29:16Z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