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EF" w:rsidRDefault="007B0C75">
      <w:pPr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3F3F3F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  <w:t>蓝山县明德实验小学</w:t>
      </w:r>
      <w:r w:rsidR="00313289"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  <w:t>202</w:t>
      </w:r>
      <w:r w:rsidR="00313289">
        <w:rPr>
          <w:rFonts w:ascii="仿宋_GB2312" w:eastAsia="仿宋_GB2312" w:hAnsi="仿宋_GB2312" w:cs="仿宋_GB2312"/>
          <w:b/>
          <w:bCs/>
          <w:color w:val="3F3F3F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  <w:t>年度部门整体支出</w:t>
      </w:r>
    </w:p>
    <w:p w:rsidR="008F7BEF" w:rsidRDefault="007B0C75">
      <w:pPr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3F3F3F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  <w:t>绩效评价情况报告</w:t>
      </w:r>
    </w:p>
    <w:p w:rsidR="008F7BEF" w:rsidRDefault="008F7BEF">
      <w:pPr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bCs/>
          <w:color w:val="3F3F3F"/>
          <w:sz w:val="32"/>
          <w:szCs w:val="32"/>
        </w:rPr>
      </w:pPr>
    </w:p>
    <w:p w:rsidR="008F7BEF" w:rsidRDefault="007B0C7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313289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年度部门绩效自评工作，现将我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313289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年度部门整体支出绩效评价情况报告如下：</w:t>
      </w:r>
    </w:p>
    <w:p w:rsidR="008F7BEF" w:rsidRDefault="007B0C75">
      <w:pPr>
        <w:pStyle w:val="a4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单位概况</w:t>
      </w:r>
    </w:p>
    <w:p w:rsidR="008F7BEF" w:rsidRDefault="007B0C75">
      <w:pPr>
        <w:pStyle w:val="a4"/>
        <w:shd w:val="clear" w:color="auto" w:fill="FFFFFF"/>
        <w:spacing w:line="560" w:lineRule="exact"/>
        <w:ind w:left="64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基本情况</w:t>
      </w:r>
    </w:p>
    <w:p w:rsidR="008F7BEF" w:rsidRDefault="007B0C75">
      <w:pPr>
        <w:pStyle w:val="a4"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．主要职能：实施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九年</w:t>
      </w:r>
      <w:r>
        <w:rPr>
          <w:rFonts w:ascii="仿宋_GB2312" w:eastAsia="仿宋_GB2312" w:hAnsi="仿宋_GB2312" w:cs="仿宋_GB2312" w:hint="eastAsia"/>
          <w:sz w:val="32"/>
          <w:szCs w:val="32"/>
        </w:rPr>
        <w:t>义务教育，促进基础义务教育的发展，搞好教育教学工作。</w:t>
      </w:r>
    </w:p>
    <w:p w:rsidR="008F7BEF" w:rsidRDefault="007B0C75">
      <w:pPr>
        <w:pStyle w:val="a4"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．机构情况：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313289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 w:rsidR="00313289">
        <w:rPr>
          <w:rFonts w:ascii="仿宋_GB2312" w:eastAsia="仿宋_GB2312" w:hAnsi="仿宋_GB2312" w:cs="仿宋_GB2312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学校班级共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313289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:rsidR="008F7BEF" w:rsidRDefault="007B0C75">
      <w:pPr>
        <w:pStyle w:val="a4"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．人员情况：我校现有教职工</w:t>
      </w:r>
      <w:r w:rsidR="00313289">
        <w:rPr>
          <w:rFonts w:ascii="仿宋_GB2312" w:eastAsia="仿宋_GB2312" w:hAnsi="仿宋_GB2312" w:cs="仿宋_GB2312"/>
          <w:sz w:val="32"/>
          <w:szCs w:val="32"/>
        </w:rPr>
        <w:t>125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8F7BEF" w:rsidRDefault="007B0C75">
      <w:pPr>
        <w:pStyle w:val="a4"/>
        <w:shd w:val="clear" w:color="auto" w:fill="FFFFFF"/>
        <w:spacing w:line="560" w:lineRule="exact"/>
        <w:ind w:left="64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（二）当年取得的主要事业成效</w:t>
      </w:r>
    </w:p>
    <w:p w:rsidR="008F7BEF" w:rsidRDefault="007B0C75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本年度，我校全面贯彻教育方针，落实各级教育会议精神，以办人民满意教育为宗旨，始终坚持奉行“以人为本，以质立校”的办学理念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以提高教育教学质量为主线，注重学生行为养成教育，突出学校安全工作，加强校园环境整治，实行民主管理，规范办学行为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学校整体工作取得了长足的发展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8F7BEF" w:rsidRDefault="007B0C75">
      <w:pPr>
        <w:numPr>
          <w:ilvl w:val="0"/>
          <w:numId w:val="2"/>
        </w:num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部门整体收支出概况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8F7BEF" w:rsidRDefault="007B0C7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F444CB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年部门收支完成情况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年度本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安排预算收入</w:t>
      </w:r>
      <w:r w:rsidR="00F444CB">
        <w:rPr>
          <w:rFonts w:ascii="仿宋_GB2312" w:eastAsia="仿宋_GB2312" w:hAnsi="仿宋" w:cs="仿宋"/>
          <w:color w:val="000000"/>
          <w:sz w:val="32"/>
          <w:szCs w:val="32"/>
        </w:rPr>
        <w:t>1902.79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万元，安排预算支出</w:t>
      </w:r>
      <w:r w:rsidR="00F444CB">
        <w:rPr>
          <w:rFonts w:ascii="仿宋_GB2312" w:eastAsia="仿宋_GB2312" w:hAnsi="仿宋" w:cs="仿宋"/>
          <w:color w:val="000000"/>
          <w:sz w:val="32"/>
          <w:szCs w:val="32"/>
        </w:rPr>
        <w:t>1902.79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</w:p>
    <w:p w:rsidR="008F7BEF" w:rsidRDefault="007B0C7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收入：决算总收入</w:t>
      </w:r>
      <w:r w:rsidR="00F444CB">
        <w:rPr>
          <w:rFonts w:ascii="仿宋_GB2312" w:eastAsia="仿宋_GB2312" w:hAnsi="仿宋" w:cs="仿宋"/>
          <w:color w:val="000000"/>
          <w:sz w:val="32"/>
          <w:szCs w:val="32"/>
        </w:rPr>
        <w:t>1902.79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万元，其中财政拨款收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入</w:t>
      </w:r>
      <w:r w:rsidR="00F444CB">
        <w:rPr>
          <w:rFonts w:ascii="仿宋_GB2312" w:eastAsia="仿宋_GB2312" w:hAnsi="仿宋" w:cs="仿宋"/>
          <w:color w:val="000000"/>
          <w:sz w:val="32"/>
          <w:szCs w:val="32"/>
        </w:rPr>
        <w:t>1608.38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万元，其他收入</w:t>
      </w:r>
      <w:r w:rsidR="00F444CB">
        <w:rPr>
          <w:rFonts w:ascii="仿宋_GB2312" w:eastAsia="仿宋_GB2312" w:hAnsi="仿宋_GB2312" w:cs="仿宋_GB2312"/>
          <w:sz w:val="32"/>
          <w:szCs w:val="32"/>
        </w:rPr>
        <w:t>294.41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</w:p>
    <w:p w:rsidR="008F7BEF" w:rsidRDefault="007B0C7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支出：决算总支出</w:t>
      </w:r>
      <w:r w:rsidR="00F444CB">
        <w:rPr>
          <w:rFonts w:ascii="仿宋_GB2312" w:eastAsia="仿宋_GB2312" w:hAnsi="仿宋" w:cs="仿宋"/>
          <w:color w:val="000000"/>
          <w:sz w:val="32"/>
          <w:szCs w:val="32"/>
        </w:rPr>
        <w:t>1902.79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万元，其中财政拨款支出</w:t>
      </w:r>
      <w:r w:rsidR="00F444CB">
        <w:rPr>
          <w:rFonts w:ascii="仿宋_GB2312" w:eastAsia="仿宋_GB2312" w:hAnsi="仿宋" w:cs="仿宋"/>
          <w:color w:val="000000"/>
          <w:sz w:val="32"/>
          <w:szCs w:val="32"/>
        </w:rPr>
        <w:t>1902.79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万元，非财政拨款支出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万元；项目支出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8F7BEF" w:rsidRDefault="007B0C75">
      <w:pPr>
        <w:shd w:val="clear" w:color="auto" w:fill="FFFFFF"/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二、整体支出管理及使用情况</w:t>
      </w:r>
    </w:p>
    <w:p w:rsidR="008F7BEF" w:rsidRDefault="007B0C75">
      <w:pPr>
        <w:shd w:val="clear" w:color="auto" w:fill="FFFFFF"/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（一）基本支出管理情况</w:t>
      </w:r>
    </w:p>
    <w:p w:rsidR="008F7BEF" w:rsidRDefault="007B0C75">
      <w:pPr>
        <w:shd w:val="clear" w:color="auto" w:fill="FFFFFF"/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、基本支出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决算</w:t>
      </w:r>
      <w:r>
        <w:rPr>
          <w:rFonts w:ascii="仿宋_GB2312" w:eastAsia="仿宋_GB2312" w:hAnsi="仿宋_GB2312" w:cs="仿宋_GB2312" w:hint="eastAsia"/>
          <w:sz w:val="32"/>
          <w:szCs w:val="32"/>
        </w:rPr>
        <w:t>执行情况：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6F0699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预算支出</w:t>
      </w:r>
      <w:r w:rsidR="006F0699">
        <w:rPr>
          <w:rFonts w:ascii="仿宋_GB2312" w:eastAsia="仿宋_GB2312" w:hAnsi="仿宋" w:cs="仿宋"/>
          <w:color w:val="000000"/>
          <w:sz w:val="32"/>
          <w:szCs w:val="32"/>
        </w:rPr>
        <w:t>1608.38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万元，其中：工资福利支出</w:t>
      </w:r>
      <w:r w:rsidR="006F0699">
        <w:rPr>
          <w:rFonts w:ascii="仿宋_GB2312" w:eastAsia="仿宋_GB2312" w:hAnsi="仿宋_GB2312" w:cs="仿宋_GB2312"/>
          <w:sz w:val="32"/>
          <w:szCs w:val="32"/>
        </w:rPr>
        <w:t>1417.67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万元，商品和服务支出</w:t>
      </w:r>
      <w:r w:rsidR="006F0699">
        <w:rPr>
          <w:rFonts w:eastAsia="仿宋_GB2312"/>
          <w:sz w:val="32"/>
          <w:szCs w:val="32"/>
        </w:rPr>
        <w:t>181.03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万元，对个人和家庭的补助支出</w:t>
      </w:r>
      <w:r w:rsidR="006F0699">
        <w:rPr>
          <w:rFonts w:ascii="仿宋_GB2312" w:eastAsia="仿宋_GB2312" w:hAnsi="仿宋_GB2312" w:cs="仿宋_GB2312"/>
          <w:sz w:val="32"/>
          <w:szCs w:val="32"/>
        </w:rPr>
        <w:t>9.68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万元，“三公”经费支出控制数</w:t>
      </w:r>
      <w:r>
        <w:rPr>
          <w:rFonts w:eastAsia="仿宋_GB2312" w:hint="eastAsia"/>
          <w:sz w:val="32"/>
          <w:szCs w:val="32"/>
        </w:rPr>
        <w:t>0</w:t>
      </w:r>
      <w:r w:rsidR="006F0699">
        <w:rPr>
          <w:rFonts w:eastAsia="仿宋_GB2312"/>
          <w:sz w:val="32"/>
          <w:szCs w:val="32"/>
        </w:rPr>
        <w:t>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万元，其中：公务接待费</w:t>
      </w:r>
      <w:r>
        <w:rPr>
          <w:rFonts w:eastAsia="仿宋_GB2312" w:hint="eastAsia"/>
          <w:sz w:val="32"/>
          <w:szCs w:val="32"/>
        </w:rPr>
        <w:t>0</w:t>
      </w:r>
      <w:r w:rsidR="006F0699">
        <w:rPr>
          <w:rFonts w:eastAsia="仿宋_GB2312"/>
          <w:sz w:val="32"/>
          <w:szCs w:val="32"/>
        </w:rPr>
        <w:t>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万元，公务用车经费（公车运行维护费）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8F7BEF" w:rsidRDefault="007B0C75">
      <w:pPr>
        <w:shd w:val="clear" w:color="auto" w:fill="FFFFFF"/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（二）“三公经费”支出和使用情况</w:t>
      </w:r>
    </w:p>
    <w:p w:rsidR="008F7BEF" w:rsidRDefault="007B0C75">
      <w:pPr>
        <w:shd w:val="clear" w:color="auto" w:fill="FFFFFF"/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  <w:highlight w:val="red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F62E3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年“三公经费”预算数</w:t>
      </w:r>
      <w:r>
        <w:rPr>
          <w:rFonts w:ascii="仿宋_GB2312" w:eastAsia="仿宋_GB2312" w:hAnsi="仿宋_GB2312" w:cs="仿宋_GB2312" w:hint="eastAsia"/>
          <w:sz w:val="32"/>
          <w:szCs w:val="32"/>
        </w:rPr>
        <w:t>0.</w:t>
      </w:r>
      <w:r w:rsidR="002F62E3">
        <w:rPr>
          <w:rFonts w:ascii="仿宋_GB2312" w:eastAsia="仿宋_GB2312" w:hAnsi="仿宋_GB2312" w:cs="仿宋_GB2312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0.</w:t>
      </w:r>
      <w:r w:rsidR="002F62E3">
        <w:rPr>
          <w:rFonts w:ascii="仿宋_GB2312" w:eastAsia="仿宋_GB2312" w:hAnsi="仿宋_GB2312" w:cs="仿宋_GB2312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公务用车运行费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万元，公务用车购置费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因公出国（境）费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8F7BEF" w:rsidRDefault="007B0C75">
      <w:pPr>
        <w:shd w:val="clear" w:color="auto" w:fill="FFFFFF"/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F62E3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年“三公经费”执行情况：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F62E3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年“三公经费”</w:t>
      </w:r>
      <w:r>
        <w:rPr>
          <w:rFonts w:ascii="仿宋_GB2312" w:eastAsia="仿宋_GB2312" w:hAnsi="仿宋_GB2312" w:cs="仿宋_GB2312" w:hint="eastAsia"/>
          <w:sz w:val="32"/>
          <w:szCs w:val="32"/>
        </w:rPr>
        <w:t>决</w:t>
      </w:r>
      <w:r>
        <w:rPr>
          <w:rFonts w:ascii="仿宋_GB2312" w:eastAsia="仿宋_GB2312" w:hAnsi="仿宋_GB2312" w:cs="仿宋_GB2312" w:hint="eastAsia"/>
          <w:sz w:val="32"/>
          <w:szCs w:val="32"/>
        </w:rPr>
        <w:t>算数</w:t>
      </w:r>
      <w:r>
        <w:rPr>
          <w:rFonts w:eastAsia="仿宋_GB2312" w:hint="eastAsia"/>
          <w:sz w:val="32"/>
          <w:szCs w:val="32"/>
        </w:rPr>
        <w:t>0</w:t>
      </w:r>
      <w:r w:rsidR="002F62E3">
        <w:rPr>
          <w:rFonts w:eastAsia="仿宋_GB2312"/>
          <w:sz w:val="32"/>
          <w:szCs w:val="32"/>
        </w:rPr>
        <w:t>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公务接待费</w:t>
      </w:r>
      <w:r>
        <w:rPr>
          <w:rFonts w:eastAsia="仿宋_GB2312" w:hint="eastAsia"/>
          <w:sz w:val="32"/>
          <w:szCs w:val="32"/>
        </w:rPr>
        <w:t>0</w:t>
      </w:r>
      <w:r w:rsidR="002F62E3">
        <w:rPr>
          <w:rFonts w:eastAsia="仿宋_GB2312"/>
          <w:sz w:val="32"/>
          <w:szCs w:val="32"/>
        </w:rPr>
        <w:t>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公务用车运行费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万元，公务用车购置费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因公出国（境）费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8F7BEF" w:rsidRDefault="007B0C75">
      <w:pPr>
        <w:shd w:val="clear" w:color="auto" w:fill="FFFFFF"/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F62E3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严格控制“三公经费”支出，比上年度“三公”经费支出数</w:t>
      </w:r>
      <w:r w:rsidR="002F62E3">
        <w:rPr>
          <w:rFonts w:ascii="仿宋_GB2312" w:eastAsia="仿宋_GB2312" w:hAnsi="仿宋_GB2312" w:cs="仿宋_GB2312" w:hint="eastAsia"/>
          <w:sz w:val="32"/>
          <w:szCs w:val="32"/>
        </w:rPr>
        <w:t>有所增加，接待人数有所增加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F7BEF" w:rsidRDefault="007B0C75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（三）项目支出管理和使用情况</w:t>
      </w:r>
    </w:p>
    <w:p w:rsidR="008F7BEF" w:rsidRDefault="007B0C75">
      <w:p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F62E3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部门项目绩效目</w:t>
      </w:r>
      <w:r>
        <w:rPr>
          <w:rFonts w:ascii="仿宋_GB2312" w:eastAsia="仿宋_GB2312" w:hAnsi="仿宋_GB2312" w:cs="仿宋_GB2312" w:hint="eastAsia"/>
          <w:sz w:val="32"/>
          <w:szCs w:val="32"/>
        </w:rPr>
        <w:t>标为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实际执行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F7BEF" w:rsidRDefault="007B0C75">
      <w:p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三、绩效评价工作组织实施情况</w:t>
      </w:r>
    </w:p>
    <w:p w:rsidR="008F7BEF" w:rsidRDefault="007B0C75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:rsidR="008F7BEF" w:rsidRDefault="007B0C75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四、整体支出绩效情况</w:t>
      </w:r>
    </w:p>
    <w:p w:rsidR="008F7BEF" w:rsidRDefault="007B0C75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从整体情况来看，我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严格按照年初预算进行部门整体支出。在支出过程中，能严格遵守各项规章制度，“三公经费”明显下降。实行了先有预算、后有执行、“用钱必问效、无效必问责”的新常态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社会和公众满意度较高。根据对我单位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F62E3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年部门整体支出项目绩效评价指标体系和绩效情况的检查，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F62E3">
        <w:rPr>
          <w:rFonts w:ascii="仿宋_GB2312" w:eastAsia="仿宋_GB2312" w:hAnsi="仿宋_GB2312" w:cs="仿宋_GB2312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年我单位部门整体绩效自评分</w:t>
      </w:r>
      <w:r>
        <w:rPr>
          <w:rFonts w:ascii="仿宋_GB2312" w:eastAsia="仿宋_GB2312" w:hAnsi="仿宋_GB2312" w:cs="仿宋_GB2312" w:hint="eastAsia"/>
          <w:sz w:val="32"/>
          <w:szCs w:val="32"/>
        </w:rPr>
        <w:t>98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分，为“优”等级。</w:t>
      </w:r>
    </w:p>
    <w:p w:rsidR="008F7BEF" w:rsidRDefault="007B0C75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五、存在的主要问题</w:t>
      </w:r>
    </w:p>
    <w:p w:rsidR="008F7BEF" w:rsidRDefault="007B0C75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sectPr w:rsidR="008F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BEEB"/>
    <w:multiLevelType w:val="singleLevel"/>
    <w:tmpl w:val="1E8BBEE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DD056B1"/>
    <w:multiLevelType w:val="multilevel"/>
    <w:tmpl w:val="7DD056B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DAzNGZkYTc4OWZhYjUyZGJiOGE3MmNjYTJjMjEifQ=="/>
  </w:docVars>
  <w:rsids>
    <w:rsidRoot w:val="008F7BEF"/>
    <w:rsid w:val="002F62E3"/>
    <w:rsid w:val="00313289"/>
    <w:rsid w:val="006F0699"/>
    <w:rsid w:val="007B0C75"/>
    <w:rsid w:val="008F7BEF"/>
    <w:rsid w:val="00F444CB"/>
    <w:rsid w:val="07FF778A"/>
    <w:rsid w:val="084014D0"/>
    <w:rsid w:val="0C4E4B43"/>
    <w:rsid w:val="0CE66DDF"/>
    <w:rsid w:val="0DF4154E"/>
    <w:rsid w:val="112A6F0E"/>
    <w:rsid w:val="254B540C"/>
    <w:rsid w:val="303D3A34"/>
    <w:rsid w:val="46A15852"/>
    <w:rsid w:val="4BB66026"/>
    <w:rsid w:val="51EF1B2D"/>
    <w:rsid w:val="542858C6"/>
    <w:rsid w:val="5AEB55D2"/>
    <w:rsid w:val="5B5501BB"/>
    <w:rsid w:val="5E9E55BB"/>
    <w:rsid w:val="6791431B"/>
    <w:rsid w:val="6A6139B5"/>
    <w:rsid w:val="7AE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2A4F3"/>
  <w15:docId w15:val="{0F92EF13-480A-4D52-B740-BFC0A477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1180</Words>
  <Characters>155</Characters>
  <Application>Microsoft Office Word</Application>
  <DocSecurity>0</DocSecurity>
  <Lines>1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57469</dc:creator>
  <cp:lastModifiedBy>Administrator</cp:lastModifiedBy>
  <cp:revision>6</cp:revision>
  <dcterms:created xsi:type="dcterms:W3CDTF">2014-10-29T12:08:00Z</dcterms:created>
  <dcterms:modified xsi:type="dcterms:W3CDTF">2025-08-26T03:49:00Z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8E2C5C29898D445BBAE5535276E0D8F7</vt:lpwstr>
  </property>
</Properties>
</file>