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b w:val="0"/>
          <w:bCs w:val="0"/>
          <w:sz w:val="52"/>
          <w:szCs w:val="52"/>
        </w:rPr>
      </w:pPr>
      <w:r>
        <w:rPr>
          <w:rFonts w:ascii="Times New Roman" w:hAnsi="Times New Roman" w:eastAsia="方正小标宋简体" w:cs="Times New Roman"/>
          <w:b w:val="0"/>
          <w:bCs w:val="0"/>
          <w:sz w:val="52"/>
          <w:szCs w:val="52"/>
        </w:rPr>
        <w:t>2024年度</w:t>
      </w:r>
    </w:p>
    <w:p>
      <w:pPr>
        <w:pStyle w:val="17"/>
        <w:jc w:val="center"/>
        <w:rPr>
          <w:rFonts w:ascii="Times New Roman" w:hAnsi="Times New Roman" w:eastAsia="方正小标宋简体" w:cs="Times New Roman"/>
          <w:b w:val="0"/>
          <w:bCs w:val="0"/>
          <w:sz w:val="52"/>
          <w:szCs w:val="52"/>
        </w:rPr>
      </w:pPr>
      <w:r>
        <w:rPr>
          <w:rFonts w:hint="eastAsia" w:ascii="黑体" w:hAnsi="黑体" w:eastAsia="黑体" w:cs="黑体"/>
          <w:b w:val="0"/>
          <w:bCs w:val="0"/>
          <w:color w:val="auto"/>
          <w:kern w:val="0"/>
          <w:sz w:val="52"/>
          <w:szCs w:val="52"/>
          <w:lang w:val="en-US" w:eastAsia="zh-CN" w:bidi="ar-SA"/>
        </w:rPr>
        <w:t>蓝山县医疗保障</w:t>
      </w:r>
      <w:r>
        <w:rPr>
          <w:rFonts w:hint="eastAsia" w:hAnsi="黑体" w:cs="黑体"/>
          <w:b w:val="0"/>
          <w:bCs w:val="0"/>
          <w:color w:val="auto"/>
          <w:kern w:val="0"/>
          <w:sz w:val="52"/>
          <w:szCs w:val="52"/>
          <w:lang w:val="en-US" w:eastAsia="zh-CN" w:bidi="ar-SA"/>
        </w:rPr>
        <w:t>事务中心</w:t>
      </w:r>
      <w:r>
        <w:rPr>
          <w:rFonts w:ascii="Times New Roman" w:hAnsi="Times New Roman" w:eastAsia="方正小标宋简体" w:cs="Times New Roman"/>
          <w:b w:val="0"/>
          <w:bCs w:val="0"/>
          <w:sz w:val="52"/>
          <w:szCs w:val="52"/>
        </w:rPr>
        <w:t>部门决算</w:t>
      </w:r>
    </w:p>
    <w:p>
      <w:pPr>
        <w:pStyle w:val="17"/>
        <w:jc w:val="center"/>
        <w:rPr>
          <w:rFonts w:ascii="Times New Roman" w:hAnsi="Times New Roman" w:eastAsia="方正小标宋_GBK" w:cs="Times New Roman"/>
          <w:b w:val="0"/>
          <w:bCs w:val="0"/>
          <w:sz w:val="56"/>
          <w:szCs w:val="56"/>
        </w:rPr>
      </w:pPr>
    </w:p>
    <w:p>
      <w:pPr>
        <w:pStyle w:val="17"/>
        <w:jc w:val="center"/>
        <w:rPr>
          <w:rFonts w:ascii="Times New Roman" w:hAnsi="Times New Roman" w:cs="Times New Roman"/>
          <w:sz w:val="56"/>
          <w:szCs w:val="56"/>
        </w:rPr>
      </w:pPr>
    </w:p>
    <w:p>
      <w:pPr>
        <w:pStyle w:val="17"/>
        <w:rPr>
          <w:rFonts w:ascii="Times New Roman" w:hAnsi="Times New Roman" w:cs="Times New Roman"/>
          <w:sz w:val="56"/>
          <w:szCs w:val="56"/>
        </w:rPr>
      </w:pPr>
    </w:p>
    <w:p>
      <w:pPr>
        <w:pStyle w:val="17"/>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6"/>
          <w:szCs w:val="28"/>
        </w:r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color w:val="auto"/>
          <w:kern w:val="0"/>
          <w:sz w:val="44"/>
          <w:szCs w:val="44"/>
          <w:lang w:val="en-US" w:eastAsia="zh-CN" w:bidi="ar-SA"/>
        </w:rPr>
        <w:t>蓝山县医疗保障事务中心</w:t>
      </w:r>
      <w:r>
        <w:rPr>
          <w:rFonts w:hint="eastAsia" w:ascii="黑体" w:hAnsi="黑体" w:eastAsia="黑体" w:cs="黑体"/>
          <w:b/>
          <w:bCs w:val="0"/>
          <w:kern w:val="0"/>
          <w:sz w:val="44"/>
          <w:szCs w:val="44"/>
          <w:lang w:val="en-US" w:eastAsia="zh-CN"/>
        </w:rPr>
        <w:t>部门</w:t>
      </w:r>
      <w:r>
        <w:rPr>
          <w:rFonts w:hint="eastAsia" w:ascii="黑体" w:hAnsi="黑体" w:eastAsia="黑体" w:cs="黑体"/>
          <w:b/>
          <w:bCs w:val="0"/>
          <w:kern w:val="0"/>
          <w:sz w:val="44"/>
          <w:szCs w:val="44"/>
        </w:rPr>
        <w:t>概况</w:t>
      </w:r>
    </w:p>
    <w:p>
      <w:pPr>
        <w:pStyle w:val="18"/>
        <w:numPr>
          <w:ilvl w:val="0"/>
          <w:numId w:val="0"/>
        </w:numPr>
        <w:ind w:leftChars="0"/>
        <w:jc w:val="left"/>
        <w:rPr>
          <w:rFonts w:ascii="黑体" w:hAnsi="黑体" w:eastAsia="黑体"/>
          <w:sz w:val="32"/>
          <w:szCs w:val="32"/>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部门</w:t>
      </w:r>
      <w:r>
        <w:rPr>
          <w:rFonts w:hint="eastAsia" w:ascii="黑体" w:hAnsi="黑体" w:eastAsia="黑体"/>
          <w:sz w:val="32"/>
          <w:szCs w:val="32"/>
          <w:lang w:val="en-US" w:eastAsia="zh-CN"/>
        </w:rPr>
        <w:t>职能</w:t>
      </w:r>
      <w:r>
        <w:rPr>
          <w:rFonts w:ascii="黑体" w:hAnsi="黑体" w:eastAsia="黑体"/>
          <w:sz w:val="32"/>
          <w:szCs w:val="32"/>
        </w:rPr>
        <w:t>职责</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shd w:val="clear" w:color="auto" w:fill="FFFFFF"/>
          <w:vertAlign w:val="baseline"/>
        </w:rPr>
        <w:t>（1）</w:t>
      </w:r>
      <w:r>
        <w:rPr>
          <w:rFonts w:hint="default" w:ascii="Times New Roman" w:hAnsi="Times New Roman" w:eastAsia="仿宋_GB2312" w:cs="Times New Roman"/>
          <w:i w:val="0"/>
          <w:color w:val="000000"/>
          <w:spacing w:val="0"/>
          <w:sz w:val="32"/>
          <w:szCs w:val="32"/>
          <w:vertAlign w:val="baseline"/>
        </w:rPr>
        <w:t>蓝山县医疗保障事务中心贯彻落实中央、省、市、县关于医疗保障工作的方针政策和部署要求,坚持和加强党对医疗保障经办工作的集中统一领导</w:t>
      </w:r>
      <w:r>
        <w:rPr>
          <w:rFonts w:hint="default" w:ascii="Times New Roman" w:hAnsi="Times New Roman" w:eastAsia="仿宋_GB2312" w:cs="Times New Roman"/>
          <w:i w:val="0"/>
          <w:color w:val="000000"/>
          <w:spacing w:val="0"/>
          <w:sz w:val="32"/>
          <w:szCs w:val="32"/>
          <w:shd w:val="clear" w:color="auto" w:fill="FFFFFF"/>
          <w:vertAlign w:val="baseline"/>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shd w:val="clear" w:color="auto" w:fill="FFFFFF"/>
          <w:vertAlign w:val="baseline"/>
        </w:rPr>
        <w:t>（2）</w:t>
      </w:r>
      <w:r>
        <w:rPr>
          <w:rFonts w:hint="default" w:ascii="Times New Roman" w:hAnsi="Times New Roman" w:eastAsia="仿宋_GB2312" w:cs="Times New Roman"/>
          <w:i w:val="0"/>
          <w:color w:val="000000"/>
          <w:spacing w:val="0"/>
          <w:sz w:val="32"/>
          <w:szCs w:val="32"/>
          <w:vertAlign w:val="baseline"/>
        </w:rPr>
        <w:t>负责参与拟订全县医疗保险经办工作规程并具体实施。</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（3）参与拟订并组织实施全县异地就医管理办法和费用结算办法。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（4）承担全县城镇职工基本医疗保险、公务员医疗补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助、大病医疗互助、生育保险等经办工作。协助做好医疗救助、药品采购、离休干部医疗保障等工作。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（5）负责对参保人员发生的基本医疗保险费用进行实时监测，及时对有关异常情况进行核查。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（6）承担基本医疗保险稽核监管的具体实施工作，协助县医保局对医疗保险定点医疗机构、协议零售药店遵守基本医疗保险规定的情况实施监督检查。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（7）协同建立医保相关部门之间信息定期比对共享机制和数据动态管理机制，为医保基金监管和政策调整提供支撑。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olor w:val="000000"/>
          <w:spacing w:val="0"/>
          <w:sz w:val="32"/>
          <w:szCs w:val="32"/>
          <w:vertAlign w:val="baseline"/>
        </w:rPr>
        <w:t>（8）承办县医保局交办的其他事项。</w:t>
      </w:r>
    </w:p>
    <w:p>
      <w:pPr>
        <w:widowControl/>
        <w:spacing w:line="600" w:lineRule="exact"/>
        <w:ind w:firstLine="640" w:firstLineChars="200"/>
        <w:outlineLvl w:val="1"/>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二、机构设置及决算单位构成</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bCs/>
          <w:kern w:val="0"/>
          <w:sz w:val="32"/>
          <w:szCs w:val="32"/>
        </w:rPr>
      </w:pPr>
      <w:r>
        <w:rPr>
          <w:rFonts w:hint="eastAsia" w:ascii="楷体_GB2312" w:hAnsi="宋体" w:eastAsia="楷体_GB2312" w:cs="Times New Roman"/>
          <w:b/>
          <w:bCs/>
          <w:kern w:val="0"/>
          <w:sz w:val="32"/>
          <w:szCs w:val="32"/>
          <w:lang w:val="en-US" w:eastAsia="zh-CN" w:bidi="ar-SA"/>
        </w:rPr>
        <w:t>（一）内设机构设置。</w:t>
      </w:r>
      <w:r>
        <w:rPr>
          <w:rFonts w:hint="default" w:ascii="Times New Roman" w:hAnsi="Times New Roman" w:eastAsia="仿宋_GB2312" w:cs="Times New Roman"/>
          <w:i w:val="0"/>
          <w:color w:val="000000"/>
          <w:spacing w:val="0"/>
          <w:sz w:val="32"/>
          <w:szCs w:val="32"/>
          <w:shd w:val="clear" w:color="auto" w:fill="FFFFFF"/>
          <w:vertAlign w:val="baseline"/>
        </w:rPr>
        <w:t>蓝山县医疗保障事务中心是参照公务员管理的财政全额拨款事业单位，2019年6月机构改革，由原医保中心和原稽核监管中心合并为医疗保障事务中心，是蓝山县医疗保障局所属副科级公益一类事业单位</w:t>
      </w:r>
      <w:r>
        <w:rPr>
          <w:rFonts w:hint="default" w:ascii="Times New Roman" w:hAnsi="Times New Roman" w:eastAsia="仿宋_GB2312" w:cs="Times New Roman"/>
          <w:i w:val="0"/>
          <w:color w:val="000000"/>
          <w:spacing w:val="0"/>
          <w:sz w:val="32"/>
          <w:szCs w:val="32"/>
          <w:shd w:val="clear" w:color="auto" w:fill="FFFFFF"/>
          <w:vertAlign w:val="baseline"/>
          <w:lang w:eastAsia="zh-CN"/>
        </w:rPr>
        <w:t>。</w:t>
      </w:r>
      <w:r>
        <w:rPr>
          <w:rFonts w:hint="default" w:ascii="Times New Roman" w:hAnsi="Times New Roman" w:eastAsia="仿宋_GB2312" w:cs="Times New Roman"/>
          <w:sz w:val="32"/>
          <w:szCs w:val="32"/>
        </w:rPr>
        <w:t>内设6个股室，包括办公室、参保登记股、费用审核股、异地就医结算股、特殊病种、特殊人群服务股、稽核股。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i w:val="0"/>
          <w:color w:val="000000"/>
          <w:spacing w:val="0"/>
          <w:sz w:val="32"/>
          <w:szCs w:val="32"/>
          <w:shd w:val="clear" w:color="auto" w:fill="FFFFFF"/>
          <w:vertAlign w:val="baseline"/>
          <w:lang w:val="en-US" w:eastAsia="zh-CN"/>
        </w:rPr>
      </w:pPr>
      <w:r>
        <w:rPr>
          <w:rFonts w:hint="eastAsia" w:ascii="楷体_GB2312" w:hAnsi="宋体" w:eastAsia="楷体_GB2312" w:cs="Times New Roman"/>
          <w:b/>
          <w:bCs/>
          <w:kern w:val="0"/>
          <w:sz w:val="32"/>
          <w:szCs w:val="32"/>
          <w:lang w:val="en-US" w:eastAsia="zh-CN" w:bidi="ar-SA"/>
        </w:rPr>
        <w:t>（二）决算单位构成。</w:t>
      </w:r>
      <w:r>
        <w:rPr>
          <w:rFonts w:hint="default" w:ascii="Times New Roman" w:hAnsi="Times New Roman" w:eastAsia="仿宋_GB2312" w:cs="Times New Roman"/>
          <w:bCs/>
          <w:kern w:val="0"/>
          <w:sz w:val="32"/>
          <w:szCs w:val="32"/>
          <w:lang w:val="en-US" w:eastAsia="zh-CN"/>
        </w:rPr>
        <w:t>蓝山县医疗保障事务中心202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w:t>
      </w:r>
      <w:r>
        <w:rPr>
          <w:rFonts w:hint="default" w:ascii="Times New Roman" w:hAnsi="Times New Roman" w:eastAsia="仿宋_GB2312" w:cs="Times New Roman"/>
          <w:bCs/>
          <w:kern w:val="0"/>
          <w:sz w:val="32"/>
          <w:szCs w:val="32"/>
          <w:lang w:eastAsia="zh-CN"/>
        </w:rPr>
        <w:t>只</w:t>
      </w:r>
      <w:r>
        <w:rPr>
          <w:rFonts w:hint="default" w:ascii="Times New Roman" w:hAnsi="Times New Roman" w:eastAsia="仿宋_GB2312" w:cs="Times New Roman"/>
          <w:bCs/>
          <w:kern w:val="0"/>
          <w:sz w:val="32"/>
          <w:szCs w:val="32"/>
        </w:rPr>
        <w:t>包括</w:t>
      </w:r>
      <w:r>
        <w:rPr>
          <w:rFonts w:hint="default" w:ascii="Times New Roman" w:hAnsi="Times New Roman" w:eastAsia="仿宋_GB2312" w:cs="Times New Roman"/>
          <w:bCs/>
          <w:kern w:val="0"/>
          <w:sz w:val="32"/>
          <w:szCs w:val="32"/>
          <w:lang w:eastAsia="zh-CN"/>
        </w:rPr>
        <w:t>蓝山县医疗保障事务中心</w:t>
      </w:r>
      <w:r>
        <w:rPr>
          <w:rFonts w:hint="default" w:ascii="Times New Roman" w:hAnsi="Times New Roman" w:eastAsia="仿宋_GB2312" w:cs="Times New Roman"/>
          <w:bCs/>
          <w:kern w:val="0"/>
          <w:sz w:val="32"/>
          <w:szCs w:val="32"/>
          <w:lang w:val="en-US" w:eastAsia="zh-CN"/>
        </w:rPr>
        <w:t>单位本级</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i w:val="0"/>
          <w:color w:val="000000"/>
          <w:spacing w:val="0"/>
          <w:sz w:val="32"/>
          <w:szCs w:val="32"/>
          <w:shd w:val="clear" w:color="auto" w:fill="FFFFFF"/>
          <w:vertAlign w:val="baseline"/>
          <w:lang w:val="en-US" w:eastAsia="zh-CN"/>
        </w:rPr>
        <w:t>2019至2021年决算报表数据合并在医保局数据中公示，2022年之后决算报表单独公示。</w:t>
      </w:r>
    </w:p>
    <w:p>
      <w:pPr>
        <w:pStyle w:val="12"/>
        <w:keepNext w:val="0"/>
        <w:keepLines w:val="0"/>
        <w:widowControl/>
        <w:suppressLineNumbers w:val="0"/>
        <w:spacing w:before="0" w:beforeAutospacing="0" w:after="0" w:afterAutospacing="0" w:line="240" w:lineRule="auto"/>
        <w:ind w:right="0" w:firstLine="640" w:firstLineChars="200"/>
        <w:jc w:val="both"/>
        <w:rPr>
          <w:rFonts w:hint="eastAsia" w:ascii="仿宋" w:hAnsi="仿宋" w:eastAsia="仿宋" w:cs="仿宋"/>
          <w:strike w:val="0"/>
          <w:color w:val="auto"/>
          <w:sz w:val="32"/>
          <w:szCs w:val="32"/>
        </w:rPr>
      </w:pPr>
    </w:p>
    <w:p>
      <w:pPr>
        <w:jc w:val="left"/>
        <w:rPr>
          <w:rFonts w:hint="eastAsia" w:ascii="仿宋" w:hAnsi="仿宋" w:eastAsia="仿宋" w:cs="仿宋"/>
          <w:sz w:val="32"/>
          <w:szCs w:val="32"/>
        </w:rPr>
      </w:pPr>
    </w:p>
    <w:p>
      <w:pPr>
        <w:rPr>
          <w:sz w:val="72"/>
          <w:szCs w:val="72"/>
        </w:rPr>
      </w:pPr>
    </w:p>
    <w:p>
      <w:pPr>
        <w:pStyle w:val="23"/>
      </w:pPr>
    </w:p>
    <w:p>
      <w:pPr>
        <w:jc w:val="left"/>
        <w:rPr>
          <w:rFonts w:hint="default" w:ascii="Times New Roman" w:hAnsi="Times New Roman" w:eastAsia="仿宋_GB2312" w:cs="Times New Roman"/>
          <w:sz w:val="32"/>
          <w:szCs w:val="32"/>
        </w:rPr>
      </w:pPr>
    </w:p>
    <w:p>
      <w:pPr>
        <w:rPr>
          <w:sz w:val="72"/>
          <w:szCs w:val="72"/>
        </w:rPr>
      </w:pPr>
    </w:p>
    <w:p>
      <w:pPr>
        <w:pStyle w:val="3"/>
        <w:rPr>
          <w:sz w:val="72"/>
          <w:szCs w:val="72"/>
        </w:rPr>
      </w:pPr>
    </w:p>
    <w:p>
      <w:pPr>
        <w:pStyle w:val="3"/>
        <w:rPr>
          <w:sz w:val="72"/>
          <w:szCs w:val="72"/>
        </w:rPr>
      </w:pPr>
    </w:p>
    <w:p>
      <w:pPr>
        <w:pStyle w:val="23"/>
        <w:jc w:val="both"/>
      </w:pPr>
    </w:p>
    <w:p>
      <w:pPr>
        <w:pStyle w:val="23"/>
        <w:jc w:val="both"/>
      </w:pPr>
    </w:p>
    <w:p>
      <w:pPr>
        <w:pStyle w:val="23"/>
        <w:jc w:val="both"/>
      </w:pPr>
    </w:p>
    <w:p>
      <w:pPr>
        <w:pStyle w:val="23"/>
        <w:jc w:val="both"/>
      </w:pPr>
    </w:p>
    <w:p>
      <w:pPr>
        <w:pStyle w:val="23"/>
        <w:jc w:val="both"/>
      </w:pPr>
    </w:p>
    <w:p>
      <w:pPr>
        <w:pStyle w:val="23"/>
        <w:jc w:val="both"/>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4"/>
        <w:tblW w:w="14896" w:type="dxa"/>
        <w:jc w:val="center"/>
        <w:tblInd w:w="0" w:type="dxa"/>
        <w:tblLayout w:type="fixed"/>
        <w:tblCellMar>
          <w:top w:w="0" w:type="dxa"/>
          <w:left w:w="108" w:type="dxa"/>
          <w:bottom w:w="0" w:type="dxa"/>
          <w:right w:w="108" w:type="dxa"/>
        </w:tblCellMar>
      </w:tblPr>
      <w:tblGrid>
        <w:gridCol w:w="5603"/>
        <w:gridCol w:w="827"/>
        <w:gridCol w:w="1256"/>
        <w:gridCol w:w="4718"/>
        <w:gridCol w:w="827"/>
        <w:gridCol w:w="1665"/>
      </w:tblGrid>
      <w:tr>
        <w:tblPrEx>
          <w:tblLayout w:type="fixed"/>
          <w:tblCellMar>
            <w:top w:w="0" w:type="dxa"/>
            <w:left w:w="108" w:type="dxa"/>
            <w:bottom w:w="0" w:type="dxa"/>
            <w:right w:w="108" w:type="dxa"/>
          </w:tblCellMar>
        </w:tblPrEx>
        <w:trPr>
          <w:trHeight w:val="340" w:hRule="exact"/>
          <w:jc w:val="center"/>
        </w:trPr>
        <w:tc>
          <w:tcPr>
            <w:tcW w:w="76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2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509.91</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lang w:eastAsia="zh-CN"/>
              </w:rPr>
              <w:t>、卫生健康支出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509.91</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509.91</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509.91</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509.91</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2" w:firstLineChars="200"/>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509.91</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4"/>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tabs>
                <w:tab w:val="center" w:pos="638"/>
              </w:tabs>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21015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sz w:val="21"/>
                <w:szCs w:val="21"/>
                <w:u w:val="none"/>
                <w:lang w:eastAsia="zh-CN"/>
              </w:rPr>
              <w:t>医疗保障管理事务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2101501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sz w:val="21"/>
                <w:szCs w:val="21"/>
                <w:u w:val="none"/>
                <w:lang w:eastAsia="zh-C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top"/>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14211" w:type="dxa"/>
        <w:jc w:val="center"/>
        <w:tblInd w:w="0" w:type="dxa"/>
        <w:tblLayout w:type="fixed"/>
        <w:tblCellMar>
          <w:top w:w="0" w:type="dxa"/>
          <w:left w:w="108" w:type="dxa"/>
          <w:bottom w:w="0" w:type="dxa"/>
          <w:right w:w="108" w:type="dxa"/>
        </w:tblCellMar>
      </w:tblPr>
      <w:tblGrid>
        <w:gridCol w:w="2346"/>
        <w:gridCol w:w="1896"/>
        <w:gridCol w:w="1797"/>
        <w:gridCol w:w="1254"/>
        <w:gridCol w:w="1251"/>
        <w:gridCol w:w="1795"/>
        <w:gridCol w:w="1252"/>
        <w:gridCol w:w="2620"/>
      </w:tblGrid>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3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8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5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9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5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9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w:t>
            </w:r>
          </w:p>
        </w:tc>
        <w:tc>
          <w:tcPr>
            <w:tcW w:w="1896" w:type="dxa"/>
            <w:tcBorders>
              <w:top w:val="nil"/>
              <w:left w:val="nil"/>
              <w:bottom w:val="single" w:color="auto" w:sz="4" w:space="0"/>
              <w:right w:val="single" w:color="auto" w:sz="4" w:space="0"/>
            </w:tcBorders>
            <w:shd w:val="clear" w:color="auto" w:fill="auto"/>
            <w:vAlign w:val="center"/>
          </w:tcPr>
          <w:p>
            <w:pPr>
              <w:tabs>
                <w:tab w:val="center" w:pos="638"/>
              </w:tabs>
              <w:jc w:val="left"/>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179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w:t>
            </w:r>
          </w:p>
        </w:tc>
        <w:tc>
          <w:tcPr>
            <w:tcW w:w="1896"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医疗保障管理事务</w:t>
            </w:r>
          </w:p>
        </w:tc>
        <w:tc>
          <w:tcPr>
            <w:tcW w:w="179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2101501</w:t>
            </w:r>
          </w:p>
        </w:tc>
        <w:tc>
          <w:tcPr>
            <w:tcW w:w="1896"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行政运行</w:t>
            </w:r>
          </w:p>
        </w:tc>
        <w:tc>
          <w:tcPr>
            <w:tcW w:w="179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509.91</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14220" w:type="dxa"/>
        <w:jc w:val="center"/>
        <w:tblInd w:w="0" w:type="dxa"/>
        <w:tblLayout w:type="fixed"/>
        <w:tblCellMar>
          <w:top w:w="0" w:type="dxa"/>
          <w:left w:w="108" w:type="dxa"/>
          <w:bottom w:w="0" w:type="dxa"/>
          <w:right w:w="108" w:type="dxa"/>
        </w:tblCellMar>
      </w:tblPr>
      <w:tblGrid>
        <w:gridCol w:w="3516"/>
        <w:gridCol w:w="616"/>
        <w:gridCol w:w="821"/>
        <w:gridCol w:w="2636"/>
        <w:gridCol w:w="616"/>
        <w:gridCol w:w="696"/>
        <w:gridCol w:w="1842"/>
        <w:gridCol w:w="1677"/>
        <w:gridCol w:w="1800"/>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509.91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lang w:eastAsia="zh-CN"/>
              </w:rPr>
              <w:t>、卫生健康支出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509.91</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509.91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509.91</w:t>
            </w: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509.91</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509.91</w:t>
            </w:r>
          </w:p>
        </w:tc>
        <w:tc>
          <w:tcPr>
            <w:tcW w:w="167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4"/>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509.91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509.91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tabs>
                <w:tab w:val="center" w:pos="638"/>
              </w:tabs>
              <w:jc w:val="left"/>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医疗保障管理事务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509.91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4"/>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479.99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25.83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171.37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7.52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105.01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5.28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100.73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50.25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24.66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6.96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14.28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105.51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482.77</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27.14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11"/>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hint="default" w:ascii="Times New Roman" w:hAnsi="Times New Roman" w:eastAsia="楷体_GB2312" w:cs="Times New Roman"/>
          <w:color w:val="000000"/>
          <w:sz w:val="20"/>
          <w:szCs w:val="20"/>
          <w:lang w:val="en-US" w:eastAsia="zh-CN"/>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r>
        <w:rPr>
          <w:rFonts w:hint="eastAsia" w:ascii="Times New Roman" w:hAnsi="Times New Roman" w:eastAsia="楷体_GB2312" w:cs="Times New Roman"/>
          <w:color w:val="000000"/>
          <w:kern w:val="0"/>
          <w:sz w:val="20"/>
          <w:szCs w:val="20"/>
          <w:lang w:val="en-US" w:eastAsia="zh-CN" w:bidi="ar"/>
        </w:rPr>
        <w:t xml:space="preserve">                   </w:t>
      </w:r>
    </w:p>
    <w:tbl>
      <w:tblPr>
        <w:tblStyle w:val="14"/>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2.77</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footerReference r:id="rId6"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snapToGrid w:val="0"/>
        <w:spacing w:line="520" w:lineRule="exact"/>
        <w:ind w:firstLine="640" w:firstLineChars="200"/>
        <w:rPr>
          <w:rFonts w:hint="eastAsia" w:ascii="仿宋" w:hAnsi="仿宋" w:eastAsia="仿宋" w:cs="仿宋"/>
          <w:color w:val="C00000"/>
          <w:sz w:val="30"/>
          <w:szCs w:val="30"/>
          <w:lang w:val="en-US" w:eastAsia="zh-CN"/>
        </w:rPr>
      </w:pPr>
      <w:r>
        <w:rPr>
          <w:rFonts w:hint="default" w:ascii="Times New Roman" w:hAnsi="Times New Roman" w:eastAsia="仿宋_GB2312" w:cs="Times New Roman"/>
          <w:b w:val="0"/>
          <w:bCs w:val="0"/>
          <w:color w:val="auto"/>
          <w:sz w:val="32"/>
          <w:szCs w:val="32"/>
          <w:lang w:val="en-US" w:eastAsia="zh-CN"/>
        </w:rPr>
        <w:t>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Cs/>
          <w:color w:val="auto"/>
          <w:sz w:val="32"/>
          <w:szCs w:val="32"/>
        </w:rPr>
        <w:t>度</w:t>
      </w:r>
      <w:r>
        <w:rPr>
          <w:rFonts w:hint="default"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u w:val="none"/>
          <w:lang w:val="en-US" w:eastAsia="zh-CN"/>
        </w:rPr>
        <w:t>509.91</w:t>
      </w:r>
      <w:r>
        <w:rPr>
          <w:rFonts w:hint="default"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481.69万元</w:t>
      </w:r>
      <w:r>
        <w:rPr>
          <w:rFonts w:hint="default" w:ascii="Times New Roman" w:hAnsi="Times New Roman" w:eastAsia="仿宋_GB2312" w:cs="Times New Roman"/>
          <w:color w:val="auto"/>
          <w:sz w:val="32"/>
          <w:szCs w:val="32"/>
          <w:u w:val="none"/>
        </w:rPr>
        <w:t>相比，</w:t>
      </w:r>
      <w:r>
        <w:rPr>
          <w:rFonts w:hint="eastAsia" w:ascii="仿宋" w:hAnsi="仿宋" w:eastAsia="仿宋" w:cs="仿宋"/>
          <w:color w:val="auto"/>
          <w:sz w:val="30"/>
          <w:szCs w:val="30"/>
          <w:lang w:val="en-US" w:eastAsia="zh-CN"/>
        </w:rPr>
        <w:t>收支执行数增加28.22万元，增幅5.9%，增幅的主要原因为工资正常晋级增长及发放2023年度绩效考核奖。</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2024年度收入</w:t>
      </w:r>
      <w:r>
        <w:rPr>
          <w:rFonts w:ascii="Times New Roman" w:hAnsi="Times New Roman" w:eastAsia="仿宋_GB2312" w:cs="Times New Roman"/>
          <w:color w:val="auto"/>
          <w:sz w:val="32"/>
          <w:szCs w:val="32"/>
          <w:u w:val="none"/>
        </w:rPr>
        <w:t>合计</w:t>
      </w:r>
      <w:r>
        <w:rPr>
          <w:rFonts w:hint="eastAsia" w:ascii="Times New Roman" w:hAnsi="Times New Roman" w:eastAsia="仿宋_GB2312" w:cs="Times New Roman"/>
          <w:color w:val="auto"/>
          <w:sz w:val="32"/>
          <w:szCs w:val="32"/>
          <w:u w:val="none"/>
          <w:lang w:val="en-US" w:eastAsia="zh-CN"/>
        </w:rPr>
        <w:t>509.91</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509.91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snapToGrid w:val="0"/>
        <w:spacing w:line="520" w:lineRule="exact"/>
        <w:ind w:firstLine="640" w:firstLineChars="200"/>
        <w:rPr>
          <w:rFonts w:hint="eastAsia" w:ascii="仿宋" w:hAnsi="仿宋" w:eastAsia="仿宋" w:cs="仿宋"/>
          <w:color w:val="C00000"/>
          <w:sz w:val="30"/>
          <w:szCs w:val="30"/>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u w:val="none"/>
        </w:rPr>
        <w:t>与20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481.69万元</w:t>
      </w:r>
      <w:r>
        <w:rPr>
          <w:rFonts w:hint="default" w:ascii="Times New Roman" w:hAnsi="Times New Roman" w:eastAsia="仿宋_GB2312" w:cs="Times New Roman"/>
          <w:color w:val="auto"/>
          <w:sz w:val="32"/>
          <w:szCs w:val="32"/>
          <w:u w:val="none"/>
        </w:rPr>
        <w:t>相比，</w:t>
      </w:r>
      <w:r>
        <w:rPr>
          <w:rFonts w:hint="eastAsia" w:ascii="仿宋" w:hAnsi="仿宋" w:eastAsia="仿宋" w:cs="仿宋"/>
          <w:color w:val="auto"/>
          <w:sz w:val="30"/>
          <w:szCs w:val="30"/>
          <w:lang w:val="en-US" w:eastAsia="zh-CN"/>
        </w:rPr>
        <w:t>收支执行数增加28.22万元，增幅5.9%，增幅的主要原因为工资正常晋级增长及发放2023年度绩效考核奖。</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snapToGrid w:val="0"/>
        <w:spacing w:line="520" w:lineRule="exact"/>
        <w:ind w:firstLine="640" w:firstLineChars="200"/>
        <w:rPr>
          <w:rFonts w:hint="eastAsia" w:ascii="仿宋" w:hAnsi="仿宋" w:eastAsia="仿宋" w:cs="仿宋"/>
          <w:color w:val="C00000"/>
          <w:sz w:val="30"/>
          <w:szCs w:val="30"/>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上年</w:t>
      </w:r>
      <w:r>
        <w:rPr>
          <w:rFonts w:hint="eastAsia" w:ascii="Times New Roman" w:hAnsi="Times New Roman" w:eastAsia="仿宋_GB2312" w:cs="Times New Roman"/>
          <w:color w:val="auto"/>
          <w:sz w:val="32"/>
          <w:szCs w:val="32"/>
          <w:u w:val="none"/>
          <w:lang w:val="en-US" w:eastAsia="zh-CN"/>
        </w:rPr>
        <w:t>481.69万元</w:t>
      </w:r>
      <w:r>
        <w:rPr>
          <w:rFonts w:hint="default" w:ascii="Times New Roman" w:hAnsi="Times New Roman" w:eastAsia="仿宋_GB2312" w:cs="Times New Roman"/>
          <w:color w:val="auto"/>
          <w:sz w:val="32"/>
          <w:szCs w:val="32"/>
          <w:u w:val="none"/>
        </w:rPr>
        <w:t>相比，</w:t>
      </w:r>
      <w:r>
        <w:rPr>
          <w:rFonts w:hint="eastAsia" w:ascii="仿宋" w:hAnsi="仿宋" w:eastAsia="仿宋" w:cs="仿宋"/>
          <w:color w:val="auto"/>
          <w:sz w:val="30"/>
          <w:szCs w:val="30"/>
          <w:lang w:val="en-US" w:eastAsia="zh-CN"/>
        </w:rPr>
        <w:t>收支执行数增加28.22万元，增幅5.9%，增幅的主要原因为工资正常晋级增长及发放2023年度绩效考核奖。</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509.91</w:t>
      </w:r>
      <w:r>
        <w:rPr>
          <w:rFonts w:ascii="Times New Roman" w:hAnsi="Times New Roman" w:eastAsia="仿宋_GB2312" w:cs="Times New Roman"/>
          <w:color w:val="auto"/>
          <w:sz w:val="32"/>
          <w:szCs w:val="32"/>
          <w:u w:val="none"/>
        </w:rPr>
        <w:t>万元，主要用于以下方面：</w:t>
      </w:r>
      <w:r>
        <w:rPr>
          <w:rFonts w:hint="eastAsia" w:ascii="Times New Roman" w:hAnsi="Times New Roman" w:eastAsia="仿宋_GB2312" w:cs="Times New Roman"/>
          <w:color w:val="auto"/>
          <w:sz w:val="32"/>
          <w:szCs w:val="32"/>
          <w:u w:val="none"/>
          <w:lang w:eastAsia="zh-CN"/>
        </w:rPr>
        <w:t>卫生健康（</w:t>
      </w:r>
      <w:r>
        <w:rPr>
          <w:rFonts w:hint="eastAsia" w:ascii="Times New Roman" w:hAnsi="Times New Roman" w:eastAsia="仿宋_GB2312" w:cs="Times New Roman"/>
          <w:color w:val="auto"/>
          <w:sz w:val="32"/>
          <w:szCs w:val="32"/>
          <w:u w:val="none"/>
          <w:lang w:val="en-US" w:eastAsia="zh-CN"/>
        </w:rPr>
        <w:t>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509.91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485.83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104.96</w:t>
      </w:r>
      <w:r>
        <w:rPr>
          <w:rFonts w:ascii="Times New Roman" w:hAnsi="Times New Roman" w:eastAsia="仿宋_GB2312" w:cs="Times New Roman"/>
          <w:sz w:val="32"/>
          <w:szCs w:val="32"/>
        </w:rPr>
        <w:t>%，其中：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lang w:eastAsia="zh-CN"/>
        </w:rPr>
        <w:t>卫生健康</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类）</w:t>
      </w:r>
      <w:r>
        <w:rPr>
          <w:rFonts w:hint="default" w:ascii="Times New Roman" w:hAnsi="Times New Roman" w:eastAsia="仿宋_GB2312" w:cs="Times New Roman"/>
          <w:color w:val="auto"/>
          <w:sz w:val="32"/>
          <w:szCs w:val="32"/>
          <w:u w:val="none"/>
          <w:lang w:eastAsia="zh-CN"/>
        </w:rPr>
        <w:t>医疗保障管理事</w:t>
      </w: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款</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行政运行</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项）</w:t>
      </w:r>
    </w:p>
    <w:p>
      <w:pPr>
        <w:snapToGrid w:val="0"/>
        <w:spacing w:line="520" w:lineRule="exact"/>
        <w:ind w:firstLine="640" w:firstLineChars="200"/>
        <w:rPr>
          <w:rFonts w:hint="eastAsia" w:ascii="仿宋" w:hAnsi="仿宋" w:eastAsia="仿宋" w:cs="仿宋"/>
          <w:b/>
          <w:color w:val="auto"/>
          <w:sz w:val="30"/>
          <w:szCs w:val="30"/>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485.83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104.96</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0"/>
          <w:szCs w:val="30"/>
          <w:lang w:val="en-US" w:eastAsia="zh-CN"/>
        </w:rPr>
        <w:t>为工资正常晋级增长及发放2023年度绩效考核奖。</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509.91</w:t>
      </w:r>
      <w:r>
        <w:rPr>
          <w:rFonts w:ascii="Times New Roman" w:hAnsi="Times New Roman" w:eastAsia="仿宋_GB2312" w:cs="Times New Roman"/>
          <w:sz w:val="32"/>
          <w:szCs w:val="32"/>
        </w:rPr>
        <w:t>万元，其中：</w:t>
      </w:r>
    </w:p>
    <w:p>
      <w:pPr>
        <w:pStyle w:val="17"/>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482.77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94.7</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主要包括基本工资、津贴补贴、奖金、伙食补助费</w:t>
      </w:r>
      <w:r>
        <w:rPr>
          <w:rFonts w:hint="eastAsia" w:ascii="Times New Roman" w:hAnsi="Times New Roman" w:eastAsia="仿宋_GB2312" w:cs="Times New Roman"/>
          <w:color w:val="auto"/>
          <w:sz w:val="32"/>
          <w:szCs w:val="32"/>
          <w:u w:val="none"/>
          <w:lang w:eastAsia="zh-CN"/>
        </w:rPr>
        <w:t>、绩效工资、机关事业单位基本养老保险费、职工基本医疗保险缴费、其他社会保障缴费、</w:t>
      </w:r>
      <w:r>
        <w:rPr>
          <w:rFonts w:hint="eastAsia" w:ascii="Times New Roman" w:hAnsi="Times New Roman" w:eastAsia="仿宋_GB2312" w:cs="Times New Roman"/>
          <w:color w:val="auto"/>
          <w:sz w:val="32"/>
          <w:szCs w:val="32"/>
          <w:u w:val="none"/>
          <w:lang w:val="en-US" w:eastAsia="zh-CN"/>
        </w:rPr>
        <w:t>医疗费</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其他工资福利支出、</w:t>
      </w:r>
      <w:r>
        <w:rPr>
          <w:rFonts w:hint="eastAsia" w:ascii="Times New Roman" w:hAnsi="Times New Roman" w:eastAsia="仿宋_GB2312" w:cs="Times New Roman"/>
          <w:color w:val="auto"/>
          <w:sz w:val="32"/>
          <w:szCs w:val="32"/>
          <w:lang w:val="en-US" w:eastAsia="zh-CN"/>
        </w:rPr>
        <w:t>生活补助、医疗费补助、对其他个人和家庭的补助支出</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27.14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水</w:t>
      </w:r>
      <w:r>
        <w:rPr>
          <w:rFonts w:hint="eastAsia" w:ascii="Times New Roman" w:hAnsi="Times New Roman" w:eastAsia="仿宋_GB2312" w:cs="Times New Roman"/>
          <w:color w:val="auto"/>
          <w:sz w:val="32"/>
          <w:szCs w:val="32"/>
          <w:u w:val="none"/>
          <w:lang w:val="en-US" w:eastAsia="zh-CN"/>
        </w:rPr>
        <w:t>费、</w:t>
      </w:r>
      <w:r>
        <w:rPr>
          <w:rFonts w:hint="eastAsia" w:ascii="Times New Roman" w:hAnsi="Times New Roman" w:eastAsia="仿宋_GB2312" w:cs="Times New Roman"/>
          <w:color w:val="auto"/>
          <w:sz w:val="32"/>
          <w:szCs w:val="32"/>
          <w:u w:val="none"/>
          <w:lang w:eastAsia="zh-CN"/>
        </w:rPr>
        <w:t>电费、</w:t>
      </w:r>
      <w:r>
        <w:rPr>
          <w:rFonts w:hint="eastAsia" w:ascii="Times New Roman" w:hAnsi="Times New Roman" w:eastAsia="仿宋_GB2312" w:cs="Times New Roman"/>
          <w:color w:val="auto"/>
          <w:sz w:val="32"/>
          <w:szCs w:val="32"/>
          <w:u w:val="none"/>
          <w:lang w:val="en-US" w:eastAsia="zh-CN"/>
        </w:rPr>
        <w:t>邮电费、</w:t>
      </w:r>
      <w:r>
        <w:rPr>
          <w:rFonts w:hint="eastAsia" w:ascii="Times New Roman" w:hAnsi="Times New Roman" w:eastAsia="仿宋_GB2312" w:cs="Times New Roman"/>
          <w:color w:val="auto"/>
          <w:sz w:val="32"/>
          <w:szCs w:val="32"/>
          <w:u w:val="none"/>
          <w:lang w:eastAsia="zh-CN"/>
        </w:rPr>
        <w:t>差旅费、维</w:t>
      </w:r>
      <w:r>
        <w:rPr>
          <w:rFonts w:hint="eastAsia" w:ascii="Times New Roman" w:hAnsi="Times New Roman" w:eastAsia="仿宋_GB2312" w:cs="Times New Roman"/>
          <w:color w:val="auto"/>
          <w:sz w:val="32"/>
          <w:szCs w:val="32"/>
          <w:lang w:eastAsia="zh-CN"/>
        </w:rPr>
        <w:t>修费、</w:t>
      </w:r>
      <w:r>
        <w:rPr>
          <w:rFonts w:hint="eastAsia" w:ascii="Times New Roman" w:hAnsi="Times New Roman" w:eastAsia="仿宋_GB2312" w:cs="Times New Roman"/>
          <w:color w:val="auto"/>
          <w:sz w:val="32"/>
          <w:szCs w:val="32"/>
          <w:lang w:val="en-US" w:eastAsia="zh-CN"/>
        </w:rPr>
        <w:t>租赁费、会议费</w:t>
      </w:r>
      <w:r>
        <w:rPr>
          <w:rFonts w:hint="eastAsia" w:ascii="Times New Roman" w:hAnsi="Times New Roman" w:eastAsia="仿宋_GB2312" w:cs="Times New Roman"/>
          <w:color w:val="auto"/>
          <w:sz w:val="32"/>
          <w:szCs w:val="32"/>
          <w:lang w:eastAsia="zh-CN"/>
        </w:rPr>
        <w:t>、公务接待费、劳务费、工会经费、福其他交通费用、其他商品服务支出及资本性支出等。</w:t>
      </w:r>
    </w:p>
    <w:p>
      <w:pPr>
        <w:pStyle w:val="17"/>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7"/>
        <w:numPr>
          <w:ilvl w:val="0"/>
          <w:numId w:val="1"/>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5.61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46.8</w:t>
      </w:r>
      <w:r>
        <w:rPr>
          <w:rFonts w:ascii="Times New Roman" w:hAnsi="Times New Roman" w:eastAsia="仿宋_GB2312" w:cs="Times New Roman"/>
          <w:color w:val="auto"/>
          <w:sz w:val="32"/>
          <w:szCs w:val="32"/>
          <w:u w:val="none"/>
        </w:rPr>
        <w:t>%，其中：</w:t>
      </w:r>
    </w:p>
    <w:p>
      <w:pPr>
        <w:pStyle w:val="17"/>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决算数等于年初预算数的主要原因是严格执行预算，与上年相比持平，持平的主要原因是无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eastAsia="zh-CN"/>
        </w:rPr>
        <w:t>。</w:t>
      </w:r>
    </w:p>
    <w:p>
      <w:pPr>
        <w:pStyle w:val="17"/>
        <w:spacing w:line="600" w:lineRule="exact"/>
        <w:ind w:firstLine="640" w:firstLineChars="200"/>
        <w:jc w:val="both"/>
        <w:rPr>
          <w:rFonts w:hint="default" w:ascii="Times New Roman" w:hAnsi="Times New Roman" w:eastAsia="仿宋_GB2312" w:cs="Times New Roman"/>
          <w:b w:val="0"/>
          <w:bCs/>
          <w:color w:val="auto"/>
          <w:sz w:val="32"/>
          <w:szCs w:val="32"/>
          <w:u w:val="none"/>
          <w:lang w:val="en-US" w:eastAsia="zh-CN"/>
        </w:rPr>
      </w:pPr>
      <w:r>
        <w:rPr>
          <w:rFonts w:ascii="Times New Roman" w:hAnsi="Times New Roman" w:eastAsia="仿宋_GB2312" w:cs="Times New Roman"/>
          <w:color w:val="auto"/>
          <w:sz w:val="32"/>
          <w:szCs w:val="32"/>
          <w:u w:val="none"/>
        </w:rPr>
        <w:t>公</w:t>
      </w:r>
      <w:r>
        <w:rPr>
          <w:rFonts w:hint="default" w:ascii="Times New Roman" w:hAnsi="Times New Roman" w:eastAsia="仿宋_GB2312" w:cs="Times New Roman"/>
          <w:color w:val="auto"/>
          <w:sz w:val="32"/>
          <w:szCs w:val="32"/>
          <w:u w:val="none"/>
        </w:rPr>
        <w:t>务接待费支出预算</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2.77</w:t>
      </w:r>
      <w:r>
        <w:rPr>
          <w:rFonts w:hint="default"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69.3</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决算数小于年初预算数</w:t>
      </w:r>
      <w:r>
        <w:rPr>
          <w:rFonts w:hint="default" w:ascii="Times New Roman" w:hAnsi="Times New Roman" w:eastAsia="仿宋_GB2312" w:cs="Times New Roman"/>
          <w:color w:val="auto"/>
          <w:sz w:val="32"/>
          <w:szCs w:val="32"/>
          <w:u w:val="none"/>
        </w:rPr>
        <w:t>的主要原因是</w:t>
      </w:r>
      <w:r>
        <w:rPr>
          <w:rFonts w:hint="default" w:ascii="Times New Roman" w:hAnsi="Times New Roman" w:eastAsia="仿宋_GB2312" w:cs="Times New Roman"/>
          <w:color w:val="auto"/>
          <w:sz w:val="32"/>
          <w:szCs w:val="32"/>
          <w:u w:val="none"/>
          <w:lang w:eastAsia="zh-CN"/>
        </w:rPr>
        <w:t>单位厉行节约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比上年</w:t>
      </w:r>
      <w:r>
        <w:rPr>
          <w:rFonts w:hint="eastAsia" w:ascii="Times New Roman" w:hAnsi="Times New Roman" w:eastAsia="仿宋_GB2312" w:cs="Times New Roman"/>
          <w:color w:val="auto"/>
          <w:sz w:val="32"/>
          <w:szCs w:val="32"/>
          <w:u w:val="none"/>
          <w:lang w:val="en-US" w:eastAsia="zh-CN"/>
        </w:rPr>
        <w:t>度1.44万元相比增加</w:t>
      </w:r>
      <w:r>
        <w:rPr>
          <w:rFonts w:hint="eastAsia" w:ascii="Times New Roman" w:hAnsi="Times New Roman" w:eastAsia="仿宋_GB2312" w:cs="Times New Roman"/>
          <w:b w:val="0"/>
          <w:bCs/>
          <w:color w:val="auto"/>
          <w:sz w:val="32"/>
          <w:szCs w:val="32"/>
          <w:u w:val="none"/>
          <w:lang w:val="en-US" w:eastAsia="zh-CN"/>
        </w:rPr>
        <w:t>1.33</w:t>
      </w:r>
      <w:r>
        <w:rPr>
          <w:rFonts w:hint="default" w:ascii="Times New Roman" w:hAnsi="Times New Roman" w:eastAsia="仿宋_GB2312" w:cs="Times New Roman"/>
          <w:b w:val="0"/>
          <w:bCs/>
          <w:color w:val="auto"/>
          <w:sz w:val="32"/>
          <w:szCs w:val="32"/>
          <w:u w:val="none"/>
          <w:lang w:val="en-US" w:eastAsia="zh-CN"/>
        </w:rPr>
        <w:t>万元</w:t>
      </w:r>
      <w:r>
        <w:rPr>
          <w:rFonts w:hint="eastAsia" w:ascii="Times New Roman" w:hAnsi="Times New Roman" w:eastAsia="仿宋_GB2312" w:cs="Times New Roman"/>
          <w:b w:val="0"/>
          <w:bCs/>
          <w:color w:val="auto"/>
          <w:sz w:val="32"/>
          <w:szCs w:val="32"/>
          <w:u w:val="none"/>
          <w:lang w:val="en-US" w:eastAsia="zh-CN"/>
        </w:rPr>
        <w:t>，增加92.4</w:t>
      </w:r>
      <w:r>
        <w:rPr>
          <w:rFonts w:hint="default" w:ascii="Times New Roman" w:hAnsi="Times New Roman" w:eastAsia="仿宋_GB2312" w:cs="Times New Roman"/>
          <w:b w:val="0"/>
          <w:bCs/>
          <w:color w:val="auto"/>
          <w:sz w:val="32"/>
          <w:szCs w:val="32"/>
          <w:u w:val="none"/>
          <w:lang w:val="en-US" w:eastAsia="zh-CN"/>
        </w:rPr>
        <w:t>%。</w:t>
      </w:r>
      <w:r>
        <w:rPr>
          <w:rFonts w:hint="eastAsia" w:ascii="仿宋" w:hAnsi="仿宋" w:eastAsia="仿宋" w:cs="仿宋"/>
          <w:b w:val="0"/>
          <w:bCs/>
          <w:color w:val="auto"/>
          <w:sz w:val="30"/>
          <w:szCs w:val="30"/>
          <w:lang w:val="en-US" w:eastAsia="zh-CN"/>
        </w:rPr>
        <w:t>主要为上级检查及互相交流较上年增加</w:t>
      </w:r>
      <w:r>
        <w:rPr>
          <w:rFonts w:hint="eastAsia" w:ascii="Times New Roman" w:hAnsi="Times New Roman" w:eastAsia="仿宋_GB2312" w:cs="Times New Roman"/>
          <w:color w:val="auto"/>
          <w:sz w:val="32"/>
          <w:szCs w:val="32"/>
          <w:u w:val="none"/>
          <w:lang w:eastAsia="zh-CN"/>
        </w:rPr>
        <w:t>。</w:t>
      </w:r>
    </w:p>
    <w:p>
      <w:pPr>
        <w:pStyle w:val="17"/>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2.84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35.5</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决算数小于年初预算数</w:t>
      </w:r>
      <w:r>
        <w:rPr>
          <w:rFonts w:hint="default" w:ascii="Times New Roman" w:hAnsi="Times New Roman" w:eastAsia="仿宋_GB2312" w:cs="Times New Roman"/>
          <w:color w:val="auto"/>
          <w:sz w:val="32"/>
          <w:szCs w:val="32"/>
          <w:u w:val="none"/>
        </w:rPr>
        <w:t>的主要原因是</w:t>
      </w:r>
      <w:r>
        <w:rPr>
          <w:rFonts w:hint="default" w:ascii="Times New Roman" w:hAnsi="Times New Roman" w:eastAsia="仿宋_GB2312" w:cs="Times New Roman"/>
          <w:color w:val="auto"/>
          <w:sz w:val="32"/>
          <w:szCs w:val="32"/>
          <w:u w:val="none"/>
          <w:lang w:eastAsia="zh-CN"/>
        </w:rPr>
        <w:t>单位厉行节约</w:t>
      </w:r>
      <w:r>
        <w:rPr>
          <w:rFonts w:hint="eastAsia" w:ascii="Times New Roman" w:hAnsi="Times New Roman" w:eastAsia="仿宋_GB2312" w:cs="Times New Roman"/>
          <w:color w:val="auto"/>
          <w:sz w:val="32"/>
          <w:szCs w:val="32"/>
          <w:u w:val="none"/>
          <w:lang w:eastAsia="zh-CN"/>
        </w:rPr>
        <w:t>。上年无数据，没有对比性。</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2.77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49.4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2.84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50.6</w:t>
      </w:r>
      <w:r>
        <w:rPr>
          <w:rFonts w:ascii="Times New Roman" w:hAnsi="Times New Roman" w:eastAsia="仿宋_GB2312" w:cs="Times New Roman"/>
          <w:color w:val="auto"/>
          <w:sz w:val="32"/>
          <w:szCs w:val="32"/>
          <w:u w:val="none"/>
        </w:rPr>
        <w:t>%。其中：</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lang w:eastAsia="zh-CN"/>
        </w:rPr>
        <w:t>。</w:t>
      </w:r>
    </w:p>
    <w:p>
      <w:pPr>
        <w:pStyle w:val="17"/>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2.77</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33</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297</w:t>
      </w:r>
      <w:r>
        <w:rPr>
          <w:rFonts w:ascii="Times New Roman" w:hAnsi="Times New Roman" w:eastAsia="仿宋_GB2312" w:cs="Times New Roman"/>
          <w:color w:val="auto"/>
          <w:sz w:val="32"/>
          <w:szCs w:val="32"/>
          <w:u w:val="none"/>
        </w:rPr>
        <w:t>人次，</w:t>
      </w:r>
      <w:r>
        <w:rPr>
          <w:rFonts w:hint="eastAsia" w:ascii="仿宋_GB2312" w:hAnsi="仿宋_GB2312" w:eastAsia="仿宋_GB2312" w:cs="仿宋_GB2312"/>
          <w:color w:val="auto"/>
          <w:sz w:val="32"/>
          <w:szCs w:val="32"/>
          <w:u w:val="none"/>
        </w:rPr>
        <w:t>主要是</w:t>
      </w:r>
      <w:r>
        <w:rPr>
          <w:rFonts w:hint="eastAsia" w:ascii="仿宋_GB2312" w:hAnsi="仿宋_GB2312" w:eastAsia="仿宋_GB2312" w:cs="仿宋_GB2312"/>
          <w:color w:val="auto"/>
          <w:sz w:val="32"/>
          <w:szCs w:val="32"/>
          <w:u w:val="none"/>
          <w:lang w:eastAsia="zh-CN"/>
        </w:rPr>
        <w:t>迎接省市级业务指导、检查、兄弟县业务交流等</w:t>
      </w:r>
      <w:r>
        <w:rPr>
          <w:rFonts w:hint="eastAsia" w:ascii="仿宋_GB2312" w:hAnsi="仿宋_GB2312" w:eastAsia="仿宋_GB2312" w:cs="仿宋_GB2312"/>
          <w:color w:val="auto"/>
          <w:sz w:val="32"/>
          <w:szCs w:val="32"/>
          <w:u w:val="none"/>
        </w:rPr>
        <w:t>发生的接待支出。</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2.84</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sz w:val="32"/>
          <w:szCs w:val="32"/>
          <w:u w:val="none"/>
          <w:lang w:val="en-US" w:eastAsia="zh-CN"/>
        </w:rPr>
        <w:t>2.84</w:t>
      </w:r>
      <w:r>
        <w:rPr>
          <w:rFonts w:eastAsia="仿宋_GB2312"/>
          <w:sz w:val="32"/>
          <w:szCs w:val="32"/>
          <w:u w:val="none"/>
        </w:rPr>
        <w:t>万元，截止</w:t>
      </w:r>
      <w:r>
        <w:rPr>
          <w:rFonts w:hint="eastAsia" w:eastAsia="仿宋_GB2312"/>
          <w:sz w:val="32"/>
          <w:szCs w:val="32"/>
          <w:u w:val="none"/>
          <w:lang w:val="en-US" w:eastAsia="zh-CN"/>
        </w:rPr>
        <w:t>2024</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1</w:t>
      </w:r>
      <w:r>
        <w:rPr>
          <w:rFonts w:eastAsia="仿宋_GB2312"/>
          <w:sz w:val="32"/>
          <w:szCs w:val="32"/>
          <w:u w:val="none"/>
        </w:rPr>
        <w:t>辆。</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年度本单位无政府性基金收支</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kern w:val="0"/>
          <w:sz w:val="32"/>
          <w:szCs w:val="32"/>
          <w:u w:val="none"/>
          <w:lang w:val="en-US" w:eastAsia="zh-CN"/>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27.14</w:t>
      </w:r>
      <w:r>
        <w:rPr>
          <w:rFonts w:eastAsia="仿宋_GB2312"/>
          <w:kern w:val="0"/>
          <w:sz w:val="32"/>
          <w:szCs w:val="32"/>
          <w:u w:val="none"/>
        </w:rPr>
        <w:t>万元，比年初预算数</w:t>
      </w:r>
      <w:r>
        <w:rPr>
          <w:rFonts w:hint="eastAsia" w:eastAsia="仿宋_GB2312"/>
          <w:sz w:val="32"/>
          <w:szCs w:val="32"/>
          <w:u w:val="none"/>
          <w:lang w:val="en-US" w:eastAsia="zh-CN"/>
        </w:rPr>
        <w:t>61.52</w:t>
      </w:r>
      <w:r>
        <w:rPr>
          <w:rFonts w:hint="eastAsia" w:eastAsia="仿宋_GB2312"/>
          <w:sz w:val="32"/>
          <w:szCs w:val="32"/>
          <w:u w:val="none"/>
          <w:lang w:eastAsia="zh-CN"/>
        </w:rPr>
        <w:t>万元相比，减少</w:t>
      </w:r>
      <w:r>
        <w:rPr>
          <w:rFonts w:hint="eastAsia" w:eastAsia="仿宋_GB2312"/>
          <w:sz w:val="32"/>
          <w:szCs w:val="32"/>
          <w:u w:val="none"/>
          <w:lang w:val="en-US" w:eastAsia="zh-CN"/>
        </w:rPr>
        <w:t>34.38，降低55.9%，主要原因为</w:t>
      </w:r>
      <w:r>
        <w:rPr>
          <w:rFonts w:hint="default" w:ascii="Times New Roman" w:hAnsi="Times New Roman" w:eastAsia="仿宋_GB2312" w:cs="Times New Roman"/>
          <w:color w:val="auto"/>
          <w:sz w:val="32"/>
          <w:szCs w:val="32"/>
          <w:u w:val="none"/>
          <w:lang w:eastAsia="zh-CN"/>
        </w:rPr>
        <w:t>单位厉行节约</w:t>
      </w:r>
      <w:r>
        <w:rPr>
          <w:rFonts w:hint="eastAsia" w:ascii="Times New Roman" w:hAnsi="Times New Roman" w:eastAsia="仿宋_GB2312" w:cs="Times New Roman"/>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val="en-US" w:eastAsia="zh-CN"/>
        </w:rPr>
        <w:t>0次</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val="en-US" w:eastAsia="zh-CN"/>
        </w:rPr>
        <w:t>。</w:t>
      </w:r>
      <w:r>
        <w:rPr>
          <w:rFonts w:eastAsia="仿宋_GB2312"/>
          <w:color w:val="auto"/>
          <w:kern w:val="0"/>
          <w:sz w:val="32"/>
          <w:szCs w:val="32"/>
          <w:u w:val="none"/>
        </w:rPr>
        <w:t>开支培训费</w:t>
      </w:r>
      <w:r>
        <w:rPr>
          <w:rFonts w:hint="eastAsia" w:eastAsia="仿宋_GB2312"/>
          <w:color w:val="auto"/>
          <w:sz w:val="32"/>
          <w:szCs w:val="32"/>
          <w:u w:val="none"/>
          <w:lang w:val="en-US" w:eastAsia="zh-CN"/>
        </w:rPr>
        <w:t>0.84</w:t>
      </w:r>
      <w:r>
        <w:rPr>
          <w:rFonts w:eastAsia="仿宋_GB2312"/>
          <w:color w:val="auto"/>
          <w:kern w:val="0"/>
          <w:sz w:val="32"/>
          <w:szCs w:val="32"/>
          <w:u w:val="none"/>
        </w:rPr>
        <w:t>万元，用于开展</w:t>
      </w:r>
      <w:r>
        <w:rPr>
          <w:rFonts w:hint="eastAsia" w:eastAsia="仿宋_GB2312"/>
          <w:color w:val="auto"/>
          <w:kern w:val="0"/>
          <w:sz w:val="32"/>
          <w:szCs w:val="32"/>
          <w:u w:val="none"/>
          <w:lang w:val="en-US" w:eastAsia="zh-CN"/>
        </w:rPr>
        <w:t>1次</w:t>
      </w:r>
      <w:r>
        <w:rPr>
          <w:rFonts w:eastAsia="仿宋_GB2312"/>
          <w:color w:val="auto"/>
          <w:kern w:val="0"/>
          <w:sz w:val="32"/>
          <w:szCs w:val="32"/>
          <w:u w:val="none"/>
        </w:rPr>
        <w:t>培训，人数</w:t>
      </w:r>
      <w:r>
        <w:rPr>
          <w:rFonts w:hint="eastAsia" w:eastAsia="仿宋_GB2312"/>
          <w:color w:val="auto"/>
          <w:sz w:val="32"/>
          <w:szCs w:val="32"/>
          <w:u w:val="none"/>
          <w:lang w:val="en-US" w:eastAsia="zh-CN"/>
        </w:rPr>
        <w:t>35</w:t>
      </w:r>
      <w:r>
        <w:rPr>
          <w:rFonts w:eastAsia="仿宋_GB2312"/>
          <w:color w:val="auto"/>
          <w:kern w:val="0"/>
          <w:sz w:val="32"/>
          <w:szCs w:val="32"/>
          <w:u w:val="none"/>
        </w:rPr>
        <w:t>人，内容</w:t>
      </w:r>
      <w:r>
        <w:rPr>
          <w:rFonts w:hint="eastAsia" w:eastAsia="仿宋_GB2312"/>
          <w:color w:val="auto"/>
          <w:kern w:val="0"/>
          <w:sz w:val="32"/>
          <w:szCs w:val="32"/>
          <w:u w:val="none"/>
          <w:lang w:eastAsia="zh-CN"/>
        </w:rPr>
        <w:t>为</w:t>
      </w:r>
      <w:r>
        <w:rPr>
          <w:rFonts w:hint="eastAsia" w:eastAsia="仿宋_GB2312"/>
          <w:color w:val="auto"/>
          <w:kern w:val="0"/>
          <w:sz w:val="32"/>
          <w:szCs w:val="32"/>
          <w:u w:val="none"/>
          <w:lang w:val="en-US" w:eastAsia="zh-CN"/>
        </w:rPr>
        <w:t>2023年事业单位人员培训</w:t>
      </w:r>
      <w:r>
        <w:rPr>
          <w:rFonts w:eastAsia="仿宋_GB2312"/>
          <w:color w:val="auto"/>
          <w:kern w:val="0"/>
          <w:sz w:val="32"/>
          <w:szCs w:val="32"/>
          <w:u w:val="none"/>
        </w:rPr>
        <w:t>；举办</w:t>
      </w:r>
      <w:r>
        <w:rPr>
          <w:rFonts w:hint="eastAsia" w:eastAsia="仿宋_GB2312"/>
          <w:color w:val="auto"/>
          <w:kern w:val="0"/>
          <w:sz w:val="32"/>
          <w:szCs w:val="32"/>
          <w:u w:val="none"/>
          <w:lang w:val="en-US" w:eastAsia="zh-CN"/>
        </w:rPr>
        <w:t>0次</w:t>
      </w:r>
      <w:r>
        <w:rPr>
          <w:rFonts w:eastAsia="仿宋_GB2312"/>
          <w:color w:val="auto"/>
          <w:kern w:val="0"/>
          <w:sz w:val="32"/>
          <w:szCs w:val="32"/>
          <w:u w:val="none"/>
        </w:rPr>
        <w:t>节庆、</w:t>
      </w:r>
      <w:r>
        <w:rPr>
          <w:rFonts w:eastAsia="仿宋_GB2312"/>
          <w:color w:val="auto"/>
          <w:kern w:val="0"/>
          <w:sz w:val="32"/>
          <w:szCs w:val="32"/>
        </w:rPr>
        <w:t>晚会、论坛、赛事活动，开支</w:t>
      </w:r>
      <w:r>
        <w:rPr>
          <w:rFonts w:hint="eastAsia" w:eastAsia="仿宋_GB2312"/>
          <w:color w:val="auto"/>
          <w:sz w:val="32"/>
          <w:szCs w:val="32"/>
          <w:u w:val="none"/>
          <w:lang w:val="en-US" w:eastAsia="zh-CN"/>
        </w:rPr>
        <w:t>0</w:t>
      </w:r>
      <w:r>
        <w:rPr>
          <w:rFonts w:eastAsia="仿宋_GB2312"/>
          <w:color w:val="auto"/>
          <w:kern w:val="0"/>
          <w:sz w:val="32"/>
          <w:szCs w:val="32"/>
        </w:rPr>
        <w:t>万元，主要是</w:t>
      </w:r>
      <w:r>
        <w:rPr>
          <w:rFonts w:hint="eastAsia" w:eastAsia="仿宋_GB2312"/>
          <w:color w:val="auto"/>
          <w:kern w:val="0"/>
          <w:sz w:val="32"/>
          <w:szCs w:val="32"/>
          <w:lang w:val="en-US" w:eastAsia="zh-CN"/>
        </w:rPr>
        <w:t>无</w:t>
      </w:r>
      <w:r>
        <w:rPr>
          <w:rFonts w:eastAsia="仿宋_GB2312"/>
          <w:color w:val="auto"/>
          <w:kern w:val="0"/>
          <w:sz w:val="32"/>
          <w:szCs w:val="32"/>
        </w:rPr>
        <w:t>节庆、晚会、论坛、赛事活动</w:t>
      </w:r>
      <w:r>
        <w:rPr>
          <w:rFonts w:hint="eastAsia" w:eastAsia="仿宋_GB2312"/>
          <w:color w:val="auto"/>
          <w:kern w:val="0"/>
          <w:sz w:val="32"/>
          <w:szCs w:val="32"/>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9.04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75.7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509.91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509.91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仿宋" w:hAnsi="仿宋" w:eastAsia="仿宋" w:cs="仿宋"/>
          <w:color w:val="auto"/>
          <w:sz w:val="30"/>
          <w:szCs w:val="30"/>
          <w:lang w:eastAsia="zh-CN"/>
        </w:rPr>
        <w:t>本单位本年度无项目支出</w:t>
      </w:r>
      <w:r>
        <w:rPr>
          <w:rFonts w:hint="eastAsia" w:ascii="仿宋" w:hAnsi="仿宋" w:eastAsia="仿宋" w:cs="仿宋"/>
          <w:color w:val="auto"/>
          <w:sz w:val="30"/>
          <w:szCs w:val="30"/>
          <w:lang w:val="en-US" w:eastAsia="zh-CN"/>
        </w:rPr>
        <w:t>。</w:t>
      </w:r>
    </w:p>
    <w:p>
      <w:pPr>
        <w:pStyle w:val="17"/>
        <w:jc w:val="left"/>
        <w:rPr>
          <w:rFonts w:hint="eastAsia" w:ascii="仿宋" w:hAnsi="仿宋" w:eastAsia="仿宋" w:cs="仿宋"/>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ascii="Times New Roman" w:hAnsi="Times New Roman" w:eastAsia="楷体_GB2312" w:cs="Times New Roman"/>
          <w:b/>
          <w:bCs/>
          <w:sz w:val="32"/>
          <w:szCs w:val="32"/>
        </w:rPr>
        <w:t>（二）绩效评价结果</w:t>
      </w:r>
      <w:r>
        <w:rPr>
          <w:rFonts w:hint="eastAsia" w:ascii="Times New Roman" w:hAnsi="Times New Roman" w:eastAsia="楷体_GB2312" w:cs="Times New Roman"/>
          <w:b/>
          <w:bCs/>
          <w:sz w:val="32"/>
          <w:szCs w:val="32"/>
          <w:lang w:eastAsia="zh-CN"/>
        </w:rPr>
        <w:t>。</w:t>
      </w:r>
      <w:r>
        <w:rPr>
          <w:rFonts w:ascii="Times New Roman" w:hAnsi="Times New Roman" w:eastAsia="仿宋_GB2312" w:cs="Times New Roman"/>
          <w:kern w:val="0"/>
          <w:sz w:val="32"/>
          <w:szCs w:val="32"/>
        </w:rPr>
        <w:t>2024年度本部门（单位）整体支出</w:t>
      </w:r>
      <w:r>
        <w:rPr>
          <w:rFonts w:hint="eastAsia" w:ascii="Times New Roman" w:hAnsi="Times New Roman" w:eastAsia="仿宋_GB2312" w:cs="Times New Roman"/>
          <w:kern w:val="0"/>
          <w:sz w:val="32"/>
          <w:szCs w:val="32"/>
          <w:lang w:eastAsia="zh-CN"/>
        </w:rPr>
        <w:t>年初</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485.83</w:t>
      </w:r>
      <w:r>
        <w:rPr>
          <w:rFonts w:ascii="Times New Roman" w:hAnsi="Times New Roman" w:eastAsia="仿宋_GB2312" w:cs="Times New Roman"/>
          <w:sz w:val="32"/>
          <w:szCs w:val="32"/>
        </w:rPr>
        <w:t>万元，</w:t>
      </w:r>
      <w:r>
        <w:rPr>
          <w:rFonts w:hint="eastAsia" w:ascii="仿宋" w:hAnsi="仿宋" w:eastAsia="仿宋" w:cs="仿宋"/>
          <w:sz w:val="32"/>
          <w:szCs w:val="32"/>
        </w:rPr>
        <w:t>执行数</w:t>
      </w:r>
      <w:r>
        <w:rPr>
          <w:rFonts w:hint="eastAsia" w:ascii="仿宋" w:hAnsi="仿宋" w:eastAsia="仿宋" w:cs="仿宋"/>
          <w:sz w:val="32"/>
          <w:szCs w:val="32"/>
          <w:lang w:val="en-US" w:eastAsia="zh-CN"/>
        </w:rPr>
        <w:t>509.91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105</w:t>
      </w:r>
      <w:r>
        <w:rPr>
          <w:rFonts w:hint="eastAsia" w:ascii="仿宋" w:hAnsi="仿宋" w:eastAsia="仿宋" w:cs="仿宋"/>
          <w:sz w:val="32"/>
          <w:szCs w:val="32"/>
        </w:rPr>
        <w:t>%</w:t>
      </w:r>
      <w:r>
        <w:rPr>
          <w:rFonts w:hint="eastAsia" w:ascii="仿宋" w:hAnsi="仿宋" w:eastAsia="仿宋" w:cs="仿宋"/>
          <w:kern w:val="0"/>
          <w:sz w:val="32"/>
          <w:szCs w:val="32"/>
        </w:rPr>
        <w:t>，绩效自评</w:t>
      </w:r>
      <w:r>
        <w:rPr>
          <w:rFonts w:hint="eastAsia" w:ascii="仿宋" w:hAnsi="仿宋" w:eastAsia="仿宋" w:cs="仿宋"/>
          <w:sz w:val="32"/>
          <w:szCs w:val="32"/>
          <w:lang w:eastAsia="zh-CN"/>
        </w:rPr>
        <w:t>分为</w:t>
      </w:r>
      <w:r>
        <w:rPr>
          <w:rFonts w:hint="eastAsia" w:ascii="仿宋" w:hAnsi="仿宋" w:eastAsia="仿宋" w:cs="仿宋"/>
          <w:sz w:val="32"/>
          <w:szCs w:val="32"/>
          <w:lang w:val="en-US" w:eastAsia="zh-CN"/>
        </w:rPr>
        <w:t>99.4分，等级为“优”。</w:t>
      </w:r>
    </w:p>
    <w:p>
      <w:pPr>
        <w:pStyle w:val="17"/>
        <w:jc w:val="both"/>
        <w:rPr>
          <w:rFonts w:hint="eastAsia" w:ascii="Times New Roman" w:hAnsi="Times New Roman" w:cs="Times New Roman"/>
          <w:sz w:val="72"/>
          <w:szCs w:val="72"/>
          <w:lang w:eastAsia="zh-CN"/>
        </w:rPr>
      </w:pPr>
    </w:p>
    <w:p>
      <w:pPr>
        <w:pStyle w:val="17"/>
        <w:jc w:val="both"/>
        <w:rPr>
          <w:rFonts w:hint="eastAsia" w:ascii="Times New Roman" w:hAnsi="Times New Roman" w:cs="Times New Roman"/>
          <w:sz w:val="72"/>
          <w:szCs w:val="72"/>
          <w:lang w:eastAsia="zh-CN"/>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bookmarkStart w:id="3" w:name="_GoBack"/>
      <w:bookmarkEnd w:id="3"/>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widowControl/>
        <w:spacing w:line="33" w:lineRule="atLeast"/>
        <w:ind w:firstLine="960" w:firstLineChars="3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医疗保障事务中心</w:t>
      </w:r>
      <w:r>
        <w:rPr>
          <w:rFonts w:hint="eastAsia" w:ascii="仿宋_GB2312" w:hAnsi="仿宋_GB2312" w:eastAsia="仿宋_GB2312" w:cs="仿宋_GB2312"/>
          <w:b/>
          <w:sz w:val="32"/>
          <w:szCs w:val="32"/>
          <w:lang w:val="en-US" w:eastAsia="zh-CN"/>
        </w:rPr>
        <w:t>2024年</w:t>
      </w:r>
      <w:r>
        <w:rPr>
          <w:rFonts w:hint="eastAsia" w:ascii="仿宋_GB2312" w:hAnsi="仿宋_GB2312" w:eastAsia="仿宋_GB2312" w:cs="仿宋_GB2312"/>
          <w:b/>
          <w:sz w:val="32"/>
          <w:szCs w:val="32"/>
        </w:rPr>
        <w:t>整体支出绩效评价报告</w:t>
      </w:r>
    </w:p>
    <w:p>
      <w:pPr>
        <w:pStyle w:val="12"/>
        <w:widowControl/>
        <w:spacing w:line="33" w:lineRule="atLeast"/>
        <w:ind w:firstLine="720" w:firstLineChars="200"/>
        <w:jc w:val="both"/>
        <w:rPr>
          <w:rFonts w:hint="eastAsia" w:ascii="仿宋_GB2312" w:hAnsi="仿宋_GB2312" w:eastAsia="仿宋_GB2312" w:cs="仿宋_GB2312"/>
          <w:b/>
          <w:sz w:val="36"/>
          <w:szCs w:val="36"/>
        </w:rPr>
      </w:pPr>
    </w:p>
    <w:p>
      <w:pPr>
        <w:spacing w:line="560" w:lineRule="exact"/>
        <w:ind w:firstLine="560" w:firstLineChars="200"/>
        <w:jc w:val="both"/>
        <w:rPr>
          <w:rFonts w:hint="eastAsia" w:ascii="仿宋" w:hAnsi="仿宋" w:eastAsia="仿宋" w:cs="仿宋"/>
          <w:b/>
          <w:sz w:val="28"/>
          <w:szCs w:val="28"/>
        </w:rPr>
      </w:pPr>
      <w:r>
        <w:rPr>
          <w:rFonts w:hint="eastAsia" w:ascii="仿宋" w:hAnsi="仿宋" w:eastAsia="仿宋" w:cs="仿宋"/>
          <w:sz w:val="28"/>
          <w:szCs w:val="28"/>
        </w:rPr>
        <w:t>为进一步规范财政资金管理，牢固树立预算绩效理念，强化支出责任，提高财政资金使用效益，</w:t>
      </w:r>
      <w:r>
        <w:rPr>
          <w:rFonts w:hint="eastAsia" w:ascii="仿宋" w:hAnsi="仿宋" w:eastAsia="仿宋" w:cs="仿宋"/>
          <w:b w:val="0"/>
          <w:bCs w:val="0"/>
          <w:color w:val="000000"/>
          <w:sz w:val="28"/>
          <w:szCs w:val="28"/>
          <w:shd w:val="clear" w:color="auto" w:fill="FFFFFF"/>
        </w:rPr>
        <w:t>根据《蓝山县财政局关于开展202</w:t>
      </w:r>
      <w:r>
        <w:rPr>
          <w:rFonts w:hint="eastAsia" w:ascii="仿宋" w:hAnsi="仿宋" w:eastAsia="仿宋" w:cs="仿宋"/>
          <w:b w:val="0"/>
          <w:bCs w:val="0"/>
          <w:color w:val="000000"/>
          <w:sz w:val="28"/>
          <w:szCs w:val="28"/>
          <w:shd w:val="clear" w:color="auto" w:fill="FFFFFF"/>
          <w:lang w:val="en-US" w:eastAsia="zh-CN"/>
        </w:rPr>
        <w:t>4</w:t>
      </w:r>
      <w:r>
        <w:rPr>
          <w:rFonts w:hint="eastAsia" w:ascii="仿宋" w:hAnsi="仿宋" w:eastAsia="仿宋" w:cs="仿宋"/>
          <w:b w:val="0"/>
          <w:bCs w:val="0"/>
          <w:color w:val="000000"/>
          <w:sz w:val="28"/>
          <w:szCs w:val="28"/>
          <w:shd w:val="clear" w:color="auto" w:fill="FFFFFF"/>
        </w:rPr>
        <w:t>年度财政支出绩效自评的通知》</w:t>
      </w:r>
      <w:r>
        <w:rPr>
          <w:rFonts w:hint="eastAsia" w:ascii="仿宋" w:hAnsi="仿宋" w:eastAsia="仿宋" w:cs="仿宋"/>
          <w:b w:val="0"/>
          <w:bCs w:val="0"/>
          <w:color w:val="000000"/>
          <w:sz w:val="28"/>
          <w:szCs w:val="28"/>
          <w:shd w:val="clear" w:color="auto" w:fill="FFFFFF"/>
          <w:lang w:eastAsia="zh-CN"/>
        </w:rPr>
        <w:t>蓝财绩【</w:t>
      </w:r>
      <w:r>
        <w:rPr>
          <w:rFonts w:hint="eastAsia" w:ascii="仿宋" w:hAnsi="仿宋" w:eastAsia="仿宋" w:cs="仿宋"/>
          <w:b w:val="0"/>
          <w:bCs w:val="0"/>
          <w:color w:val="000000"/>
          <w:sz w:val="28"/>
          <w:szCs w:val="28"/>
          <w:shd w:val="clear" w:color="auto" w:fill="FFFFFF"/>
          <w:lang w:val="en-US" w:eastAsia="zh-CN"/>
        </w:rPr>
        <w:t>2025】1号文件</w:t>
      </w:r>
      <w:r>
        <w:rPr>
          <w:rFonts w:hint="eastAsia" w:ascii="仿宋" w:hAnsi="仿宋" w:eastAsia="仿宋" w:cs="仿宋"/>
          <w:b w:val="0"/>
          <w:bCs w:val="0"/>
          <w:color w:val="000000"/>
          <w:sz w:val="28"/>
          <w:szCs w:val="28"/>
          <w:shd w:val="clear" w:color="auto" w:fill="FFFFFF"/>
        </w:rPr>
        <w:t>精神</w:t>
      </w:r>
      <w:r>
        <w:rPr>
          <w:rFonts w:hint="eastAsia" w:ascii="仿宋" w:hAnsi="仿宋" w:eastAsia="仿宋" w:cs="仿宋"/>
          <w:b w:val="0"/>
          <w:bCs w:val="0"/>
          <w:sz w:val="28"/>
          <w:szCs w:val="28"/>
        </w:rPr>
        <w:t>，</w:t>
      </w:r>
      <w:r>
        <w:rPr>
          <w:rFonts w:hint="eastAsia" w:ascii="仿宋" w:hAnsi="仿宋" w:eastAsia="仿宋" w:cs="仿宋"/>
          <w:sz w:val="28"/>
          <w:szCs w:val="28"/>
        </w:rPr>
        <w:t>结合我单位的具体情况，认真组织开展了202</w:t>
      </w:r>
      <w:r>
        <w:rPr>
          <w:rFonts w:hint="eastAsia" w:ascii="仿宋" w:hAnsi="仿宋" w:eastAsia="仿宋" w:cs="仿宋"/>
          <w:sz w:val="28"/>
          <w:szCs w:val="28"/>
          <w:lang w:val="en-US" w:eastAsia="zh-CN"/>
        </w:rPr>
        <w:t>4</w:t>
      </w:r>
      <w:r>
        <w:rPr>
          <w:rFonts w:hint="eastAsia" w:ascii="仿宋" w:hAnsi="仿宋" w:eastAsia="仿宋" w:cs="仿宋"/>
          <w:sz w:val="28"/>
          <w:szCs w:val="28"/>
        </w:rPr>
        <w:t>年度部门整体支出绩效自评工作，现将我部门20</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4</w:t>
      </w:r>
      <w:r>
        <w:rPr>
          <w:rFonts w:hint="eastAsia" w:ascii="仿宋" w:hAnsi="仿宋" w:eastAsia="仿宋" w:cs="仿宋"/>
          <w:sz w:val="28"/>
          <w:szCs w:val="28"/>
        </w:rPr>
        <w:t>年度部门整体支出绩效评价情况报告如下：</w:t>
      </w:r>
    </w:p>
    <w:p>
      <w:pPr>
        <w:pStyle w:val="12"/>
        <w:widowControl/>
        <w:spacing w:line="33" w:lineRule="atLeast"/>
        <w:ind w:firstLine="640"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32"/>
        </w:rPr>
        <w:t>一、部门（单位）概况</w:t>
      </w:r>
    </w:p>
    <w:p>
      <w:pPr>
        <w:pStyle w:val="12"/>
        <w:widowControl/>
        <w:spacing w:line="33" w:lineRule="atLeast"/>
        <w:ind w:left="602"/>
        <w:jc w:val="both"/>
        <w:rPr>
          <w:rFonts w:hint="eastAsia" w:ascii="仿宋" w:hAnsi="仿宋" w:eastAsia="仿宋" w:cs="仿宋"/>
          <w:sz w:val="30"/>
          <w:szCs w:val="30"/>
        </w:rPr>
      </w:pPr>
      <w:r>
        <w:rPr>
          <w:rFonts w:hint="eastAsia" w:ascii="仿宋" w:hAnsi="仿宋" w:eastAsia="仿宋" w:cs="仿宋"/>
          <w:sz w:val="30"/>
          <w:szCs w:val="30"/>
        </w:rPr>
        <w:t>根据蓝编（2019）2号文件规定，医疗保障事务中心是县医保局所属二级副科级公益性事业单位，2019年3月新成立的财政全额拨款事业单位，编制人数48人，在职人员44人，公务用车编制</w:t>
      </w:r>
      <w:r>
        <w:rPr>
          <w:rFonts w:hint="eastAsia" w:ascii="仿宋" w:hAnsi="仿宋" w:eastAsia="仿宋" w:cs="仿宋"/>
          <w:sz w:val="30"/>
          <w:szCs w:val="30"/>
          <w:lang w:eastAsia="zh-CN"/>
        </w:rPr>
        <w:t>1</w:t>
      </w:r>
      <w:r>
        <w:rPr>
          <w:rFonts w:hint="eastAsia" w:ascii="仿宋" w:hAnsi="仿宋" w:eastAsia="仿宋" w:cs="仿宋"/>
          <w:sz w:val="30"/>
          <w:szCs w:val="30"/>
        </w:rPr>
        <w:t>台。</w:t>
      </w:r>
    </w:p>
    <w:p>
      <w:pPr>
        <w:pStyle w:val="12"/>
        <w:widowControl/>
        <w:spacing w:line="33" w:lineRule="atLeast"/>
        <w:ind w:left="602"/>
        <w:jc w:val="both"/>
        <w:rPr>
          <w:rFonts w:hint="eastAsia" w:ascii="仿宋" w:hAnsi="仿宋" w:eastAsia="仿宋" w:cs="仿宋"/>
          <w:b/>
          <w:bCs/>
          <w:sz w:val="30"/>
          <w:szCs w:val="30"/>
        </w:rPr>
      </w:pPr>
      <w:r>
        <w:rPr>
          <w:rFonts w:hint="eastAsia" w:ascii="仿宋" w:hAnsi="仿宋" w:eastAsia="仿宋" w:cs="仿宋"/>
          <w:sz w:val="30"/>
          <w:szCs w:val="30"/>
        </w:rPr>
        <w:t xml:space="preserve">    （一）</w:t>
      </w:r>
      <w:r>
        <w:rPr>
          <w:rFonts w:hint="eastAsia" w:ascii="仿宋" w:hAnsi="仿宋" w:eastAsia="仿宋" w:cs="仿宋"/>
          <w:b/>
          <w:bCs/>
          <w:sz w:val="30"/>
          <w:szCs w:val="30"/>
        </w:rPr>
        <w:t>部门（单位）整体收支规模、使用方向和主要内容、涉及范围等</w:t>
      </w:r>
    </w:p>
    <w:p>
      <w:pPr>
        <w:pStyle w:val="12"/>
        <w:widowControl/>
        <w:spacing w:line="33" w:lineRule="atLeas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年财政补助总收入</w:t>
      </w:r>
      <w:r>
        <w:rPr>
          <w:rFonts w:hint="eastAsia" w:ascii="仿宋" w:hAnsi="仿宋" w:eastAsia="仿宋" w:cs="仿宋"/>
          <w:sz w:val="30"/>
          <w:szCs w:val="30"/>
          <w:lang w:val="en-US" w:eastAsia="zh-CN"/>
        </w:rPr>
        <w:t>509.91</w:t>
      </w:r>
      <w:r>
        <w:rPr>
          <w:rFonts w:hint="eastAsia" w:ascii="仿宋" w:hAnsi="仿宋" w:eastAsia="仿宋" w:cs="仿宋"/>
          <w:sz w:val="30"/>
          <w:szCs w:val="30"/>
          <w:lang w:eastAsia="zh-CN"/>
        </w:rPr>
        <w:t>万</w:t>
      </w:r>
      <w:r>
        <w:rPr>
          <w:rFonts w:hint="eastAsia" w:ascii="仿宋" w:hAnsi="仿宋" w:eastAsia="仿宋" w:cs="仿宋"/>
          <w:sz w:val="30"/>
          <w:szCs w:val="30"/>
        </w:rPr>
        <w:t>元。基本总支出</w:t>
      </w:r>
      <w:r>
        <w:rPr>
          <w:rFonts w:hint="eastAsia" w:ascii="仿宋" w:hAnsi="仿宋" w:eastAsia="仿宋" w:cs="仿宋"/>
          <w:sz w:val="30"/>
          <w:szCs w:val="30"/>
          <w:lang w:val="en-US" w:eastAsia="zh-CN"/>
        </w:rPr>
        <w:t>509.91万</w:t>
      </w:r>
      <w:r>
        <w:rPr>
          <w:rFonts w:hint="eastAsia" w:ascii="仿宋" w:hAnsi="仿宋" w:eastAsia="仿宋" w:cs="仿宋"/>
          <w:sz w:val="30"/>
          <w:szCs w:val="30"/>
        </w:rPr>
        <w:t>元，其中工资福利支出</w:t>
      </w:r>
      <w:r>
        <w:rPr>
          <w:rFonts w:hint="eastAsia" w:ascii="仿宋" w:hAnsi="仿宋" w:eastAsia="仿宋" w:cs="仿宋"/>
          <w:sz w:val="30"/>
          <w:szCs w:val="30"/>
          <w:lang w:val="en-US" w:eastAsia="zh-CN"/>
        </w:rPr>
        <w:t>479.99</w:t>
      </w:r>
      <w:r>
        <w:rPr>
          <w:rFonts w:hint="eastAsia" w:ascii="仿宋" w:hAnsi="仿宋" w:eastAsia="仿宋" w:cs="仿宋"/>
          <w:sz w:val="30"/>
          <w:szCs w:val="30"/>
          <w:lang w:eastAsia="zh-CN"/>
        </w:rPr>
        <w:t>万元</w:t>
      </w:r>
      <w:r>
        <w:rPr>
          <w:rFonts w:hint="eastAsia" w:ascii="仿宋" w:hAnsi="仿宋" w:eastAsia="仿宋" w:cs="仿宋"/>
          <w:sz w:val="30"/>
          <w:szCs w:val="30"/>
        </w:rPr>
        <w:t>，商品和服务支出</w:t>
      </w:r>
      <w:r>
        <w:rPr>
          <w:rFonts w:hint="eastAsia" w:ascii="仿宋" w:hAnsi="仿宋" w:eastAsia="仿宋" w:cs="仿宋"/>
          <w:sz w:val="30"/>
          <w:szCs w:val="30"/>
          <w:lang w:val="en-US" w:eastAsia="zh-CN"/>
        </w:rPr>
        <w:t>17.14</w:t>
      </w:r>
      <w:r>
        <w:rPr>
          <w:rFonts w:hint="eastAsia" w:ascii="仿宋" w:hAnsi="仿宋" w:eastAsia="仿宋" w:cs="仿宋"/>
          <w:sz w:val="30"/>
          <w:szCs w:val="30"/>
          <w:lang w:eastAsia="zh-CN"/>
        </w:rPr>
        <w:t>万</w:t>
      </w:r>
      <w:r>
        <w:rPr>
          <w:rFonts w:hint="eastAsia" w:ascii="仿宋" w:hAnsi="仿宋" w:eastAsia="仿宋" w:cs="仿宋"/>
          <w:sz w:val="30"/>
          <w:szCs w:val="30"/>
        </w:rPr>
        <w:t>元，对个人和家庭补助支出</w:t>
      </w:r>
      <w:r>
        <w:rPr>
          <w:rFonts w:hint="eastAsia" w:ascii="仿宋" w:hAnsi="仿宋" w:eastAsia="仿宋" w:cs="仿宋"/>
          <w:sz w:val="30"/>
          <w:szCs w:val="30"/>
          <w:lang w:val="en-US" w:eastAsia="zh-CN"/>
        </w:rPr>
        <w:t>2.78</w:t>
      </w:r>
      <w:r>
        <w:rPr>
          <w:rFonts w:hint="eastAsia" w:ascii="仿宋" w:hAnsi="仿宋" w:eastAsia="仿宋" w:cs="仿宋"/>
          <w:sz w:val="30"/>
          <w:szCs w:val="30"/>
          <w:lang w:eastAsia="zh-CN"/>
        </w:rPr>
        <w:t>万</w:t>
      </w:r>
      <w:r>
        <w:rPr>
          <w:rFonts w:hint="eastAsia" w:ascii="仿宋" w:hAnsi="仿宋" w:eastAsia="仿宋" w:cs="仿宋"/>
          <w:sz w:val="30"/>
          <w:szCs w:val="30"/>
        </w:rPr>
        <w:t>元。</w:t>
      </w:r>
    </w:p>
    <w:p>
      <w:pPr>
        <w:spacing w:line="560" w:lineRule="exact"/>
        <w:ind w:firstLine="560" w:firstLineChars="200"/>
        <w:jc w:val="both"/>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（二）职能职责</w:t>
      </w:r>
    </w:p>
    <w:p>
      <w:pPr>
        <w:pStyle w:val="12"/>
        <w:widowControl/>
        <w:spacing w:line="420" w:lineRule="atLeast"/>
        <w:ind w:firstLine="600"/>
        <w:jc w:val="both"/>
        <w:rPr>
          <w:rFonts w:hint="eastAsia" w:ascii="仿宋" w:hAnsi="仿宋" w:eastAsia="仿宋" w:cs="仿宋"/>
          <w:color w:val="000000"/>
          <w:sz w:val="28"/>
          <w:szCs w:val="28"/>
          <w:shd w:val="clear" w:color="auto" w:fill="FFFFFF"/>
        </w:rPr>
      </w:pPr>
      <w:r>
        <w:rPr>
          <w:rFonts w:hint="eastAsia" w:ascii="仿宋" w:hAnsi="仿宋" w:eastAsia="仿宋" w:cs="仿宋"/>
          <w:kern w:val="2"/>
          <w:sz w:val="28"/>
          <w:szCs w:val="28"/>
        </w:rPr>
        <w:t>主要职责包括：</w:t>
      </w:r>
      <w:r>
        <w:rPr>
          <w:rFonts w:hint="eastAsia" w:ascii="仿宋" w:hAnsi="仿宋" w:eastAsia="仿宋" w:cs="仿宋"/>
          <w:sz w:val="30"/>
          <w:szCs w:val="30"/>
        </w:rPr>
        <w:t>负责城镇职工和城乡居民医疗保险参保缴费、待遇支付和结算，对定点医疗机构、协议药店进行稽核检查，对参保人员就医次数及产生的费用进行监测，对有关异常情况和违规行为及案件进行查处等经办工作</w:t>
      </w:r>
    </w:p>
    <w:p>
      <w:pPr>
        <w:snapToGrid w:val="0"/>
        <w:spacing w:line="520" w:lineRule="exact"/>
        <w:ind w:firstLine="560" w:firstLineChars="200"/>
        <w:jc w:val="both"/>
        <w:rPr>
          <w:rFonts w:hint="eastAsia" w:ascii="仿宋" w:hAnsi="仿宋" w:eastAsia="仿宋" w:cs="仿宋"/>
          <w:b/>
          <w:color w:val="auto"/>
          <w:sz w:val="30"/>
          <w:szCs w:val="30"/>
          <w:lang w:val="en-US"/>
        </w:rPr>
      </w:pPr>
      <w:r>
        <w:rPr>
          <w:rFonts w:hint="eastAsia" w:ascii="仿宋" w:hAnsi="仿宋" w:eastAsia="仿宋" w:cs="仿宋"/>
          <w:b/>
          <w:bCs/>
          <w:sz w:val="28"/>
          <w:szCs w:val="28"/>
        </w:rPr>
        <w:t>部门整体收支出概况</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年部门预算收支完成情况：202</w:t>
      </w:r>
      <w:r>
        <w:rPr>
          <w:rFonts w:hint="eastAsia" w:ascii="仿宋" w:hAnsi="仿宋" w:eastAsia="仿宋" w:cs="仿宋"/>
          <w:sz w:val="28"/>
          <w:szCs w:val="28"/>
          <w:lang w:val="en-US" w:eastAsia="zh-CN"/>
        </w:rPr>
        <w:t>4</w:t>
      </w:r>
      <w:r>
        <w:rPr>
          <w:rFonts w:hint="eastAsia" w:ascii="仿宋" w:hAnsi="仿宋" w:eastAsia="仿宋" w:cs="仿宋"/>
          <w:sz w:val="28"/>
          <w:szCs w:val="28"/>
        </w:rPr>
        <w:t>年度本部门安排预算收入</w:t>
      </w:r>
      <w:r>
        <w:rPr>
          <w:rFonts w:hint="eastAsia" w:ascii="仿宋" w:hAnsi="仿宋" w:eastAsia="仿宋" w:cs="仿宋"/>
          <w:sz w:val="30"/>
          <w:szCs w:val="30"/>
          <w:lang w:val="en-US" w:eastAsia="zh-CN"/>
        </w:rPr>
        <w:t>485.83万</w:t>
      </w:r>
      <w:r>
        <w:rPr>
          <w:rFonts w:hint="eastAsia" w:ascii="仿宋" w:hAnsi="仿宋" w:eastAsia="仿宋" w:cs="仿宋"/>
          <w:sz w:val="30"/>
          <w:szCs w:val="30"/>
        </w:rPr>
        <w:t>元</w:t>
      </w:r>
      <w:r>
        <w:rPr>
          <w:rFonts w:hint="eastAsia" w:ascii="仿宋" w:hAnsi="仿宋" w:eastAsia="仿宋" w:cs="仿宋"/>
          <w:sz w:val="28"/>
          <w:szCs w:val="28"/>
        </w:rPr>
        <w:t>，安排预算支出</w:t>
      </w:r>
      <w:r>
        <w:rPr>
          <w:rFonts w:hint="eastAsia" w:ascii="仿宋" w:hAnsi="仿宋" w:eastAsia="仿宋" w:cs="仿宋"/>
          <w:sz w:val="30"/>
          <w:szCs w:val="30"/>
          <w:lang w:val="en-US" w:eastAsia="zh-CN"/>
        </w:rPr>
        <w:t>485.83万</w:t>
      </w:r>
      <w:r>
        <w:rPr>
          <w:rFonts w:hint="eastAsia" w:ascii="仿宋" w:hAnsi="仿宋" w:eastAsia="仿宋" w:cs="仿宋"/>
          <w:sz w:val="30"/>
          <w:szCs w:val="30"/>
        </w:rPr>
        <w:t>元</w:t>
      </w:r>
      <w:r>
        <w:rPr>
          <w:rFonts w:hint="eastAsia" w:ascii="仿宋" w:hAnsi="仿宋" w:eastAsia="仿宋" w:cs="仿宋"/>
          <w:sz w:val="28"/>
          <w:szCs w:val="28"/>
        </w:rPr>
        <w:t>；决算收入情况：决算总收入</w:t>
      </w:r>
      <w:r>
        <w:rPr>
          <w:rFonts w:hint="eastAsia" w:ascii="仿宋" w:hAnsi="仿宋" w:eastAsia="仿宋" w:cs="仿宋"/>
          <w:sz w:val="30"/>
          <w:szCs w:val="30"/>
          <w:lang w:val="en-US" w:eastAsia="zh-CN"/>
        </w:rPr>
        <w:t>509.91万</w:t>
      </w:r>
      <w:r>
        <w:rPr>
          <w:rFonts w:hint="eastAsia" w:ascii="仿宋" w:hAnsi="仿宋" w:eastAsia="仿宋" w:cs="仿宋"/>
          <w:sz w:val="30"/>
          <w:szCs w:val="30"/>
        </w:rPr>
        <w:t>元</w:t>
      </w:r>
      <w:r>
        <w:rPr>
          <w:rFonts w:hint="eastAsia" w:ascii="仿宋" w:hAnsi="仿宋" w:eastAsia="仿宋" w:cs="仿宋"/>
          <w:sz w:val="28"/>
          <w:szCs w:val="28"/>
        </w:rPr>
        <w:t xml:space="preserve">，其中财政拨款收入 </w:t>
      </w:r>
      <w:r>
        <w:rPr>
          <w:rFonts w:hint="eastAsia" w:ascii="仿宋" w:hAnsi="仿宋" w:eastAsia="仿宋" w:cs="仿宋"/>
          <w:sz w:val="30"/>
          <w:szCs w:val="30"/>
          <w:lang w:val="en-US" w:eastAsia="zh-CN"/>
        </w:rPr>
        <w:t>509.91万</w:t>
      </w:r>
      <w:r>
        <w:rPr>
          <w:rFonts w:hint="eastAsia" w:ascii="仿宋" w:hAnsi="仿宋" w:eastAsia="仿宋" w:cs="仿宋"/>
          <w:sz w:val="30"/>
          <w:szCs w:val="30"/>
        </w:rPr>
        <w:t>元</w:t>
      </w:r>
      <w:r>
        <w:rPr>
          <w:rFonts w:hint="eastAsia" w:ascii="仿宋" w:hAnsi="仿宋" w:eastAsia="仿宋" w:cs="仿宋"/>
          <w:sz w:val="28"/>
          <w:szCs w:val="28"/>
        </w:rPr>
        <w:t xml:space="preserve">，其他收入0万元；决算支出情况：决算总支出 </w:t>
      </w:r>
      <w:r>
        <w:rPr>
          <w:rFonts w:hint="eastAsia" w:ascii="仿宋" w:hAnsi="仿宋" w:eastAsia="仿宋" w:cs="仿宋"/>
          <w:sz w:val="28"/>
          <w:szCs w:val="28"/>
          <w:lang w:val="en-US" w:eastAsia="zh-CN"/>
        </w:rPr>
        <w:t>509.91</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28"/>
          <w:szCs w:val="28"/>
        </w:rPr>
        <w:t>，其中基本支出</w:t>
      </w:r>
      <w:r>
        <w:rPr>
          <w:rFonts w:hint="eastAsia" w:ascii="仿宋" w:hAnsi="仿宋" w:eastAsia="仿宋" w:cs="仿宋"/>
          <w:sz w:val="30"/>
          <w:szCs w:val="30"/>
          <w:lang w:val="en-US" w:eastAsia="zh-CN"/>
        </w:rPr>
        <w:t>509.91万</w:t>
      </w:r>
      <w:r>
        <w:rPr>
          <w:rFonts w:hint="eastAsia" w:ascii="仿宋" w:hAnsi="仿宋" w:eastAsia="仿宋" w:cs="仿宋"/>
          <w:sz w:val="30"/>
          <w:szCs w:val="30"/>
        </w:rPr>
        <w:t>元</w:t>
      </w:r>
      <w:r>
        <w:rPr>
          <w:rFonts w:hint="eastAsia" w:ascii="仿宋" w:hAnsi="仿宋" w:eastAsia="仿宋" w:cs="仿宋"/>
          <w:sz w:val="28"/>
          <w:szCs w:val="28"/>
        </w:rPr>
        <w:t>，项目支出</w:t>
      </w:r>
      <w:r>
        <w:rPr>
          <w:rFonts w:ascii="仿宋" w:hAnsi="仿宋" w:eastAsia="仿宋" w:cs="仿宋"/>
          <w:sz w:val="28"/>
          <w:szCs w:val="28"/>
        </w:rPr>
        <w:t>0</w:t>
      </w:r>
      <w:r>
        <w:rPr>
          <w:rFonts w:hint="eastAsia" w:ascii="仿宋" w:hAnsi="仿宋" w:eastAsia="仿宋" w:cs="仿宋"/>
          <w:sz w:val="28"/>
          <w:szCs w:val="28"/>
        </w:rPr>
        <w:t xml:space="preserve">万元。 </w:t>
      </w:r>
      <w:r>
        <w:rPr>
          <w:rFonts w:hint="eastAsia" w:ascii="仿宋" w:hAnsi="仿宋" w:eastAsia="仿宋" w:cs="仿宋"/>
          <w:color w:val="auto"/>
          <w:sz w:val="30"/>
          <w:szCs w:val="30"/>
          <w:lang w:val="en-US" w:eastAsia="zh-CN"/>
        </w:rPr>
        <w:t>决算收支比预算数增加24.08万元。增幅4.96%。决算比预算增加的主要原因是为工资正常晋级增长及发放2023年度绩效考核奖。</w:t>
      </w:r>
    </w:p>
    <w:p>
      <w:pPr>
        <w:numPr>
          <w:ilvl w:val="0"/>
          <w:numId w:val="0"/>
        </w:numPr>
        <w:spacing w:line="560" w:lineRule="exact"/>
        <w:ind w:firstLine="280" w:firstLineChars="100"/>
        <w:jc w:val="both"/>
        <w:rPr>
          <w:rFonts w:hint="eastAsia" w:ascii="仿宋" w:hAnsi="仿宋" w:eastAsia="仿宋" w:cs="仿宋"/>
          <w:b/>
          <w:bCs/>
          <w:sz w:val="28"/>
          <w:szCs w:val="28"/>
        </w:rPr>
      </w:pPr>
      <w:r>
        <w:rPr>
          <w:rFonts w:hint="eastAsia" w:ascii="仿宋" w:hAnsi="仿宋" w:eastAsia="仿宋" w:cs="仿宋"/>
          <w:b/>
          <w:bCs/>
          <w:sz w:val="28"/>
          <w:szCs w:val="28"/>
        </w:rPr>
        <w:t>（三）“三公经费”支出和使用情况</w:t>
      </w:r>
    </w:p>
    <w:p>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1、202</w:t>
      </w:r>
      <w:r>
        <w:rPr>
          <w:rFonts w:hint="eastAsia" w:ascii="仿宋" w:hAnsi="仿宋" w:eastAsia="仿宋" w:cs="仿宋"/>
          <w:sz w:val="28"/>
          <w:szCs w:val="28"/>
          <w:lang w:val="en-US" w:eastAsia="zh-CN"/>
        </w:rPr>
        <w:t>4</w:t>
      </w:r>
      <w:r>
        <w:rPr>
          <w:rFonts w:hint="eastAsia" w:ascii="仿宋" w:hAnsi="仿宋" w:eastAsia="仿宋" w:cs="仿宋"/>
          <w:sz w:val="28"/>
          <w:szCs w:val="28"/>
        </w:rPr>
        <w:t>年“三公经费”预算数</w:t>
      </w:r>
      <w:r>
        <w:rPr>
          <w:rFonts w:hint="eastAsia" w:ascii="仿宋" w:hAnsi="仿宋" w:eastAsia="仿宋" w:cs="仿宋"/>
          <w:sz w:val="28"/>
          <w:szCs w:val="28"/>
          <w:lang w:val="en-US" w:eastAsia="zh-CN"/>
        </w:rPr>
        <w:t>12</w:t>
      </w:r>
      <w:r>
        <w:rPr>
          <w:rFonts w:hint="eastAsia" w:ascii="仿宋" w:hAnsi="仿宋" w:eastAsia="仿宋" w:cs="仿宋"/>
          <w:sz w:val="28"/>
          <w:szCs w:val="28"/>
        </w:rPr>
        <w:t>万元，其中：公务接待费</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万元，公务用车运行费 </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万元，公务用车购置费</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万元，因公出国</w:t>
      </w:r>
      <w:r>
        <w:rPr>
          <w:rFonts w:hint="eastAsia" w:ascii="仿宋" w:hAnsi="仿宋" w:eastAsia="仿宋" w:cs="仿宋"/>
          <w:sz w:val="28"/>
          <w:szCs w:val="28"/>
        </w:rPr>
        <w:t>（境）费  0 万元。</w:t>
      </w:r>
    </w:p>
    <w:p>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2、202</w:t>
      </w:r>
      <w:r>
        <w:rPr>
          <w:rFonts w:hint="eastAsia" w:ascii="仿宋" w:hAnsi="仿宋" w:eastAsia="仿宋" w:cs="仿宋"/>
          <w:sz w:val="28"/>
          <w:szCs w:val="28"/>
          <w:lang w:val="en-US" w:eastAsia="zh-CN"/>
        </w:rPr>
        <w:t>4</w:t>
      </w:r>
      <w:r>
        <w:rPr>
          <w:rFonts w:hint="eastAsia" w:ascii="仿宋" w:hAnsi="仿宋" w:eastAsia="仿宋" w:cs="仿宋"/>
          <w:sz w:val="28"/>
          <w:szCs w:val="28"/>
        </w:rPr>
        <w:t>年“三公经费”执行情况：202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年“三公经费”决算数  </w:t>
      </w:r>
      <w:r>
        <w:rPr>
          <w:rFonts w:hint="eastAsia" w:ascii="仿宋" w:hAnsi="仿宋" w:eastAsia="仿宋" w:cs="仿宋"/>
          <w:sz w:val="28"/>
          <w:szCs w:val="28"/>
          <w:lang w:val="en-US" w:eastAsia="zh-CN"/>
        </w:rPr>
        <w:t>5.61</w:t>
      </w:r>
      <w:r>
        <w:rPr>
          <w:rFonts w:hint="eastAsia" w:ascii="仿宋" w:hAnsi="仿宋" w:eastAsia="仿宋" w:cs="仿宋"/>
          <w:sz w:val="28"/>
          <w:szCs w:val="28"/>
        </w:rPr>
        <w:t>万元，其中：其中：公务接待费</w:t>
      </w:r>
      <w:r>
        <w:rPr>
          <w:rFonts w:hint="eastAsia" w:ascii="仿宋" w:hAnsi="仿宋" w:eastAsia="仿宋" w:cs="仿宋"/>
          <w:sz w:val="28"/>
          <w:szCs w:val="28"/>
          <w:lang w:val="en-US" w:eastAsia="zh-CN"/>
        </w:rPr>
        <w:t>2.77</w:t>
      </w:r>
      <w:r>
        <w:rPr>
          <w:rFonts w:hint="eastAsia" w:ascii="仿宋" w:hAnsi="仿宋" w:eastAsia="仿宋" w:cs="仿宋"/>
          <w:sz w:val="28"/>
          <w:szCs w:val="28"/>
        </w:rPr>
        <w:t>万元，公务用车运行费</w:t>
      </w:r>
      <w:r>
        <w:rPr>
          <w:rFonts w:hint="eastAsia" w:ascii="仿宋" w:hAnsi="仿宋" w:eastAsia="仿宋" w:cs="仿宋"/>
          <w:sz w:val="28"/>
          <w:szCs w:val="28"/>
          <w:lang w:val="en-US" w:eastAsia="zh-CN"/>
        </w:rPr>
        <w:t>2.84</w:t>
      </w:r>
      <w:r>
        <w:rPr>
          <w:rFonts w:hint="eastAsia" w:ascii="仿宋" w:hAnsi="仿宋" w:eastAsia="仿宋" w:cs="仿宋"/>
          <w:sz w:val="28"/>
          <w:szCs w:val="28"/>
        </w:rPr>
        <w:t>万元，公务用车购置费</w:t>
      </w:r>
      <w:r>
        <w:rPr>
          <w:rFonts w:hint="eastAsia" w:ascii="仿宋" w:hAnsi="仿宋" w:eastAsia="仿宋" w:cs="仿宋"/>
          <w:sz w:val="28"/>
          <w:szCs w:val="28"/>
          <w:lang w:val="en-US" w:eastAsia="zh-CN"/>
        </w:rPr>
        <w:t>0</w:t>
      </w:r>
      <w:r>
        <w:rPr>
          <w:rFonts w:hint="eastAsia" w:ascii="仿宋" w:hAnsi="仿宋" w:eastAsia="仿宋" w:cs="仿宋"/>
          <w:sz w:val="28"/>
          <w:szCs w:val="28"/>
        </w:rPr>
        <w:t>万元，因公出国（境）费  0 万元。</w:t>
      </w:r>
    </w:p>
    <w:p>
      <w:pPr>
        <w:snapToGrid w:val="0"/>
        <w:spacing w:line="52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3、202</w:t>
      </w:r>
      <w:r>
        <w:rPr>
          <w:rFonts w:hint="eastAsia" w:ascii="仿宋" w:hAnsi="仿宋" w:eastAsia="仿宋" w:cs="仿宋"/>
          <w:sz w:val="28"/>
          <w:szCs w:val="28"/>
          <w:lang w:val="en-US" w:eastAsia="zh-CN"/>
        </w:rPr>
        <w:t>4</w:t>
      </w:r>
      <w:r>
        <w:rPr>
          <w:rFonts w:hint="eastAsia" w:ascii="仿宋" w:hAnsi="仿宋" w:eastAsia="仿宋" w:cs="仿宋"/>
          <w:sz w:val="28"/>
          <w:szCs w:val="28"/>
        </w:rPr>
        <w:t>年我部门严格控制“三公经费”支出，</w:t>
      </w:r>
      <w:r>
        <w:rPr>
          <w:rFonts w:hint="eastAsia" w:ascii="仿宋" w:hAnsi="仿宋" w:eastAsia="仿宋" w:cs="仿宋"/>
          <w:bCs/>
          <w:sz w:val="28"/>
          <w:szCs w:val="28"/>
        </w:rPr>
        <w:t>比预算数</w:t>
      </w:r>
      <w:r>
        <w:rPr>
          <w:rFonts w:ascii="仿宋" w:hAnsi="仿宋" w:eastAsia="仿宋" w:cs="仿宋"/>
          <w:bCs/>
          <w:sz w:val="28"/>
          <w:szCs w:val="28"/>
        </w:rPr>
        <w:t>4</w:t>
      </w:r>
      <w:r>
        <w:rPr>
          <w:rFonts w:hint="eastAsia" w:ascii="仿宋" w:hAnsi="仿宋" w:eastAsia="仿宋" w:cs="仿宋"/>
          <w:bCs/>
          <w:sz w:val="28"/>
          <w:szCs w:val="28"/>
        </w:rPr>
        <w:t>万元有节余。</w:t>
      </w:r>
      <w:r>
        <w:rPr>
          <w:rFonts w:hint="eastAsia" w:ascii="仿宋" w:hAnsi="仿宋" w:eastAsia="仿宋" w:cs="仿宋"/>
          <w:sz w:val="28"/>
          <w:szCs w:val="28"/>
        </w:rPr>
        <w:t>比上年</w:t>
      </w:r>
      <w:r>
        <w:rPr>
          <w:rFonts w:hint="eastAsia" w:ascii="仿宋" w:hAnsi="仿宋" w:eastAsia="仿宋" w:cs="仿宋"/>
          <w:bCs/>
          <w:sz w:val="28"/>
          <w:szCs w:val="28"/>
          <w:lang w:val="en-US" w:eastAsia="zh-CN"/>
        </w:rPr>
        <w:t>1.44</w:t>
      </w:r>
      <w:r>
        <w:rPr>
          <w:rFonts w:hint="eastAsia" w:ascii="仿宋" w:hAnsi="仿宋" w:eastAsia="仿宋" w:cs="仿宋"/>
          <w:bCs/>
          <w:sz w:val="28"/>
          <w:szCs w:val="28"/>
        </w:rPr>
        <w:t>万元</w:t>
      </w:r>
      <w:r>
        <w:rPr>
          <w:rFonts w:hint="eastAsia" w:ascii="仿宋" w:hAnsi="仿宋" w:eastAsia="仿宋" w:cs="仿宋"/>
          <w:bCs/>
          <w:sz w:val="28"/>
          <w:szCs w:val="28"/>
          <w:lang w:eastAsia="zh-CN"/>
        </w:rPr>
        <w:t>增加</w:t>
      </w:r>
      <w:r>
        <w:rPr>
          <w:rFonts w:hint="eastAsia" w:ascii="仿宋" w:hAnsi="仿宋" w:eastAsia="仿宋" w:cs="仿宋"/>
          <w:bCs/>
          <w:sz w:val="28"/>
          <w:szCs w:val="28"/>
          <w:lang w:val="en-US" w:eastAsia="zh-CN"/>
        </w:rPr>
        <w:t>1.32万</w:t>
      </w:r>
      <w:r>
        <w:rPr>
          <w:rFonts w:hint="eastAsia" w:ascii="仿宋" w:hAnsi="仿宋" w:eastAsia="仿宋" w:cs="仿宋"/>
          <w:bCs/>
          <w:sz w:val="28"/>
          <w:szCs w:val="28"/>
        </w:rPr>
        <w:t>元。</w:t>
      </w:r>
      <w:r>
        <w:rPr>
          <w:rFonts w:hint="eastAsia" w:ascii="仿宋" w:hAnsi="仿宋" w:eastAsia="仿宋" w:cs="仿宋"/>
          <w:b w:val="0"/>
          <w:bCs/>
          <w:color w:val="auto"/>
          <w:sz w:val="30"/>
          <w:szCs w:val="30"/>
          <w:lang w:val="en-US" w:eastAsia="zh-CN"/>
        </w:rPr>
        <w:t>主要为上级检查及互相交流较上年增加。</w:t>
      </w:r>
    </w:p>
    <w:p>
      <w:pPr>
        <w:spacing w:line="560" w:lineRule="exact"/>
        <w:ind w:firstLine="560" w:firstLineChars="200"/>
        <w:jc w:val="both"/>
        <w:rPr>
          <w:rFonts w:hint="eastAsia" w:ascii="仿宋" w:hAnsi="仿宋" w:eastAsia="仿宋" w:cs="仿宋"/>
          <w:b/>
          <w:bCs/>
          <w:sz w:val="28"/>
          <w:szCs w:val="28"/>
        </w:rPr>
      </w:pPr>
      <w:r>
        <w:rPr>
          <w:rFonts w:hint="eastAsia" w:ascii="仿宋" w:hAnsi="仿宋" w:eastAsia="仿宋" w:cs="仿宋"/>
          <w:b/>
          <w:bCs/>
          <w:sz w:val="28"/>
          <w:szCs w:val="28"/>
        </w:rPr>
        <w:t>（四）专项资金管理和使用情况</w:t>
      </w:r>
    </w:p>
    <w:p>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本单位无项目支出</w:t>
      </w:r>
    </w:p>
    <w:p>
      <w:pPr>
        <w:pStyle w:val="12"/>
        <w:widowControl/>
        <w:spacing w:line="33" w:lineRule="atLeast"/>
        <w:ind w:firstLine="560" w:firstLineChars="200"/>
        <w:jc w:val="both"/>
        <w:rPr>
          <w:rFonts w:hint="eastAsia" w:ascii="仿宋" w:hAnsi="仿宋" w:eastAsia="仿宋" w:cs="仿宋"/>
          <w:b/>
          <w:bCs/>
          <w:sz w:val="28"/>
          <w:szCs w:val="28"/>
        </w:rPr>
      </w:pPr>
      <w:r>
        <w:rPr>
          <w:rFonts w:hint="eastAsia" w:ascii="仿宋" w:hAnsi="仿宋" w:eastAsia="仿宋" w:cs="仿宋"/>
          <w:b/>
          <w:bCs/>
          <w:sz w:val="28"/>
          <w:szCs w:val="28"/>
        </w:rPr>
        <w:t>二、部门（单位）绩效评价工作组织实施情况</w:t>
      </w:r>
    </w:p>
    <w:p>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Style w:val="12"/>
        <w:widowControl/>
        <w:spacing w:line="33" w:lineRule="atLeast"/>
        <w:ind w:left="420" w:leftChars="200"/>
        <w:jc w:val="both"/>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预算执行与管理情况</w:t>
      </w:r>
    </w:p>
    <w:p>
      <w:pPr>
        <w:pStyle w:val="12"/>
        <w:widowControl/>
        <w:spacing w:line="33" w:lineRule="atLeas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从整体情况来看，我部门严格按照年初预算进行部门整体支出。在支出过程中，能严格控制“三公”经费支出，认真执行关于公务消费的有关规定及制度，对办公、印刷、差旅、会议、培训等支出进行严格控制和压缩。根据对我单位202</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年部门整体支出项目绩效评价指标体系和绩效情况的检查，202</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年我单位部门整体绩效自评分</w:t>
      </w:r>
      <w:r>
        <w:rPr>
          <w:rFonts w:hint="eastAsia" w:ascii="仿宋" w:hAnsi="仿宋" w:eastAsia="仿宋" w:cs="仿宋"/>
          <w:color w:val="auto"/>
          <w:kern w:val="2"/>
          <w:sz w:val="28"/>
          <w:szCs w:val="28"/>
          <w:lang w:val="en-US" w:eastAsia="zh-CN"/>
        </w:rPr>
        <w:t>99.4</w:t>
      </w:r>
      <w:r>
        <w:rPr>
          <w:rFonts w:hint="eastAsia" w:ascii="仿宋" w:hAnsi="仿宋" w:eastAsia="仿宋" w:cs="仿宋"/>
          <w:kern w:val="2"/>
          <w:sz w:val="28"/>
          <w:szCs w:val="28"/>
        </w:rPr>
        <w:t>分，为“优”等级。</w:t>
      </w:r>
    </w:p>
    <w:p>
      <w:pPr>
        <w:snapToGrid w:val="0"/>
        <w:ind w:firstLine="560" w:firstLineChars="200"/>
        <w:jc w:val="both"/>
        <w:rPr>
          <w:rFonts w:hint="eastAsia" w:ascii="仿宋" w:hAnsi="仿宋" w:eastAsia="仿宋" w:cs="仿宋"/>
          <w:sz w:val="28"/>
          <w:szCs w:val="28"/>
        </w:rPr>
      </w:pPr>
      <w:r>
        <w:rPr>
          <w:rFonts w:hint="eastAsia" w:ascii="仿宋" w:hAnsi="仿宋" w:eastAsia="仿宋" w:cs="仿宋"/>
          <w:sz w:val="28"/>
          <w:szCs w:val="28"/>
        </w:rPr>
        <w:t>四、绩效情况</w:t>
      </w:r>
    </w:p>
    <w:p>
      <w:pPr>
        <w:spacing w:line="560" w:lineRule="exact"/>
        <w:ind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rPr>
        <w:t>（一）、</w:t>
      </w:r>
      <w:r>
        <w:rPr>
          <w:rFonts w:hint="eastAsia" w:ascii="仿宋" w:hAnsi="仿宋" w:eastAsia="仿宋" w:cs="仿宋"/>
          <w:bCs/>
          <w:sz w:val="28"/>
          <w:szCs w:val="28"/>
        </w:rPr>
        <w:t>部门职责履行情况分析。</w:t>
      </w:r>
    </w:p>
    <w:p>
      <w:pPr>
        <w:snapToGrid w:val="0"/>
        <w:spacing w:line="520" w:lineRule="exact"/>
        <w:ind w:firstLine="560" w:firstLineChars="2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当年取得的</w:t>
      </w:r>
      <w:r>
        <w:rPr>
          <w:rFonts w:hint="eastAsia" w:ascii="仿宋" w:hAnsi="仿宋" w:eastAsia="仿宋" w:cs="仿宋"/>
          <w:b w:val="0"/>
          <w:bCs/>
          <w:color w:val="auto"/>
          <w:sz w:val="28"/>
          <w:szCs w:val="28"/>
          <w:lang w:val="en-US" w:eastAsia="zh-CN"/>
        </w:rPr>
        <w:t>亮点工作情况。</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1、加强医保政策宣传力度</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在4月和9月分别开展了医保政策集中宣传月活动。通过组建医保政策宣讲小分队，进机关企事业单位、集镇圩场、民营企业、村社区、医院、学校、商场，广泛宣传医保政策。全年共投入资金15万元，出动宣传人员600多人次，制作医保宣传栏243块（乡镇政府、村社区），电子显示屏播放163次，悬挂宣传条幅50余条，利用赶圩日、乡镇参保筹资工作动员会组织集中宣讲28场，发放宣传资料10余万册。在上级媒体发表医保新闻信息73篇，制作宣传视频（含乡镇自制）12件，发送短信10余万条。特别是通过流动党支部、商会的微信群、致“两代表一委员”的一封信开展政策宣传，取得良好效果，真正让医保惠民政策家喻户晓，深入人心。</w:t>
      </w:r>
      <w:r>
        <w:rPr>
          <w:rFonts w:hint="eastAsia" w:ascii="仿宋" w:hAnsi="仿宋" w:eastAsia="仿宋" w:cs="仿宋"/>
          <w:b w:val="0"/>
          <w:bCs w:val="0"/>
          <w:color w:val="auto"/>
          <w:sz w:val="28"/>
          <w:szCs w:val="28"/>
          <w:lang w:val="en-US" w:eastAsia="zh-CN"/>
        </w:rPr>
        <w:t>制作宣传视频——《老盘的烦心事》荣获国家医保局组织的“医保好声音”宣传大赛第2期“身边的医保便民服务”县区级一等奖。《湖南蓝山推行“五个一”模式加强门诊慢特病监管和服务》被国家医保局内刊典型经验推介。获得2024年度湖南省医疗保障局医保政务信息工作表现突出县区。</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2、聚焦基层看病就医难题</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1.解决基层定点医疗机构用药痛点。根据省市文件精神，</w:t>
      </w:r>
      <w:r>
        <w:rPr>
          <w:rFonts w:hint="eastAsia" w:ascii="仿宋" w:hAnsi="仿宋" w:eastAsia="仿宋" w:cs="仿宋"/>
          <w:color w:val="auto"/>
          <w:sz w:val="28"/>
          <w:szCs w:val="28"/>
          <w:lang w:val="en-US" w:eastAsia="zh-CN"/>
        </w:rPr>
        <w:t>参照2024版的基本医疗保险、工伤保险和生育保险药品目录，以“优先在国家医保药品目录甲、乙类个人自付为0的基层常用药品、国家集采药品、湖南省城乡居民高血压和糖尿病门诊用药范围中选择”为原则，通过收集、整理、分析以往村卫生室药品采购数据和村医用药习惯，2024年4月1日联合卫健部门共同出台了《关于蓝山县一体化管理村卫生室50种补充常用药品目录的通知》，遴选了50种非基药供村卫生室补充使用，基本上满足了城乡居民在基层看病“有药可用、用药可报销”的需求。</w:t>
      </w:r>
    </w:p>
    <w:p>
      <w:pPr>
        <w:pStyle w:val="3"/>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2.解决药品配送最后“一公里”问题。针对基</w:t>
      </w:r>
      <w:r>
        <w:rPr>
          <w:rFonts w:hint="eastAsia" w:ascii="仿宋" w:hAnsi="仿宋" w:eastAsia="仿宋" w:cs="仿宋"/>
          <w:color w:val="auto"/>
          <w:sz w:val="28"/>
          <w:szCs w:val="28"/>
          <w:lang w:val="en-US" w:eastAsia="zh-CN"/>
        </w:rPr>
        <w:t>层卫生院和村医反映的药品配送不及时问题，充分发挥医保部门服务保障功能，与各药品配送企业达成分包承诺、申报备货的配送方案。同时履行医保部门监督管理职能，紧盯集中带量采购工作的“最后一公里”，加强日常监测，规范采购流程，及时约谈提醒，切实让群众买得起、买得到、用得放心、用得安全。继续开展药品免费配送“健康快车”行动。</w:t>
      </w:r>
    </w:p>
    <w:p>
      <w:pPr>
        <w:spacing w:line="560" w:lineRule="exact"/>
        <w:ind w:firstLine="420" w:firstLineChars="150"/>
        <w:jc w:val="both"/>
        <w:rPr>
          <w:rFonts w:hint="eastAsia" w:ascii="仿宋" w:hAnsi="仿宋" w:eastAsia="仿宋" w:cs="仿宋"/>
          <w:b w:val="0"/>
          <w:bCs w:val="0"/>
          <w:sz w:val="28"/>
          <w:szCs w:val="28"/>
        </w:rPr>
      </w:pPr>
    </w:p>
    <w:p>
      <w:pPr>
        <w:snapToGrid w:val="0"/>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（二）社会经济效益分析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val="0"/>
          <w:bCs w:val="0"/>
          <w:color w:val="000000"/>
          <w:kern w:val="21"/>
          <w:sz w:val="28"/>
          <w:szCs w:val="28"/>
        </w:rPr>
      </w:pPr>
      <w:r>
        <w:rPr>
          <w:rFonts w:hint="eastAsia" w:ascii="仿宋" w:hAnsi="仿宋" w:eastAsia="仿宋" w:cs="仿宋"/>
          <w:b w:val="0"/>
          <w:bCs w:val="0"/>
          <w:sz w:val="28"/>
          <w:szCs w:val="28"/>
        </w:rPr>
        <w:t>（1）经济效益指标：</w:t>
      </w:r>
      <w:r>
        <w:rPr>
          <w:rFonts w:hint="eastAsia" w:ascii="仿宋" w:hAnsi="仿宋" w:eastAsia="仿宋" w:cs="仿宋"/>
          <w:b w:val="0"/>
          <w:bCs w:val="0"/>
          <w:color w:val="auto"/>
          <w:sz w:val="28"/>
          <w:szCs w:val="28"/>
          <w:lang w:val="en-US" w:eastAsia="zh-CN"/>
        </w:rPr>
        <w:t>强化</w:t>
      </w:r>
      <w:r>
        <w:rPr>
          <w:rFonts w:hint="eastAsia" w:ascii="仿宋" w:hAnsi="仿宋" w:eastAsia="仿宋" w:cs="仿宋"/>
          <w:b w:val="0"/>
          <w:bCs w:val="0"/>
          <w:color w:val="auto"/>
          <w:sz w:val="28"/>
          <w:szCs w:val="28"/>
        </w:rPr>
        <w:t>监管，</w:t>
      </w:r>
      <w:r>
        <w:rPr>
          <w:rFonts w:hint="eastAsia" w:ascii="仿宋" w:hAnsi="仿宋" w:eastAsia="仿宋" w:cs="仿宋"/>
          <w:b w:val="0"/>
          <w:bCs w:val="0"/>
          <w:color w:val="auto"/>
          <w:sz w:val="28"/>
          <w:szCs w:val="28"/>
          <w:lang w:val="en-US" w:eastAsia="zh-CN"/>
        </w:rPr>
        <w:t>切实</w:t>
      </w:r>
      <w:r>
        <w:rPr>
          <w:rFonts w:hint="eastAsia" w:ascii="仿宋" w:hAnsi="仿宋" w:eastAsia="仿宋" w:cs="仿宋"/>
          <w:b w:val="0"/>
          <w:bCs w:val="0"/>
          <w:color w:val="auto"/>
          <w:sz w:val="28"/>
          <w:szCs w:val="28"/>
        </w:rPr>
        <w:t>守好群众“救命钱”</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一是扎实开展定点医药机构监督检查全覆盖。每季度对全县120家定点医药机构进行一次全覆盖检查工作。根据省市下发的问题清单，组织医药机构自查自纠4批次。全年追回医保基金293.6万元（含违约金），行政立案4件，行政处罚10.08万元。</w:t>
      </w:r>
      <w:r>
        <w:rPr>
          <w:rFonts w:hint="eastAsia" w:ascii="仿宋" w:hAnsi="仿宋" w:eastAsia="仿宋" w:cs="仿宋"/>
          <w:b/>
          <w:bCs/>
          <w:color w:val="auto"/>
          <w:sz w:val="28"/>
          <w:szCs w:val="28"/>
          <w:lang w:val="en-US" w:eastAsia="zh-CN"/>
        </w:rPr>
        <w:t>二是</w:t>
      </w:r>
      <w:r>
        <w:rPr>
          <w:rFonts w:hint="eastAsia" w:ascii="仿宋" w:hAnsi="仿宋" w:eastAsia="仿宋" w:cs="仿宋"/>
          <w:b w:val="0"/>
          <w:bCs w:val="0"/>
          <w:color w:val="auto"/>
          <w:sz w:val="28"/>
          <w:szCs w:val="28"/>
          <w:lang w:val="en-US" w:eastAsia="zh-CN"/>
        </w:rPr>
        <w:t>对定点医药机构开展多次专项行动。自4月份开展医保领域群众身边不正之风和腐败问题专项整治行动和10月份开展“百日行动”以来，对医药机构全面开展排查。制定了自查自纠清单台账、问题台帐、整改台帐，召开了16次专题会议、3次定点医疗机构推进会，协议处理22家医药机构，暂停2家村卫生室医保报帐资格，向县纪委监委移送问线索41条。</w:t>
      </w:r>
      <w:r>
        <w:rPr>
          <w:rFonts w:hint="eastAsia" w:ascii="仿宋" w:hAnsi="仿宋" w:eastAsia="仿宋" w:cs="仿宋"/>
          <w:b/>
          <w:bCs/>
          <w:color w:val="auto"/>
          <w:sz w:val="28"/>
          <w:szCs w:val="28"/>
          <w:lang w:val="en-US" w:eastAsia="zh-CN"/>
        </w:rPr>
        <w:t>三是</w:t>
      </w:r>
      <w:r>
        <w:rPr>
          <w:rFonts w:hint="eastAsia" w:ascii="仿宋" w:hAnsi="仿宋" w:eastAsia="仿宋" w:cs="仿宋"/>
          <w:b w:val="0"/>
          <w:bCs w:val="0"/>
          <w:color w:val="auto"/>
          <w:sz w:val="28"/>
          <w:szCs w:val="28"/>
          <w:lang w:val="en-US" w:eastAsia="zh-CN"/>
        </w:rPr>
        <w:t>健全联动机制。建立健全联合行动机制，加强与公安、卫健等部门的信息交流，合力打击医保领域违法违规行为，向县卫健部门移交线索27条。</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2、社会效益指标：我单位自成立以来，严格按照上级相关规定和定点协议开展工作，切实维护病人的合法权益，保障医保基金安全，推动医院发展，得到上级、病人、医院的认可。群众满意度高。</w:t>
      </w:r>
    </w:p>
    <w:p>
      <w:pPr>
        <w:snapToGrid w:val="0"/>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3、可持续影响指标：强化资金绩效意识，科学使用财政资金，使资金效益最大化。</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五、存在的主要问题</w:t>
      </w:r>
    </w:p>
    <w:p>
      <w:pPr>
        <w:pStyle w:val="12"/>
        <w:widowControl/>
        <w:spacing w:line="360" w:lineRule="atLeast"/>
        <w:ind w:right="880"/>
        <w:jc w:val="both"/>
        <w:rPr>
          <w:rFonts w:hint="eastAsia" w:ascii="仿宋" w:hAnsi="仿宋" w:eastAsia="仿宋" w:cs="仿宋"/>
          <w:b w:val="0"/>
          <w:bCs w:val="0"/>
          <w:kern w:val="2"/>
          <w:sz w:val="28"/>
          <w:szCs w:val="28"/>
        </w:rPr>
      </w:pPr>
      <w:r>
        <w:rPr>
          <w:rFonts w:hint="eastAsia" w:ascii="仿宋" w:hAnsi="仿宋" w:eastAsia="仿宋" w:cs="仿宋"/>
          <w:b w:val="0"/>
          <w:bCs w:val="0"/>
          <w:color w:val="333333"/>
          <w:sz w:val="28"/>
          <w:szCs w:val="28"/>
          <w:shd w:val="clear" w:color="auto" w:fill="FFFFFF"/>
        </w:rPr>
        <w:t>     1.思想认识有待进一步增强。</w:t>
      </w:r>
      <w:r>
        <w:rPr>
          <w:rFonts w:hint="eastAsia" w:ascii="仿宋" w:hAnsi="仿宋" w:eastAsia="仿宋" w:cs="仿宋"/>
          <w:b w:val="0"/>
          <w:bCs w:val="0"/>
          <w:kern w:val="2"/>
          <w:sz w:val="28"/>
          <w:szCs w:val="28"/>
        </w:rPr>
        <w:t>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pPr>
        <w:pStyle w:val="12"/>
        <w:widowControl/>
        <w:spacing w:line="360" w:lineRule="atLeast"/>
        <w:ind w:right="880" w:firstLine="686" w:firstLineChars="245"/>
        <w:jc w:val="both"/>
        <w:rPr>
          <w:rFonts w:hint="eastAsia" w:ascii="仿宋" w:hAnsi="仿宋" w:eastAsia="仿宋" w:cs="仿宋"/>
          <w:b w:val="0"/>
          <w:bCs w:val="0"/>
          <w:kern w:val="2"/>
          <w:sz w:val="28"/>
          <w:szCs w:val="28"/>
        </w:rPr>
      </w:pPr>
      <w:r>
        <w:rPr>
          <w:rFonts w:hint="eastAsia" w:ascii="仿宋" w:hAnsi="仿宋" w:eastAsia="仿宋" w:cs="仿宋"/>
          <w:b w:val="0"/>
          <w:bCs w:val="0"/>
          <w:color w:val="333333"/>
          <w:sz w:val="28"/>
          <w:szCs w:val="28"/>
          <w:shd w:val="clear" w:color="auto" w:fill="FFFFFF"/>
        </w:rPr>
        <w:t>2.业务水平有待进一步提升。</w:t>
      </w:r>
      <w:r>
        <w:rPr>
          <w:rFonts w:hint="eastAsia" w:ascii="仿宋" w:hAnsi="仿宋" w:eastAsia="仿宋" w:cs="仿宋"/>
          <w:b w:val="0"/>
          <w:bCs w:val="0"/>
          <w:kern w:val="2"/>
          <w:sz w:val="28"/>
          <w:szCs w:val="28"/>
        </w:rPr>
        <w:t>随着现阶段对财务人员的业务水平要求越来越高，财务人员责任越来越重，财务人员感觉水平很难达到新时代要求，建议上级有关部门多组织业务学习，进一步加财务人员的业务水平，提高工作效率。使财务工作再上一个新的台阶。</w:t>
      </w:r>
    </w:p>
    <w:p>
      <w:pPr>
        <w:pStyle w:val="17"/>
        <w:spacing w:line="600" w:lineRule="exact"/>
        <w:ind w:firstLine="640" w:firstLineChars="200"/>
        <w:rPr>
          <w:rFonts w:ascii="Times New Roman" w:hAnsi="Times New Roman" w:eastAsia="仿宋_GB2312" w:cs="Times New Roman"/>
          <w:sz w:val="32"/>
          <w:szCs w:val="3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9BE8D2-C531-427F-AF87-776472D071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4C23E20-590B-4314-AD4D-2E6320151CE2}"/>
  </w:font>
  <w:font w:name="方正小标宋_GBK">
    <w:panose1 w:val="02000000000000000000"/>
    <w:charset w:val="86"/>
    <w:family w:val="script"/>
    <w:pitch w:val="default"/>
    <w:sig w:usb0="A00002BF" w:usb1="38CF7CFA" w:usb2="00082016" w:usb3="00000000" w:csb0="00040001" w:csb1="00000000"/>
    <w:embedRegular r:id="rId3" w:fontKey="{ACCFA612-C28B-491B-AE2A-B9820D0D7B49}"/>
  </w:font>
  <w:font w:name="仿宋_GB2312">
    <w:panose1 w:val="02010609030101010101"/>
    <w:charset w:val="86"/>
    <w:family w:val="modern"/>
    <w:pitch w:val="default"/>
    <w:sig w:usb0="00000001" w:usb1="080E0000" w:usb2="00000000" w:usb3="00000000" w:csb0="00040000" w:csb1="00000000"/>
    <w:embedRegular r:id="rId4" w:fontKey="{89196646-F9B4-4E28-A3FE-89685EF06870}"/>
  </w:font>
  <w:font w:name="楷体_GB2312">
    <w:panose1 w:val="02010609030101010101"/>
    <w:charset w:val="86"/>
    <w:family w:val="modern"/>
    <w:pitch w:val="default"/>
    <w:sig w:usb0="00000001" w:usb1="080E0000" w:usb2="00000000" w:usb3="00000000" w:csb0="00040000" w:csb1="00000000"/>
    <w:embedRegular r:id="rId5" w:fontKey="{5725B0B2-1704-4E07-8181-DEE2A54DE33A}"/>
  </w:font>
  <w:font w:name="仿宋">
    <w:panose1 w:val="02010609060101010101"/>
    <w:charset w:val="86"/>
    <w:family w:val="auto"/>
    <w:pitch w:val="default"/>
    <w:sig w:usb0="800002BF" w:usb1="38CF7CFA" w:usb2="00000016" w:usb3="00000000" w:csb0="00040001" w:csb1="00000000"/>
    <w:embedRegular r:id="rId6" w:fontKey="{D8998370-3512-4527-8FEE-03944874D24E}"/>
  </w:font>
  <w:font w:name="华文中宋">
    <w:altName w:val="宋体"/>
    <w:panose1 w:val="02010600040101010101"/>
    <w:charset w:val="86"/>
    <w:family w:val="auto"/>
    <w:pitch w:val="default"/>
    <w:sig w:usb0="00000000" w:usb1="00000000" w:usb2="00000010" w:usb3="00000000" w:csb0="0004009F" w:csb1="00000000"/>
    <w:embedRegular r:id="rId7" w:fontKey="{8D8D87B7-4D8A-4390-8951-EE198CA1CF6C}"/>
  </w:font>
  <w:font w:name="楷体">
    <w:panose1 w:val="02010609060101010101"/>
    <w:charset w:val="86"/>
    <w:family w:val="modern"/>
    <w:pitch w:val="default"/>
    <w:sig w:usb0="800002BF" w:usb1="38CF7CFA" w:usb2="00000016" w:usb3="00000000" w:csb0="00040001" w:csb1="00000000"/>
    <w:embedRegular r:id="rId8" w:fontKey="{104A79DF-4F73-4852-8282-113F7F6A6A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E8AA"/>
    <w:multiLevelType w:val="singleLevel"/>
    <w:tmpl w:val="043CE8A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974741"/>
    <w:rsid w:val="02817D27"/>
    <w:rsid w:val="03E33B9E"/>
    <w:rsid w:val="03F10ADD"/>
    <w:rsid w:val="0474488D"/>
    <w:rsid w:val="053D043C"/>
    <w:rsid w:val="06A967C4"/>
    <w:rsid w:val="0706014B"/>
    <w:rsid w:val="07934D6C"/>
    <w:rsid w:val="080C064D"/>
    <w:rsid w:val="08817F20"/>
    <w:rsid w:val="09CD45A7"/>
    <w:rsid w:val="0AB031F8"/>
    <w:rsid w:val="0B225DFB"/>
    <w:rsid w:val="0C0A1E86"/>
    <w:rsid w:val="0D4E7DAA"/>
    <w:rsid w:val="0EB465BD"/>
    <w:rsid w:val="101368F5"/>
    <w:rsid w:val="106275DC"/>
    <w:rsid w:val="109E0A4B"/>
    <w:rsid w:val="114535BD"/>
    <w:rsid w:val="12AB7B9F"/>
    <w:rsid w:val="131A6F25"/>
    <w:rsid w:val="134F6054"/>
    <w:rsid w:val="13A859F5"/>
    <w:rsid w:val="13B32BBB"/>
    <w:rsid w:val="146E6986"/>
    <w:rsid w:val="146F2E2A"/>
    <w:rsid w:val="151A266A"/>
    <w:rsid w:val="16227A29"/>
    <w:rsid w:val="16873DFC"/>
    <w:rsid w:val="176756C6"/>
    <w:rsid w:val="17E3592C"/>
    <w:rsid w:val="1A2474DE"/>
    <w:rsid w:val="1CF229F8"/>
    <w:rsid w:val="1D7D680A"/>
    <w:rsid w:val="1D97DEFF"/>
    <w:rsid w:val="1DFF72E5"/>
    <w:rsid w:val="1EFC6F07"/>
    <w:rsid w:val="1F262338"/>
    <w:rsid w:val="1F5804C8"/>
    <w:rsid w:val="20B57B07"/>
    <w:rsid w:val="21AB121A"/>
    <w:rsid w:val="21E56EE7"/>
    <w:rsid w:val="2245430C"/>
    <w:rsid w:val="23C0729E"/>
    <w:rsid w:val="245711E5"/>
    <w:rsid w:val="25755DC7"/>
    <w:rsid w:val="265D32ED"/>
    <w:rsid w:val="27271343"/>
    <w:rsid w:val="28DE4363"/>
    <w:rsid w:val="2A351FC9"/>
    <w:rsid w:val="2A3C12B0"/>
    <w:rsid w:val="2B245511"/>
    <w:rsid w:val="2B7663F5"/>
    <w:rsid w:val="2D40315E"/>
    <w:rsid w:val="2D522E91"/>
    <w:rsid w:val="2D605CBB"/>
    <w:rsid w:val="2D714250"/>
    <w:rsid w:val="2DA27975"/>
    <w:rsid w:val="2DAA05D8"/>
    <w:rsid w:val="2E1162B0"/>
    <w:rsid w:val="2FB00E10"/>
    <w:rsid w:val="2FDF85B8"/>
    <w:rsid w:val="2FFFEE04"/>
    <w:rsid w:val="308C0468"/>
    <w:rsid w:val="30A47560"/>
    <w:rsid w:val="317F1EE4"/>
    <w:rsid w:val="31FA5AA9"/>
    <w:rsid w:val="32271577"/>
    <w:rsid w:val="32AC3044"/>
    <w:rsid w:val="33283FCC"/>
    <w:rsid w:val="33392BE6"/>
    <w:rsid w:val="33D75E9F"/>
    <w:rsid w:val="341B3545"/>
    <w:rsid w:val="34983880"/>
    <w:rsid w:val="34DF85B0"/>
    <w:rsid w:val="355D6DC1"/>
    <w:rsid w:val="35E34BD6"/>
    <w:rsid w:val="362353CB"/>
    <w:rsid w:val="36851BE2"/>
    <w:rsid w:val="36BD137C"/>
    <w:rsid w:val="389E3BAB"/>
    <w:rsid w:val="38BB3E7E"/>
    <w:rsid w:val="3B2976F1"/>
    <w:rsid w:val="3B8A37F6"/>
    <w:rsid w:val="3B8F36BC"/>
    <w:rsid w:val="3C0C4C37"/>
    <w:rsid w:val="3C165F7B"/>
    <w:rsid w:val="3C797AF3"/>
    <w:rsid w:val="3C9963E7"/>
    <w:rsid w:val="3E3A3CF9"/>
    <w:rsid w:val="3FD03432"/>
    <w:rsid w:val="40040099"/>
    <w:rsid w:val="44D42A00"/>
    <w:rsid w:val="44DF0F43"/>
    <w:rsid w:val="45243EE6"/>
    <w:rsid w:val="45426148"/>
    <w:rsid w:val="461A0F80"/>
    <w:rsid w:val="476475F1"/>
    <w:rsid w:val="483C46B5"/>
    <w:rsid w:val="491FF225"/>
    <w:rsid w:val="492359B6"/>
    <w:rsid w:val="49541AE8"/>
    <w:rsid w:val="498460AE"/>
    <w:rsid w:val="4AEF270F"/>
    <w:rsid w:val="4B7D0C82"/>
    <w:rsid w:val="4CA94031"/>
    <w:rsid w:val="4D243AAB"/>
    <w:rsid w:val="4E0420AF"/>
    <w:rsid w:val="4F7A20A8"/>
    <w:rsid w:val="4FA97CDB"/>
    <w:rsid w:val="4FFD214C"/>
    <w:rsid w:val="50382367"/>
    <w:rsid w:val="50AA3E74"/>
    <w:rsid w:val="50F419E6"/>
    <w:rsid w:val="51AE022E"/>
    <w:rsid w:val="52122EB9"/>
    <w:rsid w:val="521D2B1D"/>
    <w:rsid w:val="52273F7D"/>
    <w:rsid w:val="529728EA"/>
    <w:rsid w:val="52AD27C0"/>
    <w:rsid w:val="543B3DF8"/>
    <w:rsid w:val="549F610D"/>
    <w:rsid w:val="54DE09E3"/>
    <w:rsid w:val="55B0074C"/>
    <w:rsid w:val="55D55EC7"/>
    <w:rsid w:val="56515981"/>
    <w:rsid w:val="5777D4F5"/>
    <w:rsid w:val="57927B71"/>
    <w:rsid w:val="58382B00"/>
    <w:rsid w:val="5975028C"/>
    <w:rsid w:val="59DD8326"/>
    <w:rsid w:val="5B4B29F4"/>
    <w:rsid w:val="5C283EF9"/>
    <w:rsid w:val="5C673A84"/>
    <w:rsid w:val="5CF607CC"/>
    <w:rsid w:val="5D6677C8"/>
    <w:rsid w:val="5D89747D"/>
    <w:rsid w:val="5DA14B54"/>
    <w:rsid w:val="5DEF592A"/>
    <w:rsid w:val="5E023697"/>
    <w:rsid w:val="5FC6BB1E"/>
    <w:rsid w:val="5FD6522A"/>
    <w:rsid w:val="5FF720F1"/>
    <w:rsid w:val="60A2320D"/>
    <w:rsid w:val="61001CE1"/>
    <w:rsid w:val="62940C81"/>
    <w:rsid w:val="638407FE"/>
    <w:rsid w:val="654B3E73"/>
    <w:rsid w:val="65A62A83"/>
    <w:rsid w:val="663F078D"/>
    <w:rsid w:val="6679056C"/>
    <w:rsid w:val="66F73715"/>
    <w:rsid w:val="6714405B"/>
    <w:rsid w:val="672A67D0"/>
    <w:rsid w:val="676E524D"/>
    <w:rsid w:val="679A2E90"/>
    <w:rsid w:val="67DA5704"/>
    <w:rsid w:val="67FF5C0B"/>
    <w:rsid w:val="68D02BEC"/>
    <w:rsid w:val="69E06B54"/>
    <w:rsid w:val="6AA62479"/>
    <w:rsid w:val="6D262AD0"/>
    <w:rsid w:val="6D5D5B42"/>
    <w:rsid w:val="6D5E670D"/>
    <w:rsid w:val="6DB4632D"/>
    <w:rsid w:val="6E2E60E0"/>
    <w:rsid w:val="6E7855AD"/>
    <w:rsid w:val="6EFC0924"/>
    <w:rsid w:val="6FB1521A"/>
    <w:rsid w:val="6FB74722"/>
    <w:rsid w:val="6FC27407"/>
    <w:rsid w:val="6FEF8B7E"/>
    <w:rsid w:val="70F51137"/>
    <w:rsid w:val="71A6591B"/>
    <w:rsid w:val="72FF004B"/>
    <w:rsid w:val="73595EBB"/>
    <w:rsid w:val="737D59BA"/>
    <w:rsid w:val="739648AD"/>
    <w:rsid w:val="74B03CF2"/>
    <w:rsid w:val="75E94075"/>
    <w:rsid w:val="77C37683"/>
    <w:rsid w:val="79725F50"/>
    <w:rsid w:val="79D19834"/>
    <w:rsid w:val="79FF515B"/>
    <w:rsid w:val="7A392094"/>
    <w:rsid w:val="7AB51C56"/>
    <w:rsid w:val="7AE42724"/>
    <w:rsid w:val="7B1342F4"/>
    <w:rsid w:val="7CB618B9"/>
    <w:rsid w:val="7D007C96"/>
    <w:rsid w:val="7E9E1962"/>
    <w:rsid w:val="7E9F11B4"/>
    <w:rsid w:val="7F37EC1E"/>
    <w:rsid w:val="7F7DCD9D"/>
    <w:rsid w:val="7F970A6F"/>
    <w:rsid w:val="7FBF4F75"/>
    <w:rsid w:val="7FC1FFF3"/>
    <w:rsid w:val="7FC69637"/>
    <w:rsid w:val="7FDF8620"/>
    <w:rsid w:val="7FE422CD"/>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adjustRightInd w:val="0"/>
      <w:snapToGrid w:val="0"/>
      <w:spacing w:line="579" w:lineRule="atLeast"/>
      <w:ind w:firstLine="420" w:firstLineChars="100"/>
    </w:pPr>
    <w:rPr>
      <w:rFonts w:ascii="Times New Roman" w:hAnsi="Times New Roman"/>
      <w:sz w:val="32"/>
    </w:rPr>
  </w:style>
  <w:style w:type="paragraph" w:styleId="3">
    <w:name w:val="Body Text"/>
    <w:basedOn w:val="1"/>
    <w:qFormat/>
    <w:uiPriority w:val="0"/>
    <w:pPr>
      <w:spacing w:after="120"/>
    </w:p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toc 5"/>
    <w:basedOn w:val="1"/>
    <w:next w:val="1"/>
    <w:qFormat/>
    <w:uiPriority w:val="0"/>
    <w:pPr>
      <w:ind w:left="800" w:leftChars="8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3"/>
    <w:link w:val="8"/>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样式2"/>
    <w:basedOn w:val="1"/>
    <w:qFormat/>
    <w:uiPriority w:val="0"/>
    <w:pPr>
      <w:widowControl/>
      <w:shd w:val="clear" w:color="auto" w:fill="FFFFFF"/>
      <w:spacing w:before="100" w:beforeLines="0" w:beforeAutospacing="1" w:after="100" w:afterLines="0" w:afterAutospacing="1"/>
      <w:ind w:left="562"/>
      <w:jc w:val="center"/>
    </w:pPr>
    <w:rPr>
      <w:rFonts w:ascii="宋体" w:hAnsi="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Words>
  <Characters>24</Characters>
  <Lines>69</Lines>
  <Paragraphs>19</Paragraphs>
  <TotalTime>0</TotalTime>
  <ScaleCrop>false</ScaleCrop>
  <LinksUpToDate>false</LinksUpToDate>
  <CharactersWithSpaces>24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2025-09-18T02:56:02Z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eyJoZGlkIjoiZDkwOGZhM2MzNDI3NTU2YzhkOGUyM2UyYzA0YmYyNWYiLCJ1c2VySWQiOiI5NjM2NDY4ODYifQ==</vt:lpwstr>
  </property>
</Properties>
</file>