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蓝山县畜牧水产事务中心</w:t>
      </w: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蓝山县畜牧水产事务中心</w:t>
      </w:r>
      <w:r>
        <w:rPr>
          <w:rFonts w:ascii="Times New Roman" w:hAnsi="Times New Roman" w:cs="Times New Roman"/>
          <w:bCs/>
          <w:sz w:val="32"/>
          <w:szCs w:val="32"/>
        </w:rPr>
        <w:t>部门概况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蓝山县畜牧水产事务中心</w:t>
      </w:r>
      <w:r>
        <w:rPr>
          <w:rFonts w:ascii="Times New Roman" w:hAnsi="Times New Roman" w:eastAsia="方正小标宋_GBK" w:cs="Times New Roman"/>
          <w:sz w:val="52"/>
          <w:szCs w:val="52"/>
        </w:rPr>
        <w:t>部门概况</w:t>
      </w:r>
    </w:p>
    <w:p>
      <w:pPr>
        <w:pStyle w:val="5"/>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承担畜禽、水产、牧草、饲料品种资源调查等工作；承担重大动物疫病防控和动物诊疗机构及其从业人员管理等相关技术性、事务性工作；承担畜禽居宰行业发展相关技术性、事务性工作。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按照养殖业有关法律法和方针政策的要求,为全县畜牧业、业发展提供技术支撑和服务保障。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为养殖业生产、市场信息监测提供技术、信息服务,开展统计分析工作。研究提出畜业、渔业产业发展与资源保护建议,承担产业项目有关技术性工作。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w:t>
      </w:r>
      <w:r>
        <w:rPr>
          <w:rFonts w:hint="eastAsia" w:ascii="仿宋_GB2312" w:hAnsi="仿宋" w:eastAsia="仿宋_GB2312"/>
          <w:sz w:val="32"/>
          <w:szCs w:val="32"/>
        </w:rPr>
        <w:t>研究提出全县养殖业技术推广规划和体系建设规划意见,协助组织开展全县养殖业技术推广和专业技术人员培训。参与畜牧水严相关项目的实施、验收。</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val="en-US" w:eastAsia="zh-CN"/>
        </w:rPr>
        <w:t>蓝山县畜牧水产事务中心</w:t>
      </w:r>
      <w:r>
        <w:rPr>
          <w:rFonts w:ascii="Times New Roman" w:hAnsi="Times New Roman" w:eastAsia="仿宋_GB2312" w:cs="Times New Roman"/>
          <w:bCs/>
          <w:kern w:val="0"/>
          <w:sz w:val="32"/>
          <w:szCs w:val="32"/>
        </w:rPr>
        <w:t>单位内设机构包括</w:t>
      </w:r>
      <w:r>
        <w:rPr>
          <w:rFonts w:hint="eastAsia" w:ascii="Times New Roman" w:hAnsi="Times New Roman" w:eastAsia="仿宋_GB2312" w:cs="Times New Roman"/>
          <w:bCs/>
          <w:kern w:val="0"/>
          <w:sz w:val="32"/>
          <w:szCs w:val="32"/>
        </w:rPr>
        <w:t>综合股</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人力资源股</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畜牧水产技术推广中心</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兽医事务股</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畜牧发展股</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渔业发展与资源保护股</w:t>
      </w:r>
      <w:r>
        <w:rPr>
          <w:rFonts w:hint="eastAsia" w:ascii="Times New Roman" w:hAnsi="Times New Roman" w:eastAsia="仿宋_GB2312" w:cs="Times New Roman"/>
          <w:bCs/>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eastAsia="仿宋_GB2312"/>
          <w:bCs/>
          <w:kern w:val="0"/>
          <w:sz w:val="32"/>
          <w:szCs w:val="32"/>
          <w:lang w:eastAsia="zh-CN"/>
        </w:rPr>
      </w:pPr>
      <w:r>
        <w:rPr>
          <w:rFonts w:hint="eastAsia" w:ascii="Times New Roman" w:hAnsi="Times New Roman" w:eastAsia="仿宋_GB2312" w:cs="Times New Roman"/>
          <w:bCs/>
          <w:kern w:val="0"/>
          <w:sz w:val="32"/>
          <w:szCs w:val="32"/>
          <w:lang w:val="en-US" w:eastAsia="zh-CN"/>
        </w:rPr>
        <w:t>蓝山县畜牧水产事务中心</w:t>
      </w:r>
      <w:r>
        <w:rPr>
          <w:rFonts w:hint="eastAsia" w:eastAsia="仿宋_GB2312"/>
          <w:bCs/>
          <w:kern w:val="0"/>
          <w:sz w:val="32"/>
          <w:szCs w:val="32"/>
          <w:lang w:val="en-US" w:eastAsia="zh-CN"/>
        </w:rPr>
        <w:t>单位</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val="en-US" w:eastAsia="zh-CN"/>
        </w:rPr>
        <w:t>蓝山县畜牧水产事务中心单位</w:t>
      </w:r>
      <w:r>
        <w:rPr>
          <w:rFonts w:eastAsia="仿宋_GB2312"/>
          <w:bCs/>
          <w:kern w:val="0"/>
          <w:sz w:val="32"/>
          <w:szCs w:val="32"/>
        </w:rPr>
        <w:t>本级</w:t>
      </w:r>
      <w:r>
        <w:rPr>
          <w:rFonts w:hint="eastAsia" w:eastAsia="仿宋_GB2312"/>
          <w:bCs/>
          <w:kern w:val="0"/>
          <w:sz w:val="32"/>
          <w:szCs w:val="32"/>
          <w:lang w:eastAsia="zh-CN"/>
        </w:rPr>
        <w:t>。</w:t>
      </w:r>
    </w:p>
    <w:p>
      <w:pPr>
        <w:widowControl/>
        <w:spacing w:line="600" w:lineRule="exact"/>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0"/>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626.02</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1.35</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79.93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szCs w:val="22"/>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6.6</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szCs w:val="22"/>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538.14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626.02</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626.02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626.02</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626.02</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黑体" w:cs="Times New Roman"/>
          <w:color w:val="000000"/>
          <w:kern w:val="0"/>
          <w:sz w:val="32"/>
          <w:szCs w:val="32"/>
        </w:rPr>
      </w:pPr>
      <w: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Ind w:w="0" w:type="dxa"/>
        <w:tblLayout w:type="fixed"/>
        <w:tblCellMar>
          <w:top w:w="0" w:type="dxa"/>
          <w:left w:w="0" w:type="dxa"/>
          <w:bottom w:w="0" w:type="dxa"/>
          <w:right w:w="0" w:type="dxa"/>
        </w:tblCellMar>
      </w:tblPr>
      <w:tblGrid>
        <w:gridCol w:w="1886"/>
        <w:gridCol w:w="4450"/>
        <w:gridCol w:w="1395"/>
        <w:gridCol w:w="1410"/>
        <w:gridCol w:w="1320"/>
        <w:gridCol w:w="1050"/>
        <w:gridCol w:w="1110"/>
        <w:gridCol w:w="1050"/>
        <w:gridCol w:w="995"/>
      </w:tblGrid>
      <w:tr>
        <w:tblPrEx>
          <w:tblLayout w:type="fixed"/>
          <w:tblCellMar>
            <w:top w:w="0" w:type="dxa"/>
            <w:left w:w="0" w:type="dxa"/>
            <w:bottom w:w="0" w:type="dxa"/>
            <w:right w:w="0" w:type="dxa"/>
          </w:tblCellMar>
        </w:tblPrEx>
        <w:trPr>
          <w:trHeight w:val="312" w:hRule="atLeast"/>
          <w:jc w:val="center"/>
        </w:trPr>
        <w:tc>
          <w:tcPr>
            <w:tcW w:w="633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12" w:hRule="atLeas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4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445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633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1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1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0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312" w:hRule="atLeast"/>
          <w:jc w:val="center"/>
        </w:trPr>
        <w:tc>
          <w:tcPr>
            <w:tcW w:w="633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626.02</w:t>
            </w: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626.02</w:t>
            </w:r>
            <w:r>
              <w:rPr>
                <w:rFonts w:ascii="Times New Roman" w:hAnsi="Times New Roman" w:eastAsia="仿宋_GB2312" w:cs="Times New Roman"/>
              </w:rPr>
              <w:t>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44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20199</w:t>
            </w:r>
          </w:p>
        </w:tc>
        <w:tc>
          <w:tcPr>
            <w:tcW w:w="44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44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208</w:t>
            </w:r>
          </w:p>
        </w:tc>
        <w:tc>
          <w:tcPr>
            <w:tcW w:w="44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社会保障和就业支出</w:t>
            </w:r>
          </w:p>
        </w:tc>
        <w:tc>
          <w:tcPr>
            <w:tcW w:w="13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79.93</w:t>
            </w: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79.93</w:t>
            </w:r>
            <w:r>
              <w:rPr>
                <w:rFonts w:ascii="Times New Roman" w:hAnsi="Times New Roman" w:eastAsia="仿宋_GB2312" w:cs="Times New Roman"/>
              </w:rPr>
              <w:t>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20805</w:t>
            </w:r>
            <w:r>
              <w:rPr>
                <w:rFonts w:ascii="Times New Roman" w:hAnsi="Times New Roman" w:eastAsia="仿宋_GB2312" w:cs="Times New Roman"/>
              </w:rPr>
              <w:t>　</w:t>
            </w:r>
          </w:p>
        </w:tc>
        <w:tc>
          <w:tcPr>
            <w:tcW w:w="44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行政事业单位养老支出</w:t>
            </w: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55.57</w:t>
            </w: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55.57</w:t>
            </w:r>
            <w:r>
              <w:rPr>
                <w:rFonts w:ascii="Times New Roman" w:hAnsi="Times New Roman" w:eastAsia="仿宋_GB2312" w:cs="Times New Roman"/>
              </w:rPr>
              <w:t>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0.68</w:t>
            </w:r>
            <w:r>
              <w:rPr>
                <w:rFonts w:ascii="Times New Roman" w:hAnsi="Times New Roman" w:eastAsia="仿宋_GB2312" w:cs="Times New Roman"/>
              </w:rPr>
              <w:t>　</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0.68</w:t>
            </w:r>
            <w:r>
              <w:rPr>
                <w:rFonts w:ascii="Times New Roman" w:hAnsi="Times New Roman" w:eastAsia="仿宋_GB2312" w:cs="Times New Roman"/>
              </w:rPr>
              <w:t>　</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30.21</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30.21</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24.68</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24.68</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24.36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24.36</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23.79</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23.79</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0.57</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0.57</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6.6</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6.6</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6.6</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农林水支出</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538.14</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538.14</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农业农村</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538.14</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538.14</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2130101</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行政运行</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235.11</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235.11</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2130102</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一般行政管理事务</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65.09</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65.09</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2130104</w:t>
            </w:r>
          </w:p>
        </w:tc>
        <w:tc>
          <w:tcPr>
            <w:tcW w:w="445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事业运行</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237.94</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237.94</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widowControl/>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14209" w:type="dxa"/>
        <w:jc w:val="center"/>
        <w:tblInd w:w="0" w:type="dxa"/>
        <w:tblLayout w:type="fixed"/>
        <w:tblCellMar>
          <w:top w:w="0" w:type="dxa"/>
          <w:left w:w="108" w:type="dxa"/>
          <w:bottom w:w="0" w:type="dxa"/>
          <w:right w:w="108" w:type="dxa"/>
        </w:tblCellMar>
      </w:tblPr>
      <w:tblGrid>
        <w:gridCol w:w="2280"/>
        <w:gridCol w:w="2317"/>
        <w:gridCol w:w="1737"/>
        <w:gridCol w:w="1194"/>
        <w:gridCol w:w="1194"/>
        <w:gridCol w:w="1737"/>
        <w:gridCol w:w="1194"/>
        <w:gridCol w:w="2556"/>
      </w:tblGrid>
      <w:tr>
        <w:tblPrEx>
          <w:tblLayout w:type="fixed"/>
          <w:tblCellMar>
            <w:top w:w="0" w:type="dxa"/>
            <w:left w:w="108" w:type="dxa"/>
            <w:bottom w:w="0" w:type="dxa"/>
            <w:right w:w="108" w:type="dxa"/>
          </w:tblCellMar>
        </w:tblPrEx>
        <w:trPr>
          <w:trHeight w:val="624" w:hRule="atLeast"/>
          <w:jc w:val="center"/>
        </w:trPr>
        <w:tc>
          <w:tcPr>
            <w:tcW w:w="45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7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1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1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1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5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624" w:hRule="atLeast"/>
          <w:jc w:val="center"/>
        </w:trPr>
        <w:tc>
          <w:tcPr>
            <w:tcW w:w="22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3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5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31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5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45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73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1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3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1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55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624" w:hRule="atLeast"/>
          <w:jc w:val="center"/>
        </w:trPr>
        <w:tc>
          <w:tcPr>
            <w:tcW w:w="45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3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626.02</w:t>
            </w: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560.93</w:t>
            </w: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c>
          <w:tcPr>
            <w:tcW w:w="173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231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173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3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p>
        </w:tc>
        <w:tc>
          <w:tcPr>
            <w:tcW w:w="231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73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3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231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73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3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w:t>
            </w:r>
          </w:p>
        </w:tc>
        <w:tc>
          <w:tcPr>
            <w:tcW w:w="231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社会保障和就业支出</w:t>
            </w:r>
          </w:p>
        </w:tc>
        <w:tc>
          <w:tcPr>
            <w:tcW w:w="173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79.93</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79.93</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3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w:t>
            </w:r>
            <w:r>
              <w:rPr>
                <w:rFonts w:ascii="Times New Roman" w:hAnsi="Times New Roman" w:eastAsia="仿宋_GB2312" w:cs="Times New Roman"/>
              </w:rPr>
              <w:t>　</w:t>
            </w:r>
          </w:p>
        </w:tc>
        <w:tc>
          <w:tcPr>
            <w:tcW w:w="231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行政事业单位养老支出</w:t>
            </w:r>
            <w:r>
              <w:rPr>
                <w:rFonts w:ascii="Times New Roman" w:hAnsi="Times New Roman" w:eastAsia="仿宋_GB2312" w:cs="Times New Roman"/>
              </w:rPr>
              <w:t>　</w:t>
            </w:r>
          </w:p>
        </w:tc>
        <w:tc>
          <w:tcPr>
            <w:tcW w:w="173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55.57</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55.57</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3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231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173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0.68</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0.68</w:t>
            </w:r>
            <w:r>
              <w:rPr>
                <w:rFonts w:ascii="Times New Roman" w:hAnsi="Times New Roman" w:eastAsia="仿宋_GB2312" w:cs="Times New Roman"/>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3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30.21</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30.21</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24.68</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24.68</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24.36</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24.36</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23.79</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23.79</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0.57</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0.57</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农林水支出</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538.14</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473.04</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农业农村</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538.14</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473.04</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2130101</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行政运行</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235.11</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235.11</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2130102</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一般行政管理事务</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228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2130104</w:t>
            </w:r>
          </w:p>
        </w:tc>
        <w:tc>
          <w:tcPr>
            <w:tcW w:w="2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事业运行</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237.94</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237.94</w:t>
            </w: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737"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19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255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14220" w:type="dxa"/>
        <w:jc w:val="center"/>
        <w:tblInd w:w="0" w:type="dxa"/>
        <w:tblLayout w:type="fixed"/>
        <w:tblCellMar>
          <w:top w:w="0" w:type="dxa"/>
          <w:left w:w="108" w:type="dxa"/>
          <w:bottom w:w="0" w:type="dxa"/>
          <w:right w:w="108" w:type="dxa"/>
        </w:tblCellMar>
      </w:tblPr>
      <w:tblGrid>
        <w:gridCol w:w="3516"/>
        <w:gridCol w:w="616"/>
        <w:gridCol w:w="821"/>
        <w:gridCol w:w="3336"/>
        <w:gridCol w:w="616"/>
        <w:gridCol w:w="1041"/>
        <w:gridCol w:w="1594"/>
        <w:gridCol w:w="1298"/>
        <w:gridCol w:w="1382"/>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32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626.02</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1.35</w:t>
            </w: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1.35</w:t>
            </w: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5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5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2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4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5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79.93</w:t>
            </w: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79.93</w:t>
            </w: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25</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6.6</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6.6</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35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26</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538.14</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538.14</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626.02</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626.02</w:t>
            </w: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626.02</w:t>
            </w: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35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8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7"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626.02</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104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626.02</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626.02</w:t>
            </w:r>
          </w:p>
        </w:tc>
        <w:tc>
          <w:tcPr>
            <w:tcW w:w="12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219" w:type="dxa"/>
        <w:jc w:val="center"/>
        <w:tblInd w:w="0" w:type="dxa"/>
        <w:tblLayout w:type="fixed"/>
        <w:tblCellMar>
          <w:top w:w="0" w:type="dxa"/>
          <w:left w:w="108" w:type="dxa"/>
          <w:bottom w:w="0" w:type="dxa"/>
          <w:right w:w="108" w:type="dxa"/>
        </w:tblCellMar>
      </w:tblPr>
      <w:tblGrid>
        <w:gridCol w:w="1199"/>
        <w:gridCol w:w="3561"/>
        <w:gridCol w:w="2990"/>
        <w:gridCol w:w="3480"/>
        <w:gridCol w:w="2989"/>
      </w:tblGrid>
      <w:tr>
        <w:tblPrEx>
          <w:tblLayout w:type="fixed"/>
          <w:tblCellMar>
            <w:top w:w="0" w:type="dxa"/>
            <w:left w:w="108" w:type="dxa"/>
            <w:bottom w:w="0" w:type="dxa"/>
            <w:right w:w="108" w:type="dxa"/>
          </w:tblCellMar>
        </w:tblPrEx>
        <w:trPr>
          <w:trHeight w:val="624" w:hRule="atLeast"/>
          <w:jc w:val="center"/>
        </w:trPr>
        <w:tc>
          <w:tcPr>
            <w:tcW w:w="476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5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624" w:hRule="atLeast"/>
          <w:jc w:val="center"/>
        </w:trPr>
        <w:tc>
          <w:tcPr>
            <w:tcW w:w="119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9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89"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62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6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9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2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6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9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24" w:hRule="atLeast"/>
          <w:jc w:val="center"/>
        </w:trPr>
        <w:tc>
          <w:tcPr>
            <w:tcW w:w="476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89"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624" w:hRule="atLeast"/>
          <w:jc w:val="center"/>
        </w:trPr>
        <w:tc>
          <w:tcPr>
            <w:tcW w:w="476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9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626.02</w:t>
            </w:r>
          </w:p>
        </w:tc>
        <w:tc>
          <w:tcPr>
            <w:tcW w:w="348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560.93</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60.59</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3561"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299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p>
        </w:tc>
        <w:tc>
          <w:tcPr>
            <w:tcW w:w="3561"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299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3561"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299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1.35</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w:t>
            </w:r>
          </w:p>
        </w:tc>
        <w:tc>
          <w:tcPr>
            <w:tcW w:w="3561"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社会保障和就业支出</w:t>
            </w:r>
          </w:p>
        </w:tc>
        <w:tc>
          <w:tcPr>
            <w:tcW w:w="299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79.93</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79.93</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w:t>
            </w:r>
            <w:r>
              <w:rPr>
                <w:rFonts w:ascii="Times New Roman" w:hAnsi="Times New Roman" w:eastAsia="仿宋_GB2312" w:cs="Times New Roman"/>
              </w:rPr>
              <w:t>　</w:t>
            </w:r>
          </w:p>
        </w:tc>
        <w:tc>
          <w:tcPr>
            <w:tcW w:w="3561"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行政事业单位养老支出</w:t>
            </w:r>
            <w:r>
              <w:rPr>
                <w:rFonts w:ascii="Times New Roman" w:hAnsi="Times New Roman" w:eastAsia="仿宋_GB2312" w:cs="Times New Roman"/>
              </w:rPr>
              <w:t>　</w:t>
            </w:r>
          </w:p>
        </w:tc>
        <w:tc>
          <w:tcPr>
            <w:tcW w:w="299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55.57</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55.57</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3561"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299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0.68</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0.68</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30.21</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30.21</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24.68</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24.68</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24.36</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24.36</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23.79</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23.79</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0.57</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0.57</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农林水支出</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538.14</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473.04</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农业农村</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538.14</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473.04</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2130101</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行政运行</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235.11</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235.11</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2130102</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一般行政管理事务</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65.09</w:t>
            </w:r>
          </w:p>
        </w:tc>
      </w:tr>
      <w:tr>
        <w:tblPrEx>
          <w:tblLayout w:type="fixed"/>
          <w:tblCellMar>
            <w:top w:w="0" w:type="dxa"/>
            <w:left w:w="108" w:type="dxa"/>
            <w:bottom w:w="0" w:type="dxa"/>
            <w:right w:w="108" w:type="dxa"/>
          </w:tblCellMar>
        </w:tblPrEx>
        <w:trPr>
          <w:trHeight w:val="624"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2130104</w:t>
            </w:r>
          </w:p>
        </w:tc>
        <w:tc>
          <w:tcPr>
            <w:tcW w:w="356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事业运行</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237.94</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237.94</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343.04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160.76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110.02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32.35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38.61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3.74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96.85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3.42</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3.84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2.43</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4.16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15.28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6.89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25.36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53.71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4.73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19.92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29.13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0.99</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6.86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40.52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9.53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12.55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11.66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396.75</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164.18</w:t>
            </w: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0"/>
                <w:szCs w:val="20"/>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both"/>
        <w:rPr>
          <w:rFonts w:hint="eastAsia" w:eastAsia="仿宋_GB2312"/>
          <w:kern w:val="0"/>
          <w:szCs w:val="21"/>
          <w:lang w:eastAsia="zh-CN"/>
        </w:rPr>
      </w:pPr>
      <w:r>
        <w:rPr>
          <w:rFonts w:hint="eastAsia" w:eastAsia="仿宋_GB2312"/>
          <w:kern w:val="0"/>
          <w:szCs w:val="21"/>
          <w:lang w:val="en-US" w:eastAsia="zh-CN"/>
        </w:rPr>
        <w:t>蓝山县畜牧水产事务中心</w:t>
      </w:r>
      <w:r>
        <w:rPr>
          <w:rFonts w:hint="eastAsia" w:eastAsia="仿宋_GB2312"/>
          <w:kern w:val="0"/>
          <w:szCs w:val="21"/>
        </w:rPr>
        <w:t>没有政府性基金收入，也没有使用政府性基金安排的支出，故本表无数据</w:t>
      </w:r>
      <w:r>
        <w:rPr>
          <w:rFonts w:hint="eastAsia" w:eastAsia="仿宋_GB2312"/>
          <w:kern w:val="0"/>
          <w:szCs w:val="21"/>
          <w:lang w:eastAsia="zh-CN"/>
        </w:rPr>
        <w:t>。</w:t>
      </w:r>
    </w:p>
    <w:p>
      <w:pPr>
        <w:widowControl/>
        <w:jc w:val="both"/>
        <w:rPr>
          <w:rFonts w:hint="eastAsia" w:eastAsia="仿宋_GB2312"/>
          <w:kern w:val="0"/>
          <w:szCs w:val="21"/>
          <w:lang w:eastAsia="zh-CN"/>
        </w:rPr>
      </w:pPr>
    </w:p>
    <w:p>
      <w:pPr>
        <w:widowControl/>
        <w:jc w:val="both"/>
        <w:rPr>
          <w:rFonts w:hint="eastAsia" w:eastAsia="仿宋_GB2312"/>
          <w:kern w:val="0"/>
          <w:szCs w:val="21"/>
          <w:lang w:eastAsia="zh-CN"/>
        </w:rPr>
      </w:pPr>
    </w:p>
    <w:p>
      <w:pPr>
        <w:widowControl/>
        <w:jc w:val="both"/>
        <w:rPr>
          <w:rFonts w:hint="eastAsia" w:eastAsia="仿宋_GB2312"/>
          <w:kern w:val="0"/>
          <w:szCs w:val="21"/>
          <w:lang w:eastAsia="zh-CN"/>
        </w:rPr>
      </w:pPr>
    </w:p>
    <w:p>
      <w:pPr>
        <w:widowControl/>
        <w:jc w:val="both"/>
        <w:rPr>
          <w:rFonts w:hint="eastAsia" w:eastAsia="仿宋_GB2312"/>
          <w:kern w:val="0"/>
          <w:szCs w:val="21"/>
          <w:lang w:eastAsia="zh-CN"/>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214" w:type="dxa"/>
        <w:tblInd w:w="0" w:type="dxa"/>
        <w:tblLayout w:type="fixed"/>
        <w:tblCellMar>
          <w:top w:w="0" w:type="dxa"/>
          <w:left w:w="108" w:type="dxa"/>
          <w:bottom w:w="0" w:type="dxa"/>
          <w:right w:w="108" w:type="dxa"/>
        </w:tblCellMar>
      </w:tblPr>
      <w:tblGrid>
        <w:gridCol w:w="3094"/>
        <w:gridCol w:w="3096"/>
        <w:gridCol w:w="1831"/>
        <w:gridCol w:w="3096"/>
        <w:gridCol w:w="3097"/>
      </w:tblGrid>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8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4"/>
                <w:szCs w:val="24"/>
                <w:lang w:val="en-US" w:eastAsia="zh-CN"/>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宋体"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蓝山县畜牧水产事务中心无</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支出，故本表无数据</w:t>
      </w:r>
      <w:r>
        <w:rPr>
          <w:rFonts w:hint="eastAsia" w:eastAsia="仿宋_GB2312"/>
          <w:kern w:val="0"/>
          <w:szCs w:val="21"/>
          <w:lang w:eastAsia="zh-CN"/>
        </w:rPr>
        <w:t>。</w:t>
      </w:r>
    </w:p>
    <w:p>
      <w:pPr>
        <w:pStyle w:val="10"/>
        <w:spacing w:line="400" w:lineRule="exact"/>
        <w:rPr>
          <w:rFonts w:ascii="Times New Roman" w:hAnsi="Times New Roman" w:eastAsia="华文中宋" w:cs="Times New Roman"/>
          <w:color w:val="000000"/>
          <w:kern w:val="0"/>
          <w:sz w:val="32"/>
          <w:szCs w:val="32"/>
        </w:rPr>
      </w:pPr>
    </w:p>
    <w:p>
      <w:pPr>
        <w:pStyle w:val="5"/>
        <w:rPr>
          <w:rFonts w:ascii="Times New Roman" w:hAnsi="Times New Roman" w:eastAsia="华文中宋" w:cs="Times New Roman"/>
          <w:color w:val="000000"/>
          <w:kern w:val="0"/>
          <w:sz w:val="32"/>
          <w:szCs w:val="32"/>
        </w:rPr>
      </w:pPr>
    </w:p>
    <w:p/>
    <w:p>
      <w:pPr>
        <w:pStyle w:val="5"/>
        <w:rPr>
          <w:rFonts w:ascii="Times New Roman" w:hAnsi="Times New Roman" w:eastAsia="华文中宋" w:cs="Times New Roman"/>
          <w:color w:val="000000"/>
          <w:kern w:val="0"/>
          <w:sz w:val="32"/>
          <w:szCs w:val="32"/>
        </w:rPr>
      </w:pPr>
    </w:p>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蓝山县畜牧水产事务中心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8"/>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4.73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4.73</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734" w:right="1417" w:bottom="1134" w:left="1417" w:header="851" w:footer="992" w:gutter="0"/>
          <w:cols w:space="425" w:num="1"/>
          <w:docGrid w:type="lines" w:linePitch="312" w:charSpace="0"/>
        </w:sectPr>
      </w:pPr>
      <w: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626.02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102.06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626.02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626.02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626.06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560.93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65.09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626.06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102.06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626.06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102.06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626.06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社会保障和就业（类）支出79.93万元，占12.77%；卫生健康（类）支出6.6万元，占1.05%，农林水（类）支出538.14万元，占85.96%。</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333.75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626.06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187.58</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年初预算安排未细分科目。</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行政单位离退休（项）。</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24.45</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0.68</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0.41</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3、社会保障和就业支出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机关事业单位基本养老保险缴费支出（项）。</w:t>
      </w:r>
    </w:p>
    <w:p>
      <w:pPr>
        <w:pStyle w:val="15"/>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24.45</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30.21</w:t>
      </w:r>
      <w:r>
        <w:rPr>
          <w:rFonts w:ascii="Times New Roman" w:hAnsi="Times New Roman" w:eastAsia="仿宋_GB2312" w:cs="Times New Roman"/>
          <w:color w:val="auto"/>
          <w:sz w:val="32"/>
          <w:szCs w:val="32"/>
          <w:u w:val="none"/>
        </w:rPr>
        <w:t xml:space="preserve"> 万元，完成年初预算的</w:t>
      </w:r>
      <w:r>
        <w:rPr>
          <w:rFonts w:hint="eastAsia" w:ascii="Times New Roman" w:hAnsi="Times New Roman" w:eastAsia="仿宋_GB2312" w:cs="Times New Roman"/>
          <w:color w:val="auto"/>
          <w:sz w:val="32"/>
          <w:szCs w:val="32"/>
          <w:u w:val="none"/>
          <w:lang w:val="en-US" w:eastAsia="zh-CN"/>
        </w:rPr>
        <w:t>117.39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4、社会保障和就业支出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其他行政事业单位养老支出（项）。</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24.45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24.68</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100.94</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抚恤</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死亡抚恤（项）。</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24.45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23.79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97.3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6、社会保障和就业支出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抚恤</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伤残抚恤（项）。</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24.45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0.57</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97.3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7、卫生健康支出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行政事业单位医疗</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行政单位医疗（项）。</w:t>
      </w:r>
    </w:p>
    <w:p>
      <w:pPr>
        <w:pStyle w:val="15"/>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7.64</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6.6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完</w:t>
      </w:r>
      <w:r>
        <w:rPr>
          <w:rFonts w:ascii="Times New Roman" w:hAnsi="Times New Roman" w:eastAsia="仿宋_GB2312" w:cs="Times New Roman"/>
          <w:color w:val="auto"/>
          <w:sz w:val="32"/>
          <w:szCs w:val="32"/>
          <w:u w:val="none"/>
        </w:rPr>
        <w:t>成年初预算的</w:t>
      </w:r>
      <w:r>
        <w:rPr>
          <w:rFonts w:hint="eastAsia" w:ascii="Times New Roman" w:hAnsi="Times New Roman" w:eastAsia="仿宋_GB2312" w:cs="Times New Roman"/>
          <w:color w:val="auto"/>
          <w:sz w:val="32"/>
          <w:szCs w:val="32"/>
          <w:u w:val="none"/>
          <w:lang w:val="en-US" w:eastAsia="zh-CN"/>
        </w:rPr>
        <w:t>86.39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决算数小于年初预算数的主要原因是本年度支出减少。</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560.93</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396.75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70.73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绩效工资、机关事业单位基本养老保险缴费、职工基本医疗保险缴费、其他社会保障缴费、其他社会保险缴费、其他工资福利支出、抚恤金、生活补助、奖励金、其他对个人和家庭的补助</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164.18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29.27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水费、电费、邮电费、差旅费、维修（护）费、会议费、培训费、公务接待费、劳务费、委托业务费、工会经费、福利费、其他交通费用、其他商品和服务支出、资本性支出-办公设备购置、其他资本性支出</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4.44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缩减开支，部分开支暂未报账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本年度支出减少</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val="en-US"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4.44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缩减开支，部分开支暂未报账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本年度支出减少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628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接待来访</w:t>
      </w:r>
      <w:r>
        <w:rPr>
          <w:rFonts w:ascii="Times New Roman" w:hAnsi="Times New Roman" w:eastAsia="仿宋_GB2312" w:cs="Times New Roman"/>
          <w:sz w:val="32"/>
          <w:szCs w:val="32"/>
        </w:rPr>
        <w:t>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eastAsia" w:ascii="Times New Roman" w:hAnsi="Times New Roman" w:eastAsia="仿宋_GB2312" w:cs="Times New Roman"/>
          <w:color w:val="auto"/>
          <w:sz w:val="32"/>
          <w:szCs w:val="32"/>
          <w:u w:val="none"/>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164.18</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87.01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112.75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本年度支出增加</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畜牧水产事务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畜牧水产事务中心会议餐费开支</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异地教学及2024年单位工作人员继续教育</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异地教学及2024年单位工作人员继续教育</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91.23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53.43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36.26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88.87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97.41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88.87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60.12</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39.88</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辆、执法执勤用车XX辆、特种专业技术用车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644.64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626.02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97.11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96.28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sz w:val="32"/>
          <w:szCs w:val="32"/>
        </w:rPr>
        <w:t>全面完成省举办的养殖培训任务，共4批次计1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全县范围内开展登门入户养殖培训，计210余人次；全力保障动物防疫物资及开展</w:t>
      </w:r>
      <w:r>
        <w:rPr>
          <w:rFonts w:hint="eastAsia" w:ascii="仿宋" w:hAnsi="仿宋" w:eastAsia="仿宋" w:cs="仿宋"/>
          <w:b w:val="0"/>
          <w:bCs w:val="0"/>
          <w:sz w:val="32"/>
          <w:szCs w:val="32"/>
          <w:lang w:val="en-US" w:eastAsia="zh-CN"/>
        </w:rPr>
        <w:t>畜禽养殖业安全生产宣传工作；推进</w:t>
      </w:r>
      <w:r>
        <w:rPr>
          <w:rFonts w:hint="eastAsia" w:ascii="仿宋" w:hAnsi="仿宋" w:eastAsia="仿宋" w:cs="仿宋"/>
          <w:b w:val="0"/>
          <w:bCs w:val="0"/>
          <w:sz w:val="32"/>
          <w:szCs w:val="32"/>
        </w:rPr>
        <w:t>畜禽粪污资源化利用</w:t>
      </w:r>
      <w:r>
        <w:rPr>
          <w:rFonts w:ascii="Times New Roman" w:hAnsi="Times New Roman" w:eastAsia="仿宋_GB2312" w:cs="Times New Roman"/>
          <w:b w:val="0"/>
          <w:bCs w:val="0"/>
          <w:sz w:val="32"/>
          <w:szCs w:val="32"/>
        </w:rPr>
        <w:t>。</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基层防疫体系薄弱；预算编制不够细化</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强化防疫体系与基层能力；优化资金管理</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widowControl/>
        <w:jc w:val="left"/>
        <w:rPr>
          <w:rFonts w:ascii="Times New Roman" w:hAnsi="Times New Roman" w:cs="Times New Roman"/>
          <w:color w:val="000000"/>
          <w:kern w:val="0"/>
          <w:sz w:val="32"/>
          <w:szCs w:val="32"/>
        </w:rPr>
      </w:pPr>
      <w:bookmarkStart w:id="3" w:name="_GoBack"/>
      <w:bookmarkEnd w:id="3"/>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一、财政拨款收入：指财政当年拨付的资金。包括一般公共预算财政拨款和政府性基金预算财政拨款。</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二、上级补助收入：指事业单位从主管部门和上级单位取得的非财政补助收入。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三、事业收入：指事业单位开展专业业务活动及辅助活动所取得的收入。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四、经营收入：指事业单位在专业业务活动及其辅助活动之外开展非独立核算经营活动取得的收入。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五、附属单位上缴收入：指事业单位附属独立核算单位按照有关规定上缴的收入。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六、其他收入：指除上述“财政拨款收入”、“事业收入”、“经营收入”等以外的收入。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七、基本支出：指为保障机构正常运转、完成日常工作任务而发生的各项支出，包括人员支出和公用支出。  </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八、项目支出：指在基本支出以外为完成相关行政任务和事业发展目标所发生的各项支出。  </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九、“三公”经费：指通过财政拨款资金安排的因公出国（境）费、公务用车购置及运行费和公务接待费支出。  </w:t>
      </w:r>
    </w:p>
    <w:p>
      <w:pPr>
        <w:widowControl/>
        <w:spacing w:line="600" w:lineRule="exact"/>
        <w:ind w:firstLine="640" w:firstLineChars="200"/>
        <w:jc w:val="left"/>
        <w:rPr>
          <w:rFonts w:hint="eastAsia" w:ascii="宋体" w:hAnsi="宋体" w:eastAsia="宋体"/>
          <w:sz w:val="32"/>
          <w:szCs w:val="32"/>
          <w:lang w:val="en-US" w:eastAsia="zh-CN"/>
        </w:rPr>
      </w:pPr>
      <w:r>
        <w:rPr>
          <w:rFonts w:hint="eastAsia" w:eastAsia="仿宋_GB2312"/>
          <w:kern w:val="0"/>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5"/>
        <w:ind w:firstLine="1280" w:firstLineChars="400"/>
        <w:rPr>
          <w:rFonts w:ascii="Times New Roman" w:hAnsi="Times New Roman" w:cs="Times New Roman"/>
          <w:color w:val="000000"/>
          <w:kern w:val="0"/>
          <w:sz w:val="32"/>
          <w:szCs w:val="32"/>
        </w:rPr>
      </w:pPr>
      <w:r>
        <w:rPr>
          <w:rFonts w:ascii="Times New Roman" w:hAnsi="Times New Roman" w:eastAsia="仿宋_GB2312" w:cs="Times New Roman"/>
          <w:sz w:val="32"/>
          <w:szCs w:val="32"/>
        </w:rPr>
        <w:t>………</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9A2289-C400-4B96-B882-395A93EB8C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79AFAE0D-C8F4-4CCC-B381-3B671E23C3A8}"/>
  </w:font>
  <w:font w:name="仿宋_GB2312">
    <w:panose1 w:val="02010609030101010101"/>
    <w:charset w:val="86"/>
    <w:family w:val="auto"/>
    <w:pitch w:val="default"/>
    <w:sig w:usb0="00000001" w:usb1="080E0000" w:usb2="00000000" w:usb3="00000000" w:csb0="00040000" w:csb1="00000000"/>
    <w:embedRegular r:id="rId3" w:fontKey="{223E009C-0593-4E41-9323-A4D67224921F}"/>
  </w:font>
  <w:font w:name="仿宋">
    <w:panose1 w:val="02010609060101010101"/>
    <w:charset w:val="86"/>
    <w:family w:val="auto"/>
    <w:pitch w:val="default"/>
    <w:sig w:usb0="800002BF" w:usb1="38CF7CFA" w:usb2="00000016" w:usb3="00000000" w:csb0="00040001" w:csb1="00000000"/>
    <w:embedRegular r:id="rId4" w:fontKey="{B9E52F56-E423-4F68-9FD0-ACAF5F1014C1}"/>
  </w:font>
  <w:font w:name="华文中宋">
    <w:altName w:val="宋体"/>
    <w:panose1 w:val="00000000000000000000"/>
    <w:charset w:val="86"/>
    <w:family w:val="auto"/>
    <w:pitch w:val="default"/>
    <w:sig w:usb0="00000000" w:usb1="00000000" w:usb2="00000010" w:usb3="00000000" w:csb0="0004009F" w:csb1="00000000"/>
    <w:embedRegular r:id="rId5" w:fontKey="{09EA86B4-CCE9-4589-9ABF-15A638A80FE9}"/>
  </w:font>
  <w:font w:name="楷体_GB2312">
    <w:panose1 w:val="02010609030101010101"/>
    <w:charset w:val="86"/>
    <w:family w:val="auto"/>
    <w:pitch w:val="default"/>
    <w:sig w:usb0="00000001" w:usb1="080E0000" w:usb2="00000000" w:usb3="00000000" w:csb0="00040000" w:csb1="00000000"/>
    <w:embedRegular r:id="rId6" w:fontKey="{2EC0E64C-D496-4D0A-93D4-3B6049A70142}"/>
  </w:font>
  <w:font w:name="楷体">
    <w:panose1 w:val="02010609060101010101"/>
    <w:charset w:val="86"/>
    <w:family w:val="modern"/>
    <w:pitch w:val="default"/>
    <w:sig w:usb0="800002BF" w:usb1="38CF7CFA" w:usb2="00000016" w:usb3="00000000" w:csb0="00040001" w:csb1="00000000"/>
    <w:embedRegular r:id="rId7" w:fontKey="{D3027300-4BE8-4149-9839-0AFDB02C21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文本框 5" o:spid="_x0000_s11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1032"/>
    <w:rsid w:val="00021032"/>
    <w:rsid w:val="000412A7"/>
    <w:rsid w:val="00333BC6"/>
    <w:rsid w:val="296C2CA5"/>
    <w:rsid w:val="351F7AFD"/>
    <w:rsid w:val="46963997"/>
    <w:rsid w:val="52D44157"/>
    <w:rsid w:val="59CA3298"/>
    <w:rsid w:val="5CC145C6"/>
    <w:rsid w:val="65046244"/>
    <w:rsid w:val="656E7B61"/>
    <w:rsid w:val="66B70123"/>
    <w:rsid w:val="74026044"/>
    <w:rsid w:val="762C2AB6"/>
    <w:rsid w:val="7E25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table" w:styleId="9">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style>
  <w:style w:type="paragraph" w:customStyle="1" w:styleId="10">
    <w:name w:val="Footnote Text"/>
    <w:basedOn w:val="1"/>
    <w:next w:val="5"/>
    <w:semiHidden/>
    <w:qFormat/>
    <w:uiPriority w:val="0"/>
    <w:pPr>
      <w:snapToGrid w:val="0"/>
      <w:jc w:val="left"/>
    </w:pPr>
    <w:rPr>
      <w:sz w:val="18"/>
      <w:szCs w:val="18"/>
    </w:rPr>
  </w:style>
  <w:style w:type="paragraph" w:customStyle="1" w:styleId="11">
    <w:name w:val="Footer"/>
    <w:basedOn w:val="1"/>
    <w:link w:val="14"/>
    <w:unhideWhenUsed/>
    <w:qFormat/>
    <w:uiPriority w:val="99"/>
    <w:pPr>
      <w:tabs>
        <w:tab w:val="center" w:pos="4153"/>
        <w:tab w:val="right" w:pos="8306"/>
      </w:tabs>
      <w:snapToGrid w:val="0"/>
      <w:jc w:val="left"/>
    </w:pPr>
    <w:rPr>
      <w:sz w:val="18"/>
      <w:szCs w:val="18"/>
    </w:rPr>
  </w:style>
  <w:style w:type="paragraph" w:customStyle="1" w:styleId="12">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7"/>
    <w:link w:val="12"/>
    <w:qFormat/>
    <w:uiPriority w:val="99"/>
    <w:rPr>
      <w:sz w:val="18"/>
      <w:szCs w:val="18"/>
    </w:rPr>
  </w:style>
  <w:style w:type="character" w:customStyle="1" w:styleId="14">
    <w:name w:val="页脚 Char"/>
    <w:basedOn w:val="7"/>
    <w:link w:val="11"/>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7"/>
    <w:link w:val="6"/>
    <w:semiHidden/>
    <w:qFormat/>
    <w:uiPriority w:val="99"/>
    <w:rPr>
      <w:sz w:val="18"/>
      <w:szCs w:val="18"/>
    </w:rPr>
  </w:style>
  <w:style w:type="character" w:customStyle="1" w:styleId="18">
    <w:name w:val="font01"/>
    <w:basedOn w:val="7"/>
    <w:qFormat/>
    <w:uiPriority w:val="0"/>
    <w:rPr>
      <w:rFonts w:hint="eastAsia" w:ascii="宋体" w:hAnsi="宋体" w:eastAsia="宋体" w:cs="宋体"/>
      <w:color w:val="000000"/>
      <w:sz w:val="22"/>
      <w:szCs w:val="22"/>
      <w:u w:val="none"/>
    </w:rPr>
  </w:style>
  <w:style w:type="character" w:customStyle="1" w:styleId="19">
    <w:name w:val="font21"/>
    <w:basedOn w:val="7"/>
    <w:qFormat/>
    <w:uiPriority w:val="0"/>
    <w:rPr>
      <w:rFonts w:hint="eastAsia" w:ascii="宋体" w:hAnsi="宋体" w:eastAsia="宋体" w:cs="宋体"/>
      <w:color w:val="000000"/>
      <w:sz w:val="24"/>
      <w:szCs w:val="24"/>
      <w:u w:val="none"/>
    </w:rPr>
  </w:style>
  <w:style w:type="character" w:customStyle="1" w:styleId="20">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130"/>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EEC21-53ED-4DC9-864B-68EA24E53C17}">
  <ds:schemaRefs/>
</ds:datastoreItem>
</file>

<file path=customXml/itemProps3.xml><?xml version="1.0" encoding="utf-8"?>
<ds:datastoreItem xmlns:ds="http://schemas.openxmlformats.org/officeDocument/2006/customXml" ds:itemID="{6BEB7D58-4102-442C-9B62-074A31B47389}">
  <ds:schemaRefs/>
</ds:datastoreItem>
</file>

<file path=customXml/itemProps4.xml><?xml version="1.0" encoding="utf-8"?>
<ds:datastoreItem xmlns:ds="http://schemas.openxmlformats.org/officeDocument/2006/customXml" ds:itemID="{FF9A1073-4C3A-45A1-928D-FA3C992C90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1925</Words>
  <Characters>2482</Characters>
  <Lines>69</Lines>
  <Paragraphs>19</Paragraphs>
  <TotalTime>0</TotalTime>
  <ScaleCrop>false</ScaleCrop>
  <LinksUpToDate>false</LinksUpToDate>
  <CharactersWithSpaces>2876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2025-08-24T02:44:00Z</dcterms:created>
  <dc:creator>李航 null</dc:creator>
  <cp:lastModifiedBy>Administrator</cp:lastModifiedBy>
  <cp:lastPrinted>2024-08-08T18:20:00Z</cp:lastPrinted>
  <dcterms:modified xsi:type="dcterms:W3CDTF">2025-09-18T01:34:27Z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eyJoZGlkIjoiY2RlNDI2MDU5MjRkODU5MWZkZTFhOWUzZWQ2OTA1NzUifQ==</vt:lpwstr>
  </property>
</Properties>
</file>