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0A52E">
      <w:pPr>
        <w:pageBreakBefore w:val="0"/>
        <w:shd w:val="clear" w:color="auto"/>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bCs/>
          <w:color w:val="auto"/>
          <w:sz w:val="40"/>
          <w:szCs w:val="40"/>
          <w:lang w:val="en-US" w:eastAsia="zh-CN"/>
        </w:rPr>
      </w:pPr>
      <w:r>
        <w:rPr>
          <w:rFonts w:hint="eastAsia" w:ascii="方正小标宋简体" w:hAnsi="方正小标宋简体" w:eastAsia="方正小标宋简体" w:cs="方正小标宋简体"/>
          <w:b/>
          <w:bCs/>
          <w:color w:val="auto"/>
          <w:sz w:val="40"/>
          <w:szCs w:val="40"/>
          <w:lang w:val="en-US" w:eastAsia="zh-CN"/>
        </w:rPr>
        <w:t>蓝山县文化旅游广电体育局</w:t>
      </w:r>
    </w:p>
    <w:p w14:paraId="4FEF5E2B">
      <w:pPr>
        <w:pageBreakBefore w:val="0"/>
        <w:shd w:val="clear" w:color="auto"/>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bCs/>
          <w:color w:val="auto"/>
          <w:sz w:val="40"/>
          <w:szCs w:val="40"/>
        </w:rPr>
      </w:pPr>
      <w:r>
        <w:rPr>
          <w:rFonts w:hint="eastAsia" w:ascii="方正小标宋简体" w:hAnsi="方正小标宋简体" w:eastAsia="方正小标宋简体" w:cs="方正小标宋简体"/>
          <w:b/>
          <w:bCs/>
          <w:color w:val="auto"/>
          <w:sz w:val="40"/>
          <w:szCs w:val="40"/>
          <w:lang w:val="en-US" w:eastAsia="zh-CN"/>
        </w:rPr>
        <w:t>2024</w:t>
      </w:r>
      <w:r>
        <w:rPr>
          <w:rFonts w:hint="eastAsia" w:ascii="方正小标宋简体" w:hAnsi="方正小标宋简体" w:eastAsia="方正小标宋简体" w:cs="方正小标宋简体"/>
          <w:b/>
          <w:bCs/>
          <w:color w:val="auto"/>
          <w:sz w:val="40"/>
          <w:szCs w:val="40"/>
        </w:rPr>
        <w:t>年度部门整体支出绩效评价情况报告</w:t>
      </w:r>
    </w:p>
    <w:p w14:paraId="74635A38">
      <w:pPr>
        <w:pageBreakBefore w:val="0"/>
        <w:shd w:val="clear" w:color="auto"/>
        <w:kinsoku/>
        <w:wordWrap/>
        <w:overflowPunct/>
        <w:topLinePunct w:val="0"/>
        <w:autoSpaceDE/>
        <w:autoSpaceDN/>
        <w:bidi w:val="0"/>
        <w:adjustRightInd/>
        <w:snapToGrid/>
        <w:spacing w:line="240" w:lineRule="auto"/>
        <w:textAlignment w:val="auto"/>
        <w:rPr>
          <w:rFonts w:ascii="仿宋_GB2312" w:hAnsi="仿宋_GB2312" w:eastAsia="仿宋_GB2312" w:cs="仿宋_GB2312"/>
          <w:b/>
          <w:bCs/>
          <w:color w:val="3F3F3F"/>
          <w:sz w:val="32"/>
          <w:szCs w:val="32"/>
        </w:rPr>
      </w:pPr>
    </w:p>
    <w:p w14:paraId="15DF7D45">
      <w:pPr>
        <w:pageBreakBefore w:val="0"/>
        <w:shd w:val="clear" w:color="auto"/>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为进一步规范财政资金管理，牢固树立预算绩效理念，强化支出责任，提高财政资金使用效益，我们根据《蓝山县关于全面推进预算绩效管理的实施意见》，结合我</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的具体情况，认真组织开展了</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年度部门绩效自评工作，现将我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年度部门整体支出绩效评价情况报告如下：</w:t>
      </w:r>
    </w:p>
    <w:p w14:paraId="1C25A488">
      <w:pPr>
        <w:pStyle w:val="8"/>
        <w:pageBreakBefore w:val="0"/>
        <w:numPr>
          <w:ilvl w:val="0"/>
          <w:numId w:val="1"/>
        </w:numPr>
        <w:shd w:val="clear" w:color="auto"/>
        <w:kinsoku/>
        <w:wordWrap/>
        <w:overflowPunct/>
        <w:topLinePunct w:val="0"/>
        <w:autoSpaceDE/>
        <w:autoSpaceDN/>
        <w:bidi w:val="0"/>
        <w:adjustRightInd/>
        <w:snapToGrid/>
        <w:spacing w:line="240" w:lineRule="auto"/>
        <w:ind w:firstLineChars="0"/>
        <w:textAlignment w:val="auto"/>
        <w:rPr>
          <w:rFonts w:hint="eastAsia" w:ascii="黑体" w:hAnsi="黑体" w:eastAsia="黑体" w:cs="黑体"/>
          <w:b/>
          <w:bCs/>
          <w:sz w:val="32"/>
          <w:szCs w:val="32"/>
        </w:rPr>
      </w:pPr>
      <w:r>
        <w:rPr>
          <w:rFonts w:hint="eastAsia" w:ascii="黑体" w:hAnsi="黑体" w:eastAsia="黑体" w:cs="黑体"/>
          <w:b/>
          <w:bCs/>
          <w:sz w:val="32"/>
          <w:szCs w:val="32"/>
        </w:rPr>
        <w:t>单位概况</w:t>
      </w:r>
    </w:p>
    <w:p w14:paraId="213EDCCB">
      <w:pPr>
        <w:pStyle w:val="8"/>
        <w:pageBreakBefore w:val="0"/>
        <w:numPr>
          <w:ilvl w:val="0"/>
          <w:numId w:val="0"/>
        </w:numPr>
        <w:shd w:val="clear" w:color="auto"/>
        <w:kinsoku/>
        <w:wordWrap/>
        <w:overflowPunct/>
        <w:topLinePunct w:val="0"/>
        <w:autoSpaceDE/>
        <w:autoSpaceDN/>
        <w:bidi w:val="0"/>
        <w:adjustRightInd/>
        <w:snapToGrid/>
        <w:spacing w:line="240" w:lineRule="auto"/>
        <w:ind w:left="640" w:leftChars="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基本情况</w:t>
      </w:r>
    </w:p>
    <w:p w14:paraId="3AA8A72F">
      <w:pPr>
        <w:pageBreakBefore w:val="0"/>
        <w:widowControl/>
        <w:shd w:val="clear"/>
        <w:kinsoku/>
        <w:wordWrap/>
        <w:overflowPunct/>
        <w:topLinePunct w:val="0"/>
        <w:autoSpaceDE/>
        <w:autoSpaceDN/>
        <w:bidi w:val="0"/>
        <w:adjustRightInd/>
        <w:snapToGrid/>
        <w:spacing w:line="240" w:lineRule="auto"/>
        <w:ind w:firstLine="627" w:firstLineChars="196"/>
        <w:jc w:val="left"/>
        <w:textAlignment w:val="auto"/>
        <w:rPr>
          <w:rFonts w:hint="eastAsia" w:eastAsia="仿宋_GB2312"/>
          <w:b w:val="0"/>
          <w:sz w:val="32"/>
          <w:szCs w:val="32"/>
        </w:rPr>
      </w:pPr>
      <w:r>
        <w:rPr>
          <w:rFonts w:hint="eastAsia" w:ascii="Times New Roman" w:hAnsi="Times New Roman" w:eastAsia="仿宋_GB2312"/>
          <w:bCs/>
          <w:kern w:val="0"/>
          <w:sz w:val="32"/>
          <w:szCs w:val="32"/>
        </w:rPr>
        <w:t>本</w:t>
      </w:r>
      <w:r>
        <w:rPr>
          <w:rFonts w:eastAsia="仿宋_GB2312"/>
          <w:bCs/>
          <w:kern w:val="0"/>
          <w:sz w:val="32"/>
          <w:szCs w:val="32"/>
        </w:rPr>
        <w:t>单位内设机构包括：</w:t>
      </w:r>
      <w:r>
        <w:rPr>
          <w:rFonts w:hint="eastAsia" w:eastAsia="仿宋_GB2312"/>
          <w:sz w:val="32"/>
          <w:szCs w:val="32"/>
          <w:lang w:eastAsia="zh-CN"/>
        </w:rPr>
        <w:t>蓝山县文化旅游广电体育局</w:t>
      </w:r>
      <w:r>
        <w:rPr>
          <w:rFonts w:eastAsia="仿宋_GB2312"/>
          <w:bCs/>
          <w:kern w:val="0"/>
          <w:sz w:val="32"/>
          <w:szCs w:val="32"/>
        </w:rPr>
        <w:t>内设机构包括：</w:t>
      </w:r>
      <w:r>
        <w:rPr>
          <w:rFonts w:hint="eastAsia" w:eastAsia="仿宋_GB2312"/>
          <w:bCs/>
          <w:kern w:val="0"/>
          <w:sz w:val="32"/>
          <w:szCs w:val="32"/>
          <w:lang w:eastAsia="zh-CN"/>
        </w:rPr>
        <w:t>股室7个（</w:t>
      </w:r>
      <w:r>
        <w:rPr>
          <w:rFonts w:ascii="仿宋_GB2312" w:hAnsi="仿宋" w:eastAsia="仿宋_GB2312" w:cs="仿宋_GB2312"/>
          <w:i w:val="0"/>
          <w:iCs w:val="0"/>
          <w:caps w:val="0"/>
          <w:color w:val="000000"/>
          <w:spacing w:val="0"/>
          <w:sz w:val="30"/>
          <w:szCs w:val="30"/>
        </w:rPr>
        <w:t>综合办公室</w:t>
      </w:r>
      <w:r>
        <w:rPr>
          <w:rFonts w:hint="eastAsia" w:ascii="仿宋_GB2312" w:hAnsi="仿宋" w:eastAsia="仿宋_GB2312" w:cs="仿宋_GB2312"/>
          <w:i w:val="0"/>
          <w:iCs w:val="0"/>
          <w:caps w:val="0"/>
          <w:color w:val="000000"/>
          <w:spacing w:val="0"/>
          <w:sz w:val="30"/>
          <w:szCs w:val="30"/>
          <w:lang w:eastAsia="zh-CN"/>
        </w:rPr>
        <w:t>、</w:t>
      </w:r>
      <w:r>
        <w:rPr>
          <w:rFonts w:ascii="仿宋_GB2312" w:hAnsi="仿宋" w:eastAsia="仿宋_GB2312" w:cs="仿宋_GB2312"/>
          <w:i w:val="0"/>
          <w:iCs w:val="0"/>
          <w:caps w:val="0"/>
          <w:color w:val="000000"/>
          <w:spacing w:val="0"/>
          <w:sz w:val="30"/>
          <w:szCs w:val="30"/>
        </w:rPr>
        <w:t>政工室</w:t>
      </w:r>
      <w:r>
        <w:rPr>
          <w:rFonts w:hint="eastAsia" w:ascii="仿宋_GB2312" w:hAnsi="仿宋" w:eastAsia="仿宋_GB2312" w:cs="仿宋_GB2312"/>
          <w:i w:val="0"/>
          <w:iCs w:val="0"/>
          <w:caps w:val="0"/>
          <w:color w:val="000000"/>
          <w:spacing w:val="0"/>
          <w:sz w:val="30"/>
          <w:szCs w:val="30"/>
          <w:lang w:eastAsia="zh-CN"/>
        </w:rPr>
        <w:t>、</w:t>
      </w:r>
      <w:r>
        <w:rPr>
          <w:rFonts w:hint="default" w:ascii="仿宋_GB2312" w:hAnsi="仿宋" w:eastAsia="仿宋_GB2312" w:cs="仿宋_GB2312"/>
          <w:i w:val="0"/>
          <w:iCs w:val="0"/>
          <w:caps w:val="0"/>
          <w:color w:val="000000"/>
          <w:spacing w:val="0"/>
          <w:sz w:val="30"/>
          <w:szCs w:val="30"/>
        </w:rPr>
        <w:t>市场监管股</w:t>
      </w:r>
      <w:r>
        <w:rPr>
          <w:rFonts w:hint="eastAsia" w:ascii="仿宋_GB2312" w:hAnsi="仿宋" w:eastAsia="仿宋_GB2312" w:cs="仿宋_GB2312"/>
          <w:i w:val="0"/>
          <w:iCs w:val="0"/>
          <w:caps w:val="0"/>
          <w:color w:val="000000"/>
          <w:spacing w:val="0"/>
          <w:sz w:val="30"/>
          <w:szCs w:val="30"/>
          <w:lang w:eastAsia="zh-CN"/>
        </w:rPr>
        <w:t>、</w:t>
      </w:r>
      <w:r>
        <w:rPr>
          <w:rFonts w:hint="default" w:ascii="仿宋_GB2312" w:hAnsi="仿宋" w:eastAsia="仿宋_GB2312" w:cs="仿宋_GB2312"/>
          <w:i w:val="0"/>
          <w:iCs w:val="0"/>
          <w:caps w:val="0"/>
          <w:color w:val="000000"/>
          <w:spacing w:val="0"/>
          <w:sz w:val="30"/>
          <w:szCs w:val="30"/>
        </w:rPr>
        <w:t>文化艺术股</w:t>
      </w:r>
      <w:r>
        <w:rPr>
          <w:rFonts w:hint="eastAsia" w:ascii="仿宋_GB2312" w:hAnsi="仿宋" w:eastAsia="仿宋_GB2312" w:cs="仿宋_GB2312"/>
          <w:i w:val="0"/>
          <w:iCs w:val="0"/>
          <w:caps w:val="0"/>
          <w:color w:val="000000"/>
          <w:spacing w:val="0"/>
          <w:sz w:val="30"/>
          <w:szCs w:val="30"/>
          <w:lang w:eastAsia="zh-CN"/>
        </w:rPr>
        <w:t>、</w:t>
      </w:r>
      <w:r>
        <w:rPr>
          <w:rFonts w:hint="default" w:ascii="仿宋_GB2312" w:hAnsi="仿宋" w:eastAsia="仿宋_GB2312" w:cs="仿宋_GB2312"/>
          <w:i w:val="0"/>
          <w:iCs w:val="0"/>
          <w:caps w:val="0"/>
          <w:color w:val="000000"/>
          <w:spacing w:val="0"/>
          <w:sz w:val="30"/>
          <w:szCs w:val="30"/>
        </w:rPr>
        <w:t>体育股</w:t>
      </w:r>
      <w:r>
        <w:rPr>
          <w:rFonts w:hint="eastAsia" w:ascii="仿宋_GB2312" w:hAnsi="仿宋" w:eastAsia="仿宋_GB2312" w:cs="仿宋_GB2312"/>
          <w:i w:val="0"/>
          <w:iCs w:val="0"/>
          <w:caps w:val="0"/>
          <w:color w:val="000000"/>
          <w:spacing w:val="0"/>
          <w:sz w:val="30"/>
          <w:szCs w:val="30"/>
          <w:lang w:eastAsia="zh-CN"/>
        </w:rPr>
        <w:t>、广电事业股、</w:t>
      </w:r>
      <w:r>
        <w:rPr>
          <w:rFonts w:hint="default" w:ascii="仿宋_GB2312" w:hAnsi="仿宋" w:eastAsia="仿宋_GB2312" w:cs="仿宋_GB2312"/>
          <w:i w:val="0"/>
          <w:iCs w:val="0"/>
          <w:caps w:val="0"/>
          <w:color w:val="000000"/>
          <w:spacing w:val="0"/>
          <w:sz w:val="30"/>
          <w:szCs w:val="30"/>
        </w:rPr>
        <w:t>旅游文物股</w:t>
      </w:r>
      <w:r>
        <w:rPr>
          <w:rFonts w:hint="eastAsia" w:ascii="仿宋_GB2312" w:hAnsi="仿宋" w:eastAsia="仿宋_GB2312" w:cs="仿宋_GB2312"/>
          <w:i w:val="0"/>
          <w:iCs w:val="0"/>
          <w:caps w:val="0"/>
          <w:color w:val="000000"/>
          <w:spacing w:val="0"/>
          <w:sz w:val="30"/>
          <w:szCs w:val="30"/>
          <w:lang w:eastAsia="zh-CN"/>
        </w:rPr>
        <w:t>）</w:t>
      </w:r>
      <w:r>
        <w:rPr>
          <w:rFonts w:hint="eastAsia" w:eastAsia="仿宋_GB2312"/>
          <w:bCs/>
          <w:kern w:val="0"/>
          <w:sz w:val="32"/>
          <w:szCs w:val="32"/>
          <w:lang w:eastAsia="zh-CN"/>
        </w:rPr>
        <w:t>，</w:t>
      </w:r>
      <w:r>
        <w:rPr>
          <w:rFonts w:hint="default" w:eastAsia="仿宋_GB2312"/>
          <w:bCs/>
          <w:kern w:val="0"/>
          <w:sz w:val="32"/>
          <w:szCs w:val="32"/>
          <w:lang w:eastAsia="zh-CN"/>
        </w:rPr>
        <w:t>下属单位6个</w:t>
      </w:r>
      <w:r>
        <w:rPr>
          <w:rFonts w:hint="eastAsia" w:eastAsia="仿宋_GB2312"/>
          <w:bCs/>
          <w:kern w:val="0"/>
          <w:sz w:val="32"/>
          <w:szCs w:val="32"/>
          <w:lang w:eastAsia="zh-CN"/>
        </w:rPr>
        <w:t>（</w:t>
      </w:r>
      <w:r>
        <w:rPr>
          <w:rFonts w:ascii="仿宋_GB2312" w:hAnsi="仿宋" w:eastAsia="仿宋_GB2312" w:cs="仿宋_GB2312"/>
          <w:i w:val="0"/>
          <w:iCs w:val="0"/>
          <w:caps w:val="0"/>
          <w:color w:val="000000"/>
          <w:spacing w:val="0"/>
          <w:sz w:val="30"/>
          <w:szCs w:val="30"/>
        </w:rPr>
        <w:t>文化馆、图书馆、文物所、</w:t>
      </w:r>
      <w:r>
        <w:rPr>
          <w:rFonts w:hint="default" w:ascii="仿宋_GB2312" w:hAnsi="仿宋" w:eastAsia="仿宋_GB2312" w:cs="仿宋_GB2312"/>
          <w:i w:val="0"/>
          <w:iCs w:val="0"/>
          <w:caps w:val="0"/>
          <w:color w:val="000000"/>
          <w:spacing w:val="0"/>
          <w:sz w:val="30"/>
          <w:szCs w:val="30"/>
        </w:rPr>
        <w:t>旅游发展服务中心</w:t>
      </w:r>
      <w:r>
        <w:rPr>
          <w:rFonts w:hint="eastAsia" w:ascii="仿宋_GB2312" w:hAnsi="仿宋" w:eastAsia="仿宋_GB2312" w:cs="仿宋_GB2312"/>
          <w:i w:val="0"/>
          <w:iCs w:val="0"/>
          <w:caps w:val="0"/>
          <w:color w:val="000000"/>
          <w:spacing w:val="0"/>
          <w:sz w:val="30"/>
          <w:szCs w:val="30"/>
          <w:lang w:eastAsia="zh-CN"/>
        </w:rPr>
        <w:t>、</w:t>
      </w:r>
      <w:r>
        <w:rPr>
          <w:rFonts w:hint="default" w:ascii="仿宋_GB2312" w:hAnsi="仿宋" w:eastAsia="仿宋_GB2312" w:cs="仿宋_GB2312"/>
          <w:i w:val="0"/>
          <w:iCs w:val="0"/>
          <w:caps w:val="0"/>
          <w:color w:val="000000"/>
          <w:spacing w:val="0"/>
          <w:sz w:val="30"/>
          <w:szCs w:val="30"/>
        </w:rPr>
        <w:t>体校</w:t>
      </w:r>
      <w:r>
        <w:rPr>
          <w:rFonts w:hint="eastAsia" w:ascii="仿宋_GB2312" w:hAnsi="仿宋" w:eastAsia="仿宋_GB2312" w:cs="仿宋_GB2312"/>
          <w:i w:val="0"/>
          <w:iCs w:val="0"/>
          <w:caps w:val="0"/>
          <w:color w:val="000000"/>
          <w:spacing w:val="0"/>
          <w:sz w:val="30"/>
          <w:szCs w:val="30"/>
          <w:lang w:eastAsia="zh-CN"/>
        </w:rPr>
        <w:t>、</w:t>
      </w:r>
      <w:r>
        <w:rPr>
          <w:rFonts w:hint="default" w:ascii="仿宋_GB2312" w:hAnsi="仿宋" w:eastAsia="仿宋_GB2312" w:cs="仿宋_GB2312"/>
          <w:i w:val="0"/>
          <w:iCs w:val="0"/>
          <w:caps w:val="0"/>
          <w:color w:val="000000"/>
          <w:spacing w:val="0"/>
          <w:sz w:val="30"/>
          <w:szCs w:val="30"/>
        </w:rPr>
        <w:t>全民健身中心</w:t>
      </w:r>
      <w:r>
        <w:rPr>
          <w:rFonts w:hint="eastAsia" w:ascii="仿宋_GB2312" w:hAnsi="仿宋" w:eastAsia="仿宋_GB2312" w:cs="仿宋_GB2312"/>
          <w:i w:val="0"/>
          <w:iCs w:val="0"/>
          <w:caps w:val="0"/>
          <w:color w:val="000000"/>
          <w:spacing w:val="0"/>
          <w:sz w:val="30"/>
          <w:szCs w:val="30"/>
          <w:lang w:eastAsia="zh-CN"/>
        </w:rPr>
        <w:t>）。</w:t>
      </w:r>
    </w:p>
    <w:p w14:paraId="496C855C">
      <w:pPr>
        <w:pStyle w:val="8"/>
        <w:pageBreakBefore w:val="0"/>
        <w:numPr>
          <w:ilvl w:val="0"/>
          <w:numId w:val="0"/>
        </w:numPr>
        <w:shd w:val="clear" w:color="auto"/>
        <w:kinsoku/>
        <w:wordWrap/>
        <w:overflowPunct/>
        <w:topLinePunct w:val="0"/>
        <w:autoSpaceDE/>
        <w:autoSpaceDN/>
        <w:bidi w:val="0"/>
        <w:adjustRightInd/>
        <w:snapToGrid/>
        <w:spacing w:line="240" w:lineRule="auto"/>
        <w:ind w:left="640" w:leftChars="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（二）当年取得的主要事业成效</w:t>
      </w:r>
    </w:p>
    <w:p w14:paraId="38F4A0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Style w:val="7"/>
          <w:rFonts w:hint="eastAsia" w:ascii="楷体_GB2312" w:hAnsi="楷体_GB2312" w:eastAsia="楷体_GB2312" w:cs="楷体_GB2312"/>
          <w:b w:val="0"/>
          <w:bCs/>
          <w:i w:val="0"/>
          <w:iCs w:val="0"/>
          <w:caps w:val="0"/>
          <w:color w:val="000000"/>
          <w:spacing w:val="0"/>
          <w:sz w:val="32"/>
          <w:szCs w:val="32"/>
          <w:shd w:val="clear" w:fill="FFFFFF"/>
          <w:lang w:val="en-US" w:eastAsia="zh-CN"/>
        </w:rPr>
        <w:t>1、</w:t>
      </w:r>
      <w:r>
        <w:rPr>
          <w:rStyle w:val="7"/>
          <w:rFonts w:hint="eastAsia" w:ascii="楷体_GB2312" w:hAnsi="楷体_GB2312" w:eastAsia="楷体_GB2312" w:cs="楷体_GB2312"/>
          <w:b w:val="0"/>
          <w:bCs/>
          <w:i w:val="0"/>
          <w:iCs w:val="0"/>
          <w:caps w:val="0"/>
          <w:color w:val="000000"/>
          <w:spacing w:val="0"/>
          <w:sz w:val="32"/>
          <w:szCs w:val="32"/>
          <w:shd w:val="clear" w:fill="FFFFFF"/>
        </w:rPr>
        <w:t>聚焦党员素质教育需求，全面提升基层党建管理效能。</w:t>
      </w:r>
      <w:r>
        <w:rPr>
          <w:rStyle w:val="7"/>
          <w:rFonts w:hint="eastAsia" w:ascii="仿宋_GB2312" w:hAnsi="仿宋_GB2312" w:eastAsia="仿宋_GB2312" w:cs="仿宋_GB2312"/>
          <w:i w:val="0"/>
          <w:iCs w:val="0"/>
          <w:caps w:val="0"/>
          <w:color w:val="000000"/>
          <w:spacing w:val="0"/>
          <w:sz w:val="32"/>
          <w:szCs w:val="32"/>
          <w:highlight w:val="none"/>
          <w:shd w:val="clear" w:fill="FFFFFF"/>
        </w:rPr>
        <w:t>一是</w:t>
      </w:r>
      <w:r>
        <w:rPr>
          <w:rFonts w:hint="eastAsia" w:ascii="仿宋_GB2312" w:hAnsi="仿宋_GB2312" w:eastAsia="仿宋_GB2312" w:cs="仿宋_GB2312"/>
          <w:i w:val="0"/>
          <w:iCs w:val="0"/>
          <w:caps w:val="0"/>
          <w:color w:val="000000"/>
          <w:spacing w:val="0"/>
          <w:sz w:val="32"/>
          <w:szCs w:val="32"/>
          <w:highlight w:val="none"/>
          <w:shd w:val="clear" w:fill="FFFFFF"/>
        </w:rPr>
        <w:t>始终坚持以习近平新时代中国特色社会主义思想为指导，深入学习贯彻落实习近平总书记重要讲话精神和重要指示批示精神，不折不扣贯彻落实党</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省市县</w:t>
      </w:r>
      <w:r>
        <w:rPr>
          <w:rFonts w:hint="eastAsia" w:ascii="仿宋_GB2312" w:hAnsi="仿宋_GB2312" w:eastAsia="仿宋_GB2312" w:cs="仿宋_GB2312"/>
          <w:i w:val="0"/>
          <w:iCs w:val="0"/>
          <w:caps w:val="0"/>
          <w:color w:val="000000"/>
          <w:spacing w:val="0"/>
          <w:sz w:val="32"/>
          <w:szCs w:val="32"/>
          <w:highlight w:val="none"/>
          <w:shd w:val="clear" w:fill="FFFFFF"/>
        </w:rPr>
        <w:t>各项决策部署，坚持把思想政治建设摆在首位。</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全年召开专题民主生活会和组织生活会1次、支部委员会12次、党员大会4次、主题党日活动10次，切实增强全员思想政治素质。</w:t>
      </w:r>
      <w:r>
        <w:rPr>
          <w:rStyle w:val="7"/>
          <w:rFonts w:hint="eastAsia" w:ascii="仿宋_GB2312" w:hAnsi="仿宋_GB2312" w:eastAsia="仿宋_GB2312" w:cs="仿宋_GB2312"/>
          <w:i w:val="0"/>
          <w:iCs w:val="0"/>
          <w:caps w:val="0"/>
          <w:color w:val="000000"/>
          <w:spacing w:val="0"/>
          <w:sz w:val="32"/>
          <w:szCs w:val="32"/>
          <w:highlight w:val="none"/>
          <w:shd w:val="clear" w:fill="FFFFFF"/>
        </w:rPr>
        <w:t>二是</w:t>
      </w:r>
      <w:r>
        <w:rPr>
          <w:rFonts w:hint="eastAsia" w:ascii="仿宋_GB2312" w:hAnsi="仿宋_GB2312" w:eastAsia="仿宋_GB2312" w:cs="仿宋_GB2312"/>
          <w:i w:val="0"/>
          <w:iCs w:val="0"/>
          <w:caps w:val="0"/>
          <w:color w:val="000000"/>
          <w:spacing w:val="0"/>
          <w:sz w:val="32"/>
          <w:szCs w:val="32"/>
          <w:highlight w:val="none"/>
          <w:shd w:val="clear" w:fill="FFFFFF"/>
        </w:rPr>
        <w:t>高质量开展党纪学习教育工作。制定《任务清单》，通过党组会、局例会贯彻学习《中国共产党纪律处分条例》，并安排部署相关工作；举办读书班，通过理论学习、观看警示片、交流研讨等方式，着力提升领导干部的综合素质与纪律意识。</w:t>
      </w:r>
      <w:r>
        <w:rPr>
          <w:rStyle w:val="7"/>
          <w:rFonts w:hint="eastAsia" w:ascii="仿宋_GB2312" w:hAnsi="仿宋_GB2312" w:eastAsia="仿宋_GB2312" w:cs="仿宋_GB2312"/>
          <w:i w:val="0"/>
          <w:iCs w:val="0"/>
          <w:caps w:val="0"/>
          <w:color w:val="000000"/>
          <w:spacing w:val="0"/>
          <w:sz w:val="32"/>
          <w:szCs w:val="32"/>
          <w:highlight w:val="none"/>
          <w:shd w:val="clear" w:fill="FFFFFF"/>
        </w:rPr>
        <w:t>三是</w:t>
      </w:r>
      <w:r>
        <w:rPr>
          <w:rFonts w:hint="eastAsia" w:ascii="仿宋_GB2312" w:hAnsi="仿宋_GB2312" w:eastAsia="仿宋_GB2312" w:cs="仿宋_GB2312"/>
          <w:i w:val="0"/>
          <w:iCs w:val="0"/>
          <w:caps w:val="0"/>
          <w:color w:val="000000"/>
          <w:spacing w:val="0"/>
          <w:sz w:val="32"/>
          <w:szCs w:val="32"/>
          <w:highlight w:val="none"/>
          <w:shd w:val="clear" w:fill="FFFFFF"/>
        </w:rPr>
        <w:t>创新组织生活形式。依托创新组织生活形式。依托春季义务植树、5.19中国旅游日、端午</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节</w:t>
      </w:r>
      <w:r>
        <w:rPr>
          <w:rFonts w:hint="eastAsia" w:ascii="仿宋_GB2312" w:hAnsi="仿宋_GB2312" w:eastAsia="仿宋_GB2312" w:cs="仿宋_GB2312"/>
          <w:i w:val="0"/>
          <w:iCs w:val="0"/>
          <w:caps w:val="0"/>
          <w:color w:val="000000"/>
          <w:spacing w:val="0"/>
          <w:sz w:val="32"/>
          <w:szCs w:val="32"/>
          <w:highlight w:val="none"/>
          <w:shd w:val="clear" w:fill="FFFFFF"/>
        </w:rPr>
        <w:t>等活动，开展主题党日活动10次，进一步激发党员干部学习热情，在学以致用、知行合一中坚定理想信念，切实提升文化、体育、旅游方面服务群众的能力，实现自身价值。</w:t>
      </w:r>
    </w:p>
    <w:p w14:paraId="706D1B87">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highlight w:val="none"/>
          <w:shd w:val="clear" w:fill="FFFFFF"/>
          <w:lang w:val="en-US" w:eastAsia="zh-CN"/>
        </w:rPr>
      </w:pPr>
      <w:r>
        <w:rPr>
          <w:rStyle w:val="7"/>
          <w:rFonts w:hint="eastAsia" w:ascii="楷体_GB2312" w:hAnsi="楷体_GB2312" w:eastAsia="楷体_GB2312" w:cs="楷体_GB2312"/>
          <w:b w:val="0"/>
          <w:bCs/>
          <w:i w:val="0"/>
          <w:iCs w:val="0"/>
          <w:caps w:val="0"/>
          <w:color w:val="000000"/>
          <w:spacing w:val="0"/>
          <w:sz w:val="32"/>
          <w:szCs w:val="32"/>
          <w:shd w:val="clear" w:fill="FFFFFF"/>
          <w:lang w:val="en-US" w:eastAsia="zh-CN"/>
        </w:rPr>
        <w:t>2、</w:t>
      </w:r>
      <w:r>
        <w:rPr>
          <w:rStyle w:val="7"/>
          <w:rFonts w:hint="eastAsia" w:ascii="楷体_GB2312" w:hAnsi="楷体_GB2312" w:eastAsia="楷体_GB2312" w:cs="楷体_GB2312"/>
          <w:b w:val="0"/>
          <w:bCs/>
          <w:i w:val="0"/>
          <w:iCs w:val="0"/>
          <w:caps w:val="0"/>
          <w:color w:val="000000"/>
          <w:spacing w:val="0"/>
          <w:sz w:val="32"/>
          <w:szCs w:val="32"/>
          <w:shd w:val="clear" w:fill="FFFFFF"/>
        </w:rPr>
        <w:t>聚焦群众多元精神文化需求，扎实开展特色文化活动。</w:t>
      </w:r>
      <w:r>
        <w:rPr>
          <w:rFonts w:hint="eastAsia" w:ascii="仿宋_GB2312" w:hAnsi="仿宋_GB2312" w:eastAsia="仿宋_GB2312" w:cs="仿宋_GB2312"/>
          <w:b/>
          <w:bCs/>
          <w:i w:val="0"/>
          <w:iCs w:val="0"/>
          <w:caps w:val="0"/>
          <w:color w:val="000000"/>
          <w:spacing w:val="0"/>
          <w:kern w:val="2"/>
          <w:sz w:val="32"/>
          <w:szCs w:val="32"/>
          <w:highlight w:val="none"/>
          <w:shd w:val="clear" w:fill="FFFFFF"/>
          <w:lang w:val="en-US" w:eastAsia="zh-CN" w:bidi="ar-SA"/>
        </w:rPr>
        <w:t>一</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是</w:t>
      </w:r>
      <w:r>
        <w:rPr>
          <w:rFonts w:hint="eastAsia" w:ascii="仿宋_GB2312" w:hAnsi="仿宋_GB2312" w:eastAsia="仿宋_GB2312" w:cs="仿宋_GB2312"/>
          <w:i w:val="0"/>
          <w:iCs w:val="0"/>
          <w:caps w:val="0"/>
          <w:color w:val="000000"/>
          <w:spacing w:val="0"/>
          <w:sz w:val="32"/>
          <w:szCs w:val="32"/>
          <w:highlight w:val="none"/>
          <w:shd w:val="clear" w:fill="FFFFFF"/>
        </w:rPr>
        <w:t>紧扣“新中国成立7</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5</w:t>
      </w:r>
      <w:r>
        <w:rPr>
          <w:rFonts w:hint="eastAsia" w:ascii="仿宋_GB2312" w:hAnsi="仿宋_GB2312" w:eastAsia="仿宋_GB2312" w:cs="仿宋_GB2312"/>
          <w:i w:val="0"/>
          <w:iCs w:val="0"/>
          <w:caps w:val="0"/>
          <w:color w:val="000000"/>
          <w:spacing w:val="0"/>
          <w:sz w:val="32"/>
          <w:szCs w:val="32"/>
          <w:highlight w:val="none"/>
          <w:shd w:val="clear" w:fill="FFFFFF"/>
        </w:rPr>
        <w:t>周年”习近平总书记在文艺工作座谈会</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召开</w:t>
      </w:r>
      <w:r>
        <w:rPr>
          <w:rFonts w:hint="eastAsia" w:ascii="仿宋_GB2312" w:hAnsi="仿宋_GB2312" w:eastAsia="仿宋_GB2312" w:cs="仿宋_GB2312"/>
          <w:i w:val="0"/>
          <w:iCs w:val="0"/>
          <w:caps w:val="0"/>
          <w:color w:val="000000"/>
          <w:spacing w:val="0"/>
          <w:sz w:val="32"/>
          <w:szCs w:val="32"/>
          <w:highlight w:val="none"/>
          <w:shd w:val="clear" w:fill="FFFFFF"/>
        </w:rPr>
        <w:t>10周年上讲话、乡村振兴</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候鸟保护</w:t>
      </w:r>
      <w:r>
        <w:rPr>
          <w:rFonts w:hint="eastAsia" w:ascii="仿宋_GB2312" w:hAnsi="仿宋_GB2312" w:eastAsia="仿宋_GB2312" w:cs="仿宋_GB2312"/>
          <w:i w:val="0"/>
          <w:iCs w:val="0"/>
          <w:caps w:val="0"/>
          <w:color w:val="000000"/>
          <w:spacing w:val="0"/>
          <w:sz w:val="32"/>
          <w:szCs w:val="32"/>
          <w:highlight w:val="none"/>
          <w:shd w:val="clear" w:fill="FFFFFF"/>
        </w:rPr>
        <w:t>等主题抓好现实题材</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文艺</w:t>
      </w:r>
      <w:r>
        <w:rPr>
          <w:rFonts w:hint="eastAsia" w:ascii="仿宋_GB2312" w:hAnsi="仿宋_GB2312" w:eastAsia="仿宋_GB2312" w:cs="仿宋_GB2312"/>
          <w:i w:val="0"/>
          <w:iCs w:val="0"/>
          <w:caps w:val="0"/>
          <w:color w:val="000000"/>
          <w:spacing w:val="0"/>
          <w:sz w:val="32"/>
          <w:szCs w:val="32"/>
          <w:highlight w:val="none"/>
          <w:shd w:val="clear" w:fill="FFFFFF"/>
        </w:rPr>
        <w:t>创作。坚持大戏小戏并重，创作一批接地气、有温度、有影响的适合</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文化下乡</w:t>
      </w:r>
      <w:r>
        <w:rPr>
          <w:rFonts w:hint="eastAsia" w:ascii="仿宋_GB2312" w:hAnsi="仿宋_GB2312" w:eastAsia="仿宋_GB2312" w:cs="仿宋_GB2312"/>
          <w:i w:val="0"/>
          <w:iCs w:val="0"/>
          <w:caps w:val="0"/>
          <w:color w:val="000000"/>
          <w:spacing w:val="0"/>
          <w:sz w:val="32"/>
          <w:szCs w:val="32"/>
          <w:highlight w:val="none"/>
          <w:shd w:val="clear" w:fill="FFFFFF"/>
        </w:rPr>
        <w:t>演出的戏</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曲、小</w:t>
      </w:r>
      <w:r>
        <w:rPr>
          <w:rFonts w:hint="eastAsia" w:ascii="仿宋_GB2312" w:hAnsi="仿宋_GB2312" w:eastAsia="仿宋_GB2312" w:cs="仿宋_GB2312"/>
          <w:i w:val="0"/>
          <w:iCs w:val="0"/>
          <w:caps w:val="0"/>
          <w:color w:val="000000"/>
          <w:spacing w:val="0"/>
          <w:sz w:val="32"/>
          <w:szCs w:val="32"/>
          <w:highlight w:val="none"/>
          <w:shd w:val="clear" w:fill="FFFFFF"/>
        </w:rPr>
        <w:t>品和小节目。</w:t>
      </w:r>
      <w:r>
        <w:rPr>
          <w:rFonts w:hint="eastAsia" w:ascii="仿宋_GB2312" w:hAnsi="仿宋_GB2312" w:eastAsia="仿宋_GB2312" w:cs="仿宋_GB2312"/>
          <w:i w:val="0"/>
          <w:iCs w:val="0"/>
          <w:caps w:val="0"/>
          <w:color w:val="000000"/>
          <w:spacing w:val="0"/>
          <w:sz w:val="32"/>
          <w:szCs w:val="32"/>
          <w:highlight w:val="none"/>
          <w:shd w:val="clear" w:fill="FFFFFF"/>
          <w:lang w:eastAsia="zh-CN"/>
        </w:rPr>
        <w:t>组织参演</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省、市、县大型活动累计15余场，</w:t>
      </w:r>
      <w:r>
        <w:rPr>
          <w:rFonts w:hint="eastAsia" w:ascii="仿宋_GB2312" w:hAnsi="仿宋_GB2312" w:eastAsia="仿宋_GB2312" w:cs="仿宋_GB2312"/>
          <w:i w:val="0"/>
          <w:iCs w:val="0"/>
          <w:caps w:val="0"/>
          <w:color w:val="000000"/>
          <w:spacing w:val="0"/>
          <w:sz w:val="32"/>
          <w:szCs w:val="32"/>
          <w:highlight w:val="none"/>
          <w:shd w:val="clear" w:fill="FFFFFF"/>
          <w:lang w:eastAsia="zh-CN"/>
        </w:rPr>
        <w:t>推进公共文化服务进乡村，</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举办文化惠民活动</w:t>
      </w:r>
      <w:r>
        <w:rPr>
          <w:rFonts w:hint="eastAsia" w:ascii="仿宋_GB2312" w:hAnsi="仿宋_GB2312" w:eastAsia="仿宋_GB2312" w:cs="仿宋_GB2312"/>
          <w:i w:val="0"/>
          <w:iCs w:val="0"/>
          <w:caps w:val="0"/>
          <w:color w:val="000000"/>
          <w:spacing w:val="0"/>
          <w:sz w:val="32"/>
          <w:szCs w:val="32"/>
          <w:highlight w:val="none"/>
          <w:shd w:val="clear" w:fill="FFFFFF"/>
          <w:lang w:eastAsia="zh-CN"/>
        </w:rPr>
        <w:t>累计</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60余</w:t>
      </w:r>
      <w:r>
        <w:rPr>
          <w:rFonts w:hint="eastAsia" w:ascii="仿宋_GB2312" w:hAnsi="仿宋_GB2312" w:eastAsia="仿宋_GB2312" w:cs="仿宋_GB2312"/>
          <w:i w:val="0"/>
          <w:iCs w:val="0"/>
          <w:caps w:val="0"/>
          <w:color w:val="000000"/>
          <w:spacing w:val="0"/>
          <w:sz w:val="32"/>
          <w:szCs w:val="32"/>
          <w:highlight w:val="none"/>
          <w:shd w:val="clear" w:fill="FFFFFF"/>
          <w:lang w:eastAsia="zh-CN"/>
        </w:rPr>
        <w:t>场。</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其中，招募文化志愿者102</w:t>
      </w:r>
      <w:r>
        <w:rPr>
          <w:rFonts w:hint="eastAsia" w:ascii="仿宋_GB2312" w:hAnsi="仿宋_GB2312" w:eastAsia="仿宋_GB2312" w:cs="仿宋_GB2312"/>
          <w:i w:val="0"/>
          <w:iCs w:val="0"/>
          <w:caps w:val="0"/>
          <w:color w:val="000000"/>
          <w:spacing w:val="0"/>
          <w:sz w:val="32"/>
          <w:szCs w:val="32"/>
          <w:highlight w:val="none"/>
          <w:shd w:val="clear" w:fill="FFFFFF"/>
        </w:rPr>
        <w:t>名，</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参与文艺演出28场，参与编排节目8个。二是持续</w:t>
      </w:r>
      <w:r>
        <w:rPr>
          <w:rFonts w:hint="eastAsia" w:ascii="仿宋_GB2312" w:hAnsi="仿宋_GB2312" w:eastAsia="仿宋_GB2312" w:cs="仿宋_GB2312"/>
          <w:i w:val="0"/>
          <w:iCs w:val="0"/>
          <w:caps w:val="0"/>
          <w:color w:val="000000"/>
          <w:spacing w:val="0"/>
          <w:sz w:val="32"/>
          <w:szCs w:val="32"/>
          <w:highlight w:val="none"/>
          <w:shd w:val="clear" w:fill="FFFFFF"/>
        </w:rPr>
        <w:t>紧盯人均接受文化场馆服务次数、人均文化事业费、人均拥有公共文化场馆面积等指标的增长速度，落实公共文化服务高质量发展五年行动计划，</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今年以来，开展图书文化活动累计80场</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三是多渠道开展非遗项目保护宣传工作。参与百叠岭旅游景区采茶节展演活动，演出《过山瑶瑶歌》、《瑶族伞舞》、《蓝山花灯戏》等非遗节目，邀请黑糊酒、油纸伞、楠市面条等蓝山代表性非遗产品参与活动展销，吸引游客1.5万人次，产生经济效益40余万元；开设省级非遗项目瑶族伞舞、过山瑶瑶歌的非遗保护和传承交流培训班各1期，培训40人次；为更好的保护和传承省级非遗项目《过山瑶瑶歌》，创作原创歌曲《唱支瑶歌献给党》并拍摄视频制作MV在市县主流媒体进行宣传。</w:t>
      </w:r>
    </w:p>
    <w:p w14:paraId="750FF16E">
      <w:pPr>
        <w:pStyle w:val="10"/>
        <w:keepNext w:val="0"/>
        <w:keepLines w:val="0"/>
        <w:pageBreakBefore w:val="0"/>
        <w:widowControl/>
        <w:numPr>
          <w:ilvl w:val="0"/>
          <w:numId w:val="0"/>
        </w:numPr>
        <w:tabs>
          <w:tab w:val="left" w:pos="2520"/>
        </w:tabs>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i w:val="0"/>
          <w:iCs w:val="0"/>
          <w:caps w:val="0"/>
          <w:color w:val="000000"/>
          <w:spacing w:val="0"/>
          <w:sz w:val="32"/>
          <w:szCs w:val="32"/>
          <w:highlight w:val="none"/>
          <w:shd w:val="clear" w:fill="FFFFFF"/>
          <w:lang w:val="en-US" w:eastAsia="zh-CN"/>
        </w:rPr>
      </w:pPr>
      <w:r>
        <w:rPr>
          <w:rStyle w:val="7"/>
          <w:rFonts w:hint="eastAsia" w:ascii="楷体_GB2312" w:hAnsi="楷体_GB2312" w:eastAsia="楷体_GB2312" w:cs="楷体_GB2312"/>
          <w:b w:val="0"/>
          <w:bCs/>
          <w:i w:val="0"/>
          <w:iCs w:val="0"/>
          <w:caps w:val="0"/>
          <w:color w:val="000000"/>
          <w:spacing w:val="0"/>
          <w:kern w:val="2"/>
          <w:sz w:val="32"/>
          <w:szCs w:val="32"/>
          <w:shd w:val="clear" w:fill="FFFFFF"/>
          <w:lang w:val="en-US" w:eastAsia="zh-CN" w:bidi="ar-SA"/>
        </w:rPr>
        <w:t>3、聚焦弘扬蓝山优秀传统文化，压实文物普查工作内容。</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提高文物安全管理水平。</w:t>
      </w:r>
      <w:r>
        <w:rPr>
          <w:rFonts w:hint="eastAsia" w:ascii="仿宋_GB2312" w:hAnsi="仿宋_GB2312" w:eastAsia="仿宋_GB2312" w:cs="仿宋_GB2312"/>
          <w:kern w:val="2"/>
          <w:sz w:val="32"/>
          <w:szCs w:val="32"/>
          <w:lang w:val="en-US" w:eastAsia="zh-CN" w:bidi="ar-SA"/>
        </w:rPr>
        <w:t>持续开展文物安全检查、土地储备考古前置等工作。截至9月，对我县</w:t>
      </w:r>
      <w:r>
        <w:rPr>
          <w:rFonts w:hint="eastAsia" w:ascii="仿宋_GB2312" w:hAnsi="仿宋_GB2312" w:eastAsia="仿宋_GB2312" w:cs="仿宋_GB2312"/>
          <w:b w:val="0"/>
          <w:i w:val="0"/>
          <w:spacing w:val="0"/>
          <w:w w:val="100"/>
          <w:sz w:val="32"/>
          <w:szCs w:val="32"/>
          <w:lang w:val="en-US" w:eastAsia="zh-CN"/>
        </w:rPr>
        <w:t>1处国家级，7处省级，14处市级，48处县级文保单位</w:t>
      </w:r>
      <w:r>
        <w:rPr>
          <w:rFonts w:hint="eastAsia" w:ascii="仿宋_GB2312" w:hAnsi="仿宋_GB2312" w:eastAsia="仿宋_GB2312" w:cs="仿宋_GB2312"/>
          <w:kern w:val="2"/>
          <w:sz w:val="32"/>
          <w:szCs w:val="32"/>
          <w:lang w:val="en-US" w:eastAsia="zh-CN" w:bidi="ar-SA"/>
        </w:rPr>
        <w:t>共检查100余次，发现安全隐患70余处，整改70余处。</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夯实文保事业基础。</w:t>
      </w:r>
      <w:r>
        <w:rPr>
          <w:rFonts w:hint="eastAsia" w:ascii="仿宋_GB2312" w:hAnsi="仿宋_GB2312" w:eastAsia="仿宋_GB2312" w:cs="仿宋_GB2312"/>
          <w:kern w:val="2"/>
          <w:sz w:val="32"/>
          <w:szCs w:val="32"/>
          <w:lang w:val="en-US" w:eastAsia="zh-CN" w:bidi="ar-SA"/>
        </w:rPr>
        <w:t>成立第四次全国文物普查领导工作小组，开展第四次全国文物普查工作，加强文化遗产保护基础。做好文保单位修缮、管理、保护工作，</w:t>
      </w:r>
      <w:r>
        <w:rPr>
          <w:rFonts w:hint="eastAsia" w:ascii="仿宋_GB2312" w:hAnsi="仿宋_GB2312" w:eastAsia="仿宋_GB2312" w:cs="仿宋_GB2312"/>
          <w:b w:val="0"/>
          <w:i w:val="0"/>
          <w:spacing w:val="0"/>
          <w:w w:val="100"/>
          <w:sz w:val="32"/>
          <w:szCs w:val="32"/>
          <w:lang w:val="en-US" w:eastAsia="zh-CN"/>
        </w:rPr>
        <w:t>对我县县级保护单位童峰塔进行筹款修缮，该项民生工程引发国内外蓝山人士的关注与参与。</w:t>
      </w:r>
      <w:r>
        <w:rPr>
          <w:rFonts w:hint="eastAsia" w:ascii="仿宋_GB2312" w:hAnsi="仿宋_GB2312" w:eastAsia="仿宋_GB2312" w:cs="仿宋_GB2312"/>
          <w:kern w:val="2"/>
          <w:sz w:val="32"/>
          <w:szCs w:val="32"/>
          <w:lang w:val="en-US" w:eastAsia="zh-CN" w:bidi="ar-SA"/>
        </w:rPr>
        <w:t>推进虎溪黄氏宗祠修缮工程保点修缮，预计12月完成建设。截至目前，全面完成三普183处文物点的复核工作。</w:t>
      </w:r>
      <w:r>
        <w:rPr>
          <w:rStyle w:val="7"/>
          <w:rFonts w:hint="eastAsia" w:ascii="仿宋_GB2312" w:hAnsi="仿宋_GB2312" w:eastAsia="仿宋_GB2312" w:cs="仿宋_GB2312"/>
          <w:b/>
          <w:bCs/>
          <w:i w:val="0"/>
          <w:iCs w:val="0"/>
          <w:caps w:val="0"/>
          <w:color w:val="333333"/>
          <w:spacing w:val="0"/>
          <w:sz w:val="32"/>
          <w:szCs w:val="32"/>
          <w:shd w:val="clear" w:fill="FFFFFF"/>
        </w:rPr>
        <w:t>三是</w:t>
      </w:r>
      <w:r>
        <w:rPr>
          <w:rStyle w:val="7"/>
          <w:rFonts w:hint="eastAsia" w:ascii="仿宋_GB2312" w:hAnsi="仿宋_GB2312" w:eastAsia="仿宋_GB2312" w:cs="仿宋_GB2312"/>
          <w:b w:val="0"/>
          <w:bCs w:val="0"/>
          <w:i w:val="0"/>
          <w:iCs w:val="0"/>
          <w:caps w:val="0"/>
          <w:color w:val="333333"/>
          <w:spacing w:val="0"/>
          <w:sz w:val="32"/>
          <w:szCs w:val="32"/>
          <w:shd w:val="clear" w:fill="FFFFFF"/>
          <w:lang w:val="en-US" w:eastAsia="zh-CN"/>
        </w:rPr>
        <w:t>争取</w:t>
      </w:r>
      <w:r>
        <w:rPr>
          <w:rStyle w:val="7"/>
          <w:rFonts w:hint="eastAsia" w:ascii="仿宋_GB2312" w:hAnsi="仿宋_GB2312" w:eastAsia="仿宋_GB2312" w:cs="仿宋_GB2312"/>
          <w:b w:val="0"/>
          <w:bCs w:val="0"/>
          <w:i w:val="0"/>
          <w:iCs w:val="0"/>
          <w:caps w:val="0"/>
          <w:color w:val="333333"/>
          <w:spacing w:val="0"/>
          <w:sz w:val="32"/>
          <w:szCs w:val="32"/>
          <w:shd w:val="clear" w:fill="FFFFFF"/>
        </w:rPr>
        <w:t>文</w:t>
      </w:r>
      <w:r>
        <w:rPr>
          <w:rStyle w:val="7"/>
          <w:rFonts w:hint="eastAsia" w:ascii="仿宋_GB2312" w:hAnsi="仿宋_GB2312" w:eastAsia="仿宋_GB2312" w:cs="仿宋_GB2312"/>
          <w:b w:val="0"/>
          <w:bCs w:val="0"/>
          <w:i w:val="0"/>
          <w:iCs w:val="0"/>
          <w:caps w:val="0"/>
          <w:color w:val="333333"/>
          <w:spacing w:val="0"/>
          <w:sz w:val="32"/>
          <w:szCs w:val="32"/>
          <w:shd w:val="clear" w:fill="FFFFFF"/>
          <w:lang w:val="en-US" w:eastAsia="zh-CN"/>
        </w:rPr>
        <w:t>物保护资金</w:t>
      </w:r>
      <w:r>
        <w:rPr>
          <w:rStyle w:val="7"/>
          <w:rFonts w:hint="eastAsia" w:ascii="仿宋_GB2312" w:hAnsi="仿宋_GB2312" w:eastAsia="仿宋_GB2312" w:cs="仿宋_GB2312"/>
          <w:b w:val="0"/>
          <w:bCs w:val="0"/>
          <w:i w:val="0"/>
          <w:iCs w:val="0"/>
          <w:caps w:val="0"/>
          <w:color w:val="333333"/>
          <w:spacing w:val="0"/>
          <w:sz w:val="32"/>
          <w:szCs w:val="32"/>
          <w:shd w:val="clear" w:fill="FFFFFF"/>
        </w:rPr>
        <w:t>。</w:t>
      </w:r>
      <w:r>
        <w:rPr>
          <w:rFonts w:hint="eastAsia" w:ascii="仿宋_GB2312" w:hAnsi="仿宋_GB2312" w:eastAsia="仿宋_GB2312" w:cs="仿宋_GB2312"/>
          <w:b w:val="0"/>
          <w:bCs w:val="0"/>
          <w:i w:val="0"/>
          <w:spacing w:val="0"/>
          <w:w w:val="100"/>
          <w:sz w:val="32"/>
          <w:szCs w:val="32"/>
          <w:lang w:val="en-US" w:eastAsia="zh-CN"/>
        </w:rPr>
        <w:t>先后通过1个国家级的文保单位项目和3个省文保单位项目获上级审批通过，</w:t>
      </w:r>
      <w:r>
        <w:rPr>
          <w:rFonts w:hint="eastAsia" w:ascii="仿宋_GB2312" w:hAnsi="仿宋_GB2312" w:eastAsia="仿宋_GB2312" w:cs="仿宋_GB2312"/>
          <w:b w:val="0"/>
          <w:i w:val="0"/>
          <w:spacing w:val="0"/>
          <w:w w:val="100"/>
          <w:sz w:val="32"/>
          <w:szCs w:val="32"/>
          <w:lang w:val="en-US" w:eastAsia="zh-CN"/>
        </w:rPr>
        <w:t>批复资金达760余万元</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今年，</w:t>
      </w:r>
      <w:r>
        <w:rPr>
          <w:rFonts w:hint="eastAsia" w:ascii="仿宋_GB2312" w:hAnsi="仿宋_GB2312" w:eastAsia="仿宋_GB2312" w:cs="仿宋_GB2312"/>
          <w:b w:val="0"/>
          <w:i w:val="0"/>
          <w:spacing w:val="0"/>
          <w:w w:val="100"/>
          <w:sz w:val="32"/>
          <w:szCs w:val="32"/>
          <w:lang w:val="en-US" w:eastAsia="zh-CN"/>
        </w:rPr>
        <w:t>上报审批4项工程计划书，</w:t>
      </w:r>
      <w:r>
        <w:rPr>
          <w:rFonts w:hint="eastAsia" w:ascii="仿宋_GB2312" w:hAnsi="仿宋_GB2312" w:eastAsia="仿宋_GB2312" w:cs="仿宋_GB2312"/>
          <w:i w:val="0"/>
          <w:iCs w:val="0"/>
          <w:caps w:val="0"/>
          <w:color w:val="333333"/>
          <w:spacing w:val="0"/>
          <w:sz w:val="32"/>
          <w:szCs w:val="32"/>
          <w:shd w:val="clear" w:fill="FFFFFF"/>
          <w:lang w:val="en-US" w:eastAsia="zh-CN"/>
        </w:rPr>
        <w:t>对</w:t>
      </w:r>
      <w:r>
        <w:rPr>
          <w:rFonts w:hint="eastAsia" w:ascii="仿宋_GB2312" w:hAnsi="仿宋_GB2312" w:eastAsia="仿宋_GB2312" w:cs="仿宋_GB2312"/>
          <w:b w:val="0"/>
          <w:i w:val="0"/>
          <w:spacing w:val="0"/>
          <w:w w:val="100"/>
          <w:sz w:val="32"/>
          <w:szCs w:val="32"/>
          <w:lang w:val="en-US" w:eastAsia="zh-CN"/>
        </w:rPr>
        <w:t>界头萧家、虎溪古建筑群、虎溪黄氏宗祠，涉及消防工程，安防工程，2个修缮工程，后期将持续跟进。</w:t>
      </w:r>
    </w:p>
    <w:p w14:paraId="145AFA4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Cs w:val="0"/>
          <w:i w:val="0"/>
          <w:iCs w:val="0"/>
          <w:caps w:val="0"/>
          <w:color w:val="000000"/>
          <w:spacing w:val="0"/>
          <w:kern w:val="2"/>
          <w:sz w:val="32"/>
          <w:szCs w:val="32"/>
          <w:highlight w:val="none"/>
          <w:shd w:val="clear" w:fill="FFFFFF"/>
          <w:lang w:val="en-US" w:eastAsia="zh-CN" w:bidi="ar-SA"/>
        </w:rPr>
        <w:t>4、聚焦体育公共服务体系高质量发展需求，持续激活体育发展新力量。</w:t>
      </w:r>
      <w:r>
        <w:rPr>
          <w:rFonts w:hint="eastAsia" w:ascii="仿宋_GB2312" w:hAnsi="仿宋_GB2312" w:eastAsia="仿宋_GB2312" w:cs="仿宋_GB2312"/>
          <w:color w:val="auto"/>
          <w:sz w:val="32"/>
          <w:szCs w:val="32"/>
          <w:u w:val="none"/>
          <w:shd w:val="clear" w:color="auto" w:fill="FFFFFF"/>
          <w:lang w:val="en-US" w:eastAsia="zh-CN"/>
        </w:rPr>
        <w:t>一是提升体育设施供给水平。我县体育场地面积达到851698平方米，同比去年增长20.41%，人均体育场地达到2.6个平方，同比去年增长20.37%。二是竞技人才崭露头角。我县运动员代表永州市参加全省青少年水球锦标赛获得冠军，参加举重锦标赛获得男子U14组67公斤级亚军。参加永州市青少年田径、游泳、举重锦标赛，在田径锦标赛中获得金牌7枚、银牌4枚、铜牌1枚，团体总分第四名和体育道德风尚奖；在游泳锦标赛中获得金牌13枚、银牌7枚、铜牌2枚，团体总分第二名；在举重锦标赛中获得金牌9枚，团体总分第七名。三是营造全民健身良好氛围。全年举办省级赛事活动1场，县级赛事5场。覆盖赛事活动有：全国第16个全民健身日系列活动湖南省太极拳”六进”科学健身活动，“巅峰湖南”六大名山登山暨大美永州大穿越活动（蓝山站），蓝山县足球联赛，蓝山县篮球夏季联赛，太极拳健身气功协会和蓝山县柔力球协会联谊赛等，不断满足人民健身需求，加大文化体育深度融合。</w:t>
      </w:r>
    </w:p>
    <w:p w14:paraId="353E0D6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Cs w:val="0"/>
          <w:i w:val="0"/>
          <w:iCs w:val="0"/>
          <w:caps w:val="0"/>
          <w:color w:val="000000"/>
          <w:spacing w:val="0"/>
          <w:kern w:val="2"/>
          <w:sz w:val="32"/>
          <w:szCs w:val="32"/>
          <w:highlight w:val="none"/>
          <w:shd w:val="clear" w:fill="FFFFFF"/>
          <w:lang w:val="en-US" w:eastAsia="zh-CN" w:bidi="ar-SA"/>
        </w:rPr>
        <w:t>5、聚焦旅游产业发展需求，持续释放旅游经济发展新动能。</w:t>
      </w:r>
      <w:r>
        <w:rPr>
          <w:rFonts w:hint="eastAsia" w:ascii="仿宋_GB2312" w:hAnsi="仿宋_GB2312" w:eastAsia="仿宋_GB2312" w:cs="仿宋_GB2312"/>
          <w:b/>
          <w:bCs/>
          <w:color w:val="auto"/>
          <w:kern w:val="2"/>
          <w:sz w:val="32"/>
          <w:szCs w:val="32"/>
          <w:u w:val="none"/>
          <w:shd w:val="clear" w:color="auto" w:fill="FFFFFF"/>
          <w:lang w:val="en-US" w:eastAsia="zh-CN" w:bidi="ar-SA"/>
        </w:rPr>
        <w:t>一是</w:t>
      </w:r>
      <w:r>
        <w:rPr>
          <w:rFonts w:hint="eastAsia" w:ascii="仿宋_GB2312" w:hAnsi="仿宋_GB2312" w:eastAsia="仿宋_GB2312" w:cs="仿宋_GB2312"/>
          <w:color w:val="auto"/>
          <w:kern w:val="2"/>
          <w:sz w:val="32"/>
          <w:szCs w:val="32"/>
          <w:u w:val="none"/>
          <w:shd w:val="clear" w:color="auto" w:fill="FFFFFF"/>
          <w:lang w:val="en-US" w:eastAsia="zh-CN" w:bidi="ar-SA"/>
        </w:rPr>
        <w:t>持续在文旅项目申报工作中精准发力，2023年申报5个专项债项目，2024年申报8个专项债项目，其中“蓝山县2024年专项债券蓝山县云冰山景区旅游基础设施提质改造项目”县财政已发行专项债券6600万元；</w:t>
      </w:r>
      <w:r>
        <w:rPr>
          <w:rFonts w:hint="eastAsia" w:ascii="仿宋_GB2312" w:hAnsi="仿宋_GB2312" w:eastAsia="仿宋_GB2312" w:cs="仿宋_GB2312"/>
          <w:b/>
          <w:bCs/>
          <w:color w:val="auto"/>
          <w:kern w:val="2"/>
          <w:sz w:val="32"/>
          <w:szCs w:val="32"/>
          <w:u w:val="none"/>
          <w:shd w:val="clear" w:color="auto" w:fill="FFFFFF"/>
          <w:lang w:val="en-US" w:eastAsia="zh-CN" w:bidi="ar-SA"/>
        </w:rPr>
        <w:t>二是</w:t>
      </w:r>
      <w:r>
        <w:rPr>
          <w:rFonts w:hint="eastAsia" w:ascii="仿宋_GB2312" w:hAnsi="仿宋_GB2312" w:eastAsia="仿宋_GB2312" w:cs="仿宋_GB2312"/>
          <w:kern w:val="2"/>
          <w:sz w:val="32"/>
          <w:szCs w:val="32"/>
          <w:lang w:val="en-US" w:eastAsia="zh-CN" w:bidi="ar-SA"/>
        </w:rPr>
        <w:t>推进云冰山、蓝山谷两个市县重点文旅项目发展建设。逐步完善云</w:t>
      </w:r>
      <w:r>
        <w:rPr>
          <w:rFonts w:hint="eastAsia" w:ascii="仿宋_GB2312" w:hAnsi="仿宋_GB2312" w:eastAsia="仿宋_GB2312" w:cs="仿宋_GB2312"/>
          <w:b w:val="0"/>
          <w:bCs w:val="0"/>
          <w:sz w:val="32"/>
          <w:szCs w:val="32"/>
          <w:lang w:val="en-US" w:eastAsia="zh-CN"/>
        </w:rPr>
        <w:t>冰山</w:t>
      </w:r>
      <w:r>
        <w:rPr>
          <w:rFonts w:hint="eastAsia" w:ascii="仿宋_GB2312" w:hAnsi="仿宋_GB2312" w:eastAsia="仿宋_GB2312" w:cs="仿宋_GB2312"/>
          <w:kern w:val="2"/>
          <w:sz w:val="32"/>
          <w:szCs w:val="32"/>
          <w:lang w:val="en-US" w:eastAsia="zh-CN" w:bidi="ar-SA"/>
        </w:rPr>
        <w:t>“千户瑶寨”项目与丰富景区业态，完成观景休息亭，瑶寨内观景平台、步道，瑶寨广场建设;完成苔藓区上山魔毯和下山滑道两项设施并投入运营，新建完成露营基地的12个星空房和22°C营地并投入运营；引进的跑马场项目已完成建设，即将营业。引进的滑雪场项目已签订投资协议。</w:t>
      </w:r>
      <w:r>
        <w:rPr>
          <w:rFonts w:hint="eastAsia" w:ascii="仿宋_GB2312" w:hAnsi="仿宋_GB2312" w:eastAsia="仿宋_GB2312" w:cs="仿宋_GB2312"/>
          <w:b w:val="0"/>
          <w:bCs w:val="0"/>
          <w:sz w:val="32"/>
          <w:szCs w:val="32"/>
          <w:lang w:val="en-US" w:eastAsia="zh-CN"/>
        </w:rPr>
        <w:t>蓝山谷项目既</w:t>
      </w:r>
      <w:r>
        <w:rPr>
          <w:rFonts w:hint="eastAsia" w:ascii="仿宋_GB2312" w:hAnsi="仿宋_GB2312" w:eastAsia="仿宋_GB2312" w:cs="仿宋_GB2312"/>
          <w:kern w:val="2"/>
          <w:sz w:val="32"/>
          <w:szCs w:val="32"/>
          <w:lang w:val="en-US" w:eastAsia="zh-CN" w:bidi="ar-SA"/>
        </w:rPr>
        <w:t>是我县重点文旅项目，也是永州市唯一一个省重点旅游康养项目。蓝山谷项目一期已供地约150余亩，完成景区内公路排水沟、修建景观桥20座、游步道约10千米、5公里景区内公路硬化和美化、杆线迁移、游客中心集体用地11亩征地等建设相关工作内容，已完成种植300余亩樱花、600余亩红枫、2000余亩高山杜鹃，目前已初步形成“香炉云海杜鹃谷”、十里“莎莎枫叶谷”、“蓝山樱花谷”和“雅蓝竹海”景观</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color w:val="auto"/>
          <w:kern w:val="2"/>
          <w:sz w:val="32"/>
          <w:szCs w:val="32"/>
          <w:lang w:val="en-US" w:eastAsia="zh-CN" w:bidi="ar-SA"/>
        </w:rPr>
        <w:t>全力推动文旅重点项目投资建设。</w:t>
      </w:r>
      <w:r>
        <w:rPr>
          <w:rFonts w:hint="eastAsia" w:ascii="仿宋_GB2312" w:hAnsi="仿宋_GB2312" w:eastAsia="仿宋_GB2312" w:cs="仿宋_GB2312"/>
          <w:kern w:val="2"/>
          <w:sz w:val="32"/>
          <w:szCs w:val="32"/>
          <w:lang w:val="en-US" w:eastAsia="zh-CN" w:bidi="ar-SA"/>
        </w:rPr>
        <w:t>全县共有在建重点项目5个（云冰山、蓝山谷、禹公岩、湘江源、百叠岭景区），完成实际投资额约23亿。</w:t>
      </w:r>
    </w:p>
    <w:p w14:paraId="08CA3454">
      <w:pPr>
        <w:pStyle w:val="10"/>
        <w:keepNext w:val="0"/>
        <w:keepLines w:val="0"/>
        <w:pageBreakBefore w:val="0"/>
        <w:widowControl/>
        <w:numPr>
          <w:ilvl w:val="0"/>
          <w:numId w:val="0"/>
        </w:numPr>
        <w:tabs>
          <w:tab w:val="left" w:pos="2520"/>
        </w:tabs>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i w:val="0"/>
          <w:iCs w:val="0"/>
          <w:color w:val="auto"/>
          <w:spacing w:val="0"/>
          <w:kern w:val="2"/>
          <w:sz w:val="32"/>
          <w:szCs w:val="32"/>
          <w:u w:val="none"/>
          <w:shd w:val="clear" w:color="auto" w:fill="FFFFFF"/>
          <w:lang w:val="en-US" w:eastAsia="zh-CN" w:bidi="ar-SA"/>
        </w:rPr>
        <w:t>6、</w:t>
      </w:r>
      <w:r>
        <w:rPr>
          <w:rFonts w:hint="eastAsia" w:ascii="楷体_GB2312" w:hAnsi="楷体_GB2312" w:eastAsia="楷体_GB2312" w:cs="楷体_GB2312"/>
          <w:b w:val="0"/>
          <w:bCs w:val="0"/>
          <w:i w:val="0"/>
          <w:iCs w:val="0"/>
          <w:color w:val="auto"/>
          <w:spacing w:val="0"/>
          <w:kern w:val="2"/>
          <w:sz w:val="32"/>
          <w:szCs w:val="32"/>
          <w:u w:val="none"/>
          <w:shd w:val="clear" w:color="auto" w:fill="FFFFFF"/>
          <w:lang w:val="en-US" w:eastAsia="zh-CN" w:bidi="ar-SA"/>
        </w:rPr>
        <w:t>聚焦广播在防汛救灾中的重要重用，纵深推进“村村响”广播提质升级。</w:t>
      </w:r>
      <w:r>
        <w:rPr>
          <w:rFonts w:hint="eastAsia" w:ascii="仿宋_GB2312" w:hAnsi="仿宋_GB2312" w:eastAsia="仿宋_GB2312" w:cs="仿宋_GB2312"/>
          <w:color w:val="auto"/>
          <w:sz w:val="32"/>
          <w:szCs w:val="32"/>
          <w:u w:val="none"/>
          <w:shd w:val="clear" w:color="auto" w:fill="FFFFFF"/>
          <w:lang w:val="en-US" w:eastAsia="zh-CN"/>
        </w:rPr>
        <w:t>依托“村村响”融合共享平台,每年上传广播节目1000小时以上,供全县“村村响”平台日常播出使用。对乡镇（村）各级平台开展设备维修工作累计700小时以上，今年，根据上级对应急广播提质升级的工作要求，对全县14个乡镇209个村，454个站点进行“村村响”提质改造升级建设，财政投入316万余元，新建喇叭908个。</w:t>
      </w:r>
    </w:p>
    <w:p w14:paraId="2311F857">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bCs w:val="0"/>
          <w:i w:val="0"/>
          <w:iCs w:val="0"/>
          <w:caps w:val="0"/>
          <w:color w:val="000000"/>
          <w:spacing w:val="0"/>
          <w:kern w:val="2"/>
          <w:sz w:val="32"/>
          <w:szCs w:val="32"/>
          <w:highlight w:val="none"/>
          <w:shd w:val="clear" w:fill="FFFFFF"/>
          <w:lang w:val="en-US" w:eastAsia="zh-CN" w:bidi="ar-SA"/>
        </w:rPr>
      </w:pPr>
      <w:r>
        <w:rPr>
          <w:rFonts w:hint="eastAsia" w:ascii="楷体_GB2312" w:hAnsi="楷体_GB2312" w:eastAsia="楷体_GB2312" w:cs="楷体_GB2312"/>
          <w:bCs w:val="0"/>
          <w:i w:val="0"/>
          <w:iCs w:val="0"/>
          <w:caps w:val="0"/>
          <w:color w:val="000000"/>
          <w:spacing w:val="0"/>
          <w:kern w:val="2"/>
          <w:sz w:val="32"/>
          <w:szCs w:val="32"/>
          <w:highlight w:val="none"/>
          <w:shd w:val="clear" w:fill="FFFFFF"/>
          <w:lang w:val="en-US" w:eastAsia="zh-CN" w:bidi="ar-SA"/>
        </w:rPr>
        <w:t>7、聚焦行业主管安全监督需求，护航文体旅市场高质量发展。</w:t>
      </w:r>
      <w:r>
        <w:rPr>
          <w:rFonts w:hint="eastAsia" w:ascii="仿宋_GB2312" w:hAnsi="仿宋_GB2312" w:eastAsia="仿宋_GB2312" w:cs="仿宋_GB2312"/>
          <w:b w:val="0"/>
          <w:bCs w:val="0"/>
          <w:sz w:val="32"/>
          <w:szCs w:val="32"/>
          <w:lang w:val="en-US" w:eastAsia="zh-CN"/>
        </w:rPr>
        <w:t>我局执法大队采取日常巡查与突击检查相结合，规范全县娱乐场所经营行为，严厉打击无证经营、违规演出、接纳未成年、超时经营、利用游戏机进行非法活动以及使用盗版软件行为，查处含不健康、不合法内容的各类歌曲、娱乐和演出活动。“三考”期间，为给学生营造一个安静的学习生活环境，大队领导带队，中队分组日夜不间断巡查，严厉查处不按上级规定时间营业的娱乐场所，为“三考”保驾护航，今年共出动执法人员1317人次，检查经营单位215家次，查处违规经营单位4家。并对电影放映单位加强日常监管，制定了放映单位巡查责任目标，今年全县影院未发生一起放映未获得放映许可证或没有放映授权影片的现象。今年严厉打击了非法销售广播地面接收设施，接收地面卫星电视的违法行为，全年共开展专项整治行动2次，共收缴非法接收卫星电视器材5套，除此还从严查处了私设小片网、宾馆小前端等行为。</w:t>
      </w:r>
    </w:p>
    <w:p w14:paraId="54D6199C">
      <w:pPr>
        <w:pStyle w:val="8"/>
        <w:pageBreakBefore w:val="0"/>
        <w:numPr>
          <w:ilvl w:val="0"/>
          <w:numId w:val="0"/>
        </w:numPr>
        <w:shd w:val="clear" w:color="auto"/>
        <w:kinsoku/>
        <w:wordWrap/>
        <w:overflowPunct/>
        <w:topLinePunct w:val="0"/>
        <w:autoSpaceDE/>
        <w:autoSpaceDN/>
        <w:bidi w:val="0"/>
        <w:adjustRightInd/>
        <w:snapToGrid/>
        <w:spacing w:line="240" w:lineRule="auto"/>
        <w:ind w:left="640" w:leftChars="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（三）部门整体收支出概况</w:t>
      </w:r>
    </w:p>
    <w:p w14:paraId="7748C753">
      <w:pPr>
        <w:pageBreakBefore w:val="0"/>
        <w:widowControl/>
        <w:shd w:val="clear"/>
        <w:kinsoku/>
        <w:wordWrap/>
        <w:overflowPunct/>
        <w:topLinePunct w:val="0"/>
        <w:autoSpaceDE/>
        <w:autoSpaceDN/>
        <w:bidi w:val="0"/>
        <w:adjustRightInd/>
        <w:snapToGrid/>
        <w:spacing w:line="240" w:lineRule="auto"/>
        <w:ind w:firstLine="627" w:firstLineChars="196"/>
        <w:jc w:val="left"/>
        <w:textAlignment w:val="auto"/>
        <w:rPr>
          <w:rFonts w:hint="eastAsia" w:ascii="Times New Roman" w:hAnsi="Times New Roman" w:eastAsia="仿宋_GB2312"/>
          <w:bCs/>
          <w:kern w:val="0"/>
          <w:sz w:val="32"/>
          <w:szCs w:val="32"/>
        </w:rPr>
      </w:pPr>
      <w:r>
        <w:rPr>
          <w:rFonts w:hint="eastAsia" w:eastAsia="仿宋_GB2312"/>
          <w:bCs/>
          <w:kern w:val="0"/>
          <w:sz w:val="32"/>
          <w:szCs w:val="32"/>
          <w:lang w:val="en-US" w:eastAsia="zh-CN"/>
        </w:rPr>
        <w:t>2024</w:t>
      </w:r>
      <w:r>
        <w:rPr>
          <w:rFonts w:hint="eastAsia" w:ascii="Times New Roman" w:hAnsi="Times New Roman" w:eastAsia="仿宋_GB2312"/>
          <w:bCs/>
          <w:kern w:val="0"/>
          <w:sz w:val="32"/>
          <w:szCs w:val="32"/>
        </w:rPr>
        <w:t>年部门收支完成情况</w:t>
      </w:r>
      <w:r>
        <w:rPr>
          <w:rFonts w:hint="eastAsia" w:ascii="Times New Roman" w:hAnsi="Times New Roman" w:eastAsia="仿宋_GB2312"/>
          <w:bCs/>
          <w:kern w:val="0"/>
          <w:sz w:val="32"/>
          <w:szCs w:val="32"/>
          <w:lang w:eastAsia="zh-CN"/>
        </w:rPr>
        <w:t>：</w:t>
      </w:r>
      <w:r>
        <w:rPr>
          <w:rFonts w:hint="eastAsia" w:eastAsia="仿宋_GB2312"/>
          <w:bCs/>
          <w:kern w:val="0"/>
          <w:sz w:val="32"/>
          <w:szCs w:val="32"/>
          <w:lang w:eastAsia="zh-CN"/>
        </w:rPr>
        <w:t>2024</w:t>
      </w:r>
      <w:r>
        <w:rPr>
          <w:rFonts w:hint="eastAsia" w:ascii="Times New Roman" w:hAnsi="Times New Roman" w:eastAsia="仿宋_GB2312"/>
          <w:bCs/>
          <w:kern w:val="0"/>
          <w:sz w:val="32"/>
          <w:szCs w:val="32"/>
        </w:rPr>
        <w:t>年度本</w:t>
      </w:r>
      <w:r>
        <w:rPr>
          <w:rFonts w:hint="eastAsia" w:ascii="Times New Roman" w:hAnsi="Times New Roman" w:eastAsia="仿宋_GB2312"/>
          <w:bCs/>
          <w:kern w:val="0"/>
          <w:sz w:val="32"/>
          <w:szCs w:val="32"/>
          <w:lang w:eastAsia="zh-CN"/>
        </w:rPr>
        <w:t>部门</w:t>
      </w:r>
      <w:r>
        <w:rPr>
          <w:rFonts w:hint="eastAsia" w:ascii="Times New Roman" w:hAnsi="Times New Roman" w:eastAsia="仿宋_GB2312"/>
          <w:bCs/>
          <w:kern w:val="0"/>
          <w:sz w:val="32"/>
          <w:szCs w:val="32"/>
        </w:rPr>
        <w:t>安排预算收入</w:t>
      </w:r>
      <w:r>
        <w:rPr>
          <w:rFonts w:hint="eastAsia" w:eastAsia="仿宋_GB2312"/>
          <w:bCs/>
          <w:kern w:val="0"/>
          <w:sz w:val="32"/>
          <w:szCs w:val="32"/>
          <w:lang w:val="en-US" w:eastAsia="zh-CN"/>
        </w:rPr>
        <w:t>814.16</w:t>
      </w:r>
      <w:r>
        <w:rPr>
          <w:rFonts w:hint="eastAsia" w:ascii="Times New Roman" w:hAnsi="Times New Roman" w:eastAsia="仿宋_GB2312"/>
          <w:bCs/>
          <w:kern w:val="0"/>
          <w:sz w:val="32"/>
          <w:szCs w:val="32"/>
        </w:rPr>
        <w:t>万元，安排预算支出</w:t>
      </w:r>
      <w:r>
        <w:rPr>
          <w:rFonts w:hint="eastAsia" w:eastAsia="仿宋_GB2312"/>
          <w:bCs/>
          <w:kern w:val="0"/>
          <w:sz w:val="32"/>
          <w:szCs w:val="32"/>
          <w:lang w:val="en-US" w:eastAsia="zh-CN"/>
        </w:rPr>
        <w:t>814.16</w:t>
      </w:r>
      <w:r>
        <w:rPr>
          <w:rFonts w:hint="eastAsia" w:ascii="Times New Roman" w:hAnsi="Times New Roman" w:eastAsia="仿宋_GB2312"/>
          <w:bCs/>
          <w:kern w:val="0"/>
          <w:sz w:val="32"/>
          <w:szCs w:val="32"/>
        </w:rPr>
        <w:t>万元；</w:t>
      </w:r>
    </w:p>
    <w:p w14:paraId="61839A10">
      <w:pPr>
        <w:pageBreakBefore w:val="0"/>
        <w:widowControl/>
        <w:shd w:val="clear"/>
        <w:kinsoku/>
        <w:wordWrap/>
        <w:overflowPunct/>
        <w:topLinePunct w:val="0"/>
        <w:autoSpaceDE/>
        <w:autoSpaceDN/>
        <w:bidi w:val="0"/>
        <w:adjustRightInd/>
        <w:snapToGrid/>
        <w:spacing w:line="240" w:lineRule="auto"/>
        <w:ind w:firstLine="627" w:firstLineChars="196"/>
        <w:jc w:val="left"/>
        <w:textAlignment w:val="auto"/>
        <w:rPr>
          <w:rFonts w:hint="eastAsia" w:ascii="Times New Roman" w:hAnsi="Times New Roman" w:eastAsia="仿宋_GB2312"/>
          <w:bCs/>
          <w:kern w:val="0"/>
          <w:sz w:val="32"/>
          <w:szCs w:val="32"/>
          <w:lang w:val="en-US" w:eastAsia="zh-CN"/>
        </w:rPr>
      </w:pPr>
      <w:r>
        <w:rPr>
          <w:rFonts w:hint="eastAsia" w:ascii="Times New Roman" w:hAnsi="Times New Roman" w:eastAsia="仿宋_GB2312"/>
          <w:bCs/>
          <w:kern w:val="0"/>
          <w:sz w:val="32"/>
          <w:szCs w:val="32"/>
          <w:lang w:val="en-US" w:eastAsia="zh-CN"/>
        </w:rPr>
        <w:t>1、</w:t>
      </w:r>
      <w:r>
        <w:rPr>
          <w:rFonts w:hint="eastAsia" w:ascii="Times New Roman" w:hAnsi="Times New Roman" w:eastAsia="仿宋_GB2312"/>
          <w:bCs/>
          <w:kern w:val="0"/>
          <w:sz w:val="32"/>
          <w:szCs w:val="32"/>
        </w:rPr>
        <w:t>收入：决算总收入</w:t>
      </w:r>
      <w:r>
        <w:rPr>
          <w:rFonts w:hint="eastAsia" w:eastAsia="仿宋_GB2312"/>
          <w:bCs/>
          <w:kern w:val="0"/>
          <w:sz w:val="32"/>
          <w:szCs w:val="32"/>
          <w:lang w:val="en-US" w:eastAsia="zh-CN"/>
        </w:rPr>
        <w:t>814.16</w:t>
      </w:r>
      <w:r>
        <w:rPr>
          <w:rFonts w:hint="eastAsia" w:ascii="Times New Roman" w:hAnsi="Times New Roman" w:eastAsia="仿宋_GB2312"/>
          <w:bCs/>
          <w:kern w:val="0"/>
          <w:sz w:val="32"/>
          <w:szCs w:val="32"/>
        </w:rPr>
        <w:t>万元，其中财政拨款收入</w:t>
      </w:r>
      <w:r>
        <w:rPr>
          <w:rFonts w:hint="eastAsia" w:ascii="Times New Roman" w:hAnsi="Times New Roman" w:eastAsia="仿宋_GB2312"/>
          <w:bCs/>
          <w:kern w:val="0"/>
          <w:sz w:val="32"/>
          <w:szCs w:val="32"/>
          <w:lang w:val="en-US" w:eastAsia="zh-CN"/>
        </w:rPr>
        <w:t xml:space="preserve">  </w:t>
      </w:r>
      <w:r>
        <w:rPr>
          <w:rFonts w:hint="eastAsia" w:eastAsia="仿宋_GB2312"/>
          <w:bCs/>
          <w:kern w:val="0"/>
          <w:sz w:val="32"/>
          <w:szCs w:val="32"/>
          <w:lang w:val="en-US" w:eastAsia="zh-CN"/>
        </w:rPr>
        <w:t>814.16</w:t>
      </w:r>
      <w:r>
        <w:rPr>
          <w:rFonts w:hint="eastAsia" w:ascii="Times New Roman" w:hAnsi="Times New Roman" w:eastAsia="仿宋_GB2312"/>
          <w:bCs/>
          <w:kern w:val="0"/>
          <w:sz w:val="32"/>
          <w:szCs w:val="32"/>
        </w:rPr>
        <w:t>万元</w:t>
      </w:r>
      <w:r>
        <w:rPr>
          <w:rFonts w:hint="eastAsia" w:ascii="Times New Roman" w:hAnsi="Times New Roman" w:eastAsia="仿宋_GB2312"/>
          <w:bCs/>
          <w:kern w:val="0"/>
          <w:sz w:val="32"/>
          <w:szCs w:val="32"/>
          <w:lang w:eastAsia="zh-CN"/>
        </w:rPr>
        <w:t>。</w:t>
      </w:r>
    </w:p>
    <w:p w14:paraId="286592C3">
      <w:pPr>
        <w:pageBreakBefore w:val="0"/>
        <w:widowControl/>
        <w:shd w:val="clear"/>
        <w:kinsoku/>
        <w:wordWrap/>
        <w:overflowPunct/>
        <w:topLinePunct w:val="0"/>
        <w:autoSpaceDE/>
        <w:autoSpaceDN/>
        <w:bidi w:val="0"/>
        <w:adjustRightInd/>
        <w:snapToGrid/>
        <w:spacing w:line="240" w:lineRule="auto"/>
        <w:ind w:firstLine="627" w:firstLineChars="196"/>
        <w:jc w:val="left"/>
        <w:textAlignment w:val="auto"/>
        <w:rPr>
          <w:rFonts w:hint="default" w:ascii="Times New Roman" w:hAnsi="Times New Roman" w:eastAsia="仿宋_GB2312"/>
          <w:bCs/>
          <w:kern w:val="0"/>
          <w:sz w:val="32"/>
          <w:szCs w:val="32"/>
          <w:lang w:val="en-US" w:eastAsia="zh-CN"/>
        </w:rPr>
      </w:pPr>
      <w:r>
        <w:rPr>
          <w:rFonts w:hint="eastAsia" w:ascii="Times New Roman" w:hAnsi="Times New Roman" w:eastAsia="仿宋_GB2312"/>
          <w:bCs/>
          <w:kern w:val="0"/>
          <w:sz w:val="32"/>
          <w:szCs w:val="32"/>
          <w:lang w:val="en-US" w:eastAsia="zh-CN"/>
        </w:rPr>
        <w:t>2、</w:t>
      </w:r>
      <w:r>
        <w:rPr>
          <w:rFonts w:hint="eastAsia" w:ascii="Times New Roman" w:hAnsi="Times New Roman" w:eastAsia="仿宋_GB2312"/>
          <w:bCs/>
          <w:kern w:val="0"/>
          <w:sz w:val="32"/>
          <w:szCs w:val="32"/>
        </w:rPr>
        <w:t>支出：决算总支出</w:t>
      </w:r>
      <w:r>
        <w:rPr>
          <w:rFonts w:hint="eastAsia" w:eastAsia="仿宋_GB2312"/>
          <w:bCs/>
          <w:kern w:val="0"/>
          <w:sz w:val="32"/>
          <w:szCs w:val="32"/>
          <w:lang w:val="en-US" w:eastAsia="zh-CN"/>
        </w:rPr>
        <w:t>814.16</w:t>
      </w:r>
      <w:r>
        <w:rPr>
          <w:rFonts w:hint="eastAsia" w:ascii="Times New Roman" w:hAnsi="Times New Roman" w:eastAsia="仿宋_GB2312"/>
          <w:bCs/>
          <w:kern w:val="0"/>
          <w:sz w:val="32"/>
          <w:szCs w:val="32"/>
        </w:rPr>
        <w:t>万元，其中</w:t>
      </w:r>
      <w:r>
        <w:rPr>
          <w:rFonts w:hint="eastAsia" w:eastAsia="仿宋_GB2312"/>
          <w:bCs/>
          <w:kern w:val="0"/>
          <w:sz w:val="32"/>
          <w:szCs w:val="32"/>
          <w:lang w:val="en-US" w:eastAsia="zh-CN"/>
        </w:rPr>
        <w:t>基本</w:t>
      </w:r>
      <w:r>
        <w:rPr>
          <w:rFonts w:hint="eastAsia" w:ascii="Times New Roman" w:hAnsi="Times New Roman" w:eastAsia="仿宋_GB2312"/>
          <w:bCs/>
          <w:kern w:val="0"/>
          <w:sz w:val="32"/>
          <w:szCs w:val="32"/>
        </w:rPr>
        <w:t>支出</w:t>
      </w:r>
      <w:r>
        <w:rPr>
          <w:rFonts w:hint="eastAsia" w:eastAsia="仿宋_GB2312"/>
          <w:bCs/>
          <w:kern w:val="0"/>
          <w:sz w:val="32"/>
          <w:szCs w:val="32"/>
          <w:lang w:val="en-US" w:eastAsia="zh-CN"/>
        </w:rPr>
        <w:t>647.00</w:t>
      </w:r>
      <w:r>
        <w:rPr>
          <w:rFonts w:hint="eastAsia" w:ascii="Times New Roman" w:hAnsi="Times New Roman" w:eastAsia="仿宋_GB2312"/>
          <w:bCs/>
          <w:kern w:val="0"/>
          <w:sz w:val="32"/>
          <w:szCs w:val="32"/>
        </w:rPr>
        <w:t>万元，项目支出</w:t>
      </w:r>
      <w:r>
        <w:rPr>
          <w:rFonts w:hint="eastAsia" w:eastAsia="仿宋_GB2312"/>
          <w:bCs/>
          <w:kern w:val="0"/>
          <w:sz w:val="32"/>
          <w:szCs w:val="32"/>
          <w:lang w:val="en-US" w:eastAsia="zh-CN"/>
        </w:rPr>
        <w:t>167.16</w:t>
      </w:r>
      <w:r>
        <w:rPr>
          <w:rFonts w:hint="eastAsia" w:ascii="Times New Roman" w:hAnsi="Times New Roman" w:eastAsia="仿宋_GB2312"/>
          <w:bCs/>
          <w:kern w:val="0"/>
          <w:sz w:val="32"/>
          <w:szCs w:val="32"/>
        </w:rPr>
        <w:t>万元</w:t>
      </w:r>
      <w:r>
        <w:rPr>
          <w:rFonts w:hint="eastAsia" w:ascii="Times New Roman" w:hAnsi="Times New Roman" w:eastAsia="仿宋_GB2312"/>
          <w:bCs/>
          <w:kern w:val="0"/>
          <w:sz w:val="32"/>
          <w:szCs w:val="32"/>
          <w:lang w:eastAsia="zh-CN"/>
        </w:rPr>
        <w:t>。</w:t>
      </w:r>
      <w:r>
        <w:rPr>
          <w:rFonts w:hint="eastAsia" w:ascii="Times New Roman" w:hAnsi="Times New Roman" w:eastAsia="仿宋_GB2312"/>
          <w:bCs/>
          <w:kern w:val="0"/>
          <w:sz w:val="32"/>
          <w:szCs w:val="32"/>
          <w:lang w:val="en-US" w:eastAsia="zh-CN"/>
        </w:rPr>
        <w:t xml:space="preserve"> </w:t>
      </w:r>
    </w:p>
    <w:p w14:paraId="44FF0356">
      <w:pPr>
        <w:pStyle w:val="8"/>
        <w:pageBreakBefore w:val="0"/>
        <w:numPr>
          <w:ilvl w:val="0"/>
          <w:numId w:val="1"/>
        </w:numPr>
        <w:shd w:val="clear" w:color="auto"/>
        <w:kinsoku/>
        <w:wordWrap/>
        <w:overflowPunct/>
        <w:topLinePunct w:val="0"/>
        <w:autoSpaceDE/>
        <w:autoSpaceDN/>
        <w:bidi w:val="0"/>
        <w:adjustRightInd/>
        <w:snapToGrid/>
        <w:spacing w:line="240" w:lineRule="auto"/>
        <w:ind w:firstLineChars="0"/>
        <w:textAlignment w:val="auto"/>
        <w:rPr>
          <w:rFonts w:hint="eastAsia" w:ascii="黑体" w:hAnsi="黑体" w:eastAsia="黑体" w:cs="黑体"/>
          <w:b/>
          <w:bCs/>
          <w:sz w:val="32"/>
          <w:szCs w:val="32"/>
        </w:rPr>
      </w:pPr>
      <w:r>
        <w:rPr>
          <w:rFonts w:hint="eastAsia" w:ascii="黑体" w:hAnsi="黑体" w:eastAsia="黑体" w:cs="黑体"/>
          <w:b/>
          <w:bCs/>
          <w:sz w:val="32"/>
          <w:szCs w:val="32"/>
        </w:rPr>
        <w:t>整体支出管理及使用情况</w:t>
      </w:r>
    </w:p>
    <w:p w14:paraId="6A59BD2C">
      <w:pPr>
        <w:pageBreakBefore w:val="0"/>
        <w:shd w:val="clear" w:color="auto"/>
        <w:kinsoku/>
        <w:wordWrap/>
        <w:overflowPunct/>
        <w:topLinePunct w:val="0"/>
        <w:autoSpaceDE/>
        <w:autoSpaceDN/>
        <w:bidi w:val="0"/>
        <w:adjustRightInd/>
        <w:snapToGrid/>
        <w:spacing w:line="240" w:lineRule="auto"/>
        <w:ind w:firstLine="803" w:firstLineChars="25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（一）基本支出管理情况</w:t>
      </w:r>
    </w:p>
    <w:p w14:paraId="111F9A2A">
      <w:pPr>
        <w:pageBreakBefore w:val="0"/>
        <w:shd w:val="clear" w:color="auto"/>
        <w:kinsoku/>
        <w:wordWrap/>
        <w:overflowPunct/>
        <w:topLinePunct w:val="0"/>
        <w:autoSpaceDE/>
        <w:autoSpaceDN/>
        <w:bidi w:val="0"/>
        <w:adjustRightInd/>
        <w:snapToGrid/>
        <w:spacing w:line="240" w:lineRule="auto"/>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1、根据</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文件批复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val="en-US" w:eastAsia="zh-CN"/>
        </w:rPr>
        <w:t>726.06</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629.57</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 xml:space="preserve">   96.49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“三公”经费支出控制数</w:t>
      </w:r>
      <w:r>
        <w:rPr>
          <w:rFonts w:hint="eastAsia" w:ascii="仿宋_GB2312" w:hAnsi="仿宋_GB2312" w:eastAsia="仿宋_GB2312" w:cs="仿宋_GB2312"/>
          <w:sz w:val="32"/>
          <w:szCs w:val="32"/>
          <w:lang w:val="en-US" w:eastAsia="zh-CN"/>
        </w:rPr>
        <w:t>20.5</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 xml:space="preserve"> 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公务用车运行费</w:t>
      </w:r>
      <w:r>
        <w:rPr>
          <w:rFonts w:hint="eastAsia" w:ascii="仿宋_GB2312" w:hAnsi="仿宋_GB2312" w:eastAsia="仿宋_GB2312" w:cs="仿宋_GB2312"/>
          <w:sz w:val="32"/>
          <w:szCs w:val="32"/>
          <w:lang w:val="en-US" w:eastAsia="zh-CN"/>
        </w:rPr>
        <w:t>0.5万元</w:t>
      </w:r>
      <w:r>
        <w:rPr>
          <w:rFonts w:hint="eastAsia" w:ascii="仿宋_GB2312" w:hAnsi="仿宋_GB2312" w:eastAsia="仿宋_GB2312" w:cs="仿宋_GB2312"/>
          <w:sz w:val="32"/>
          <w:szCs w:val="32"/>
        </w:rPr>
        <w:t>。</w:t>
      </w:r>
    </w:p>
    <w:p w14:paraId="77954071">
      <w:pPr>
        <w:keepNext w:val="0"/>
        <w:keepLines w:val="0"/>
        <w:pageBreakBefore w:val="0"/>
        <w:widowControl w:val="0"/>
        <w:shd w:val="clear" w:color="auto"/>
        <w:kinsoku/>
        <w:wordWrap/>
        <w:overflowPunct/>
        <w:topLinePunct w:val="0"/>
        <w:autoSpaceDE/>
        <w:autoSpaceDN/>
        <w:bidi w:val="0"/>
        <w:adjustRightInd/>
        <w:snapToGrid/>
        <w:spacing w:line="240" w:lineRule="auto"/>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2、基本支出</w:t>
      </w:r>
      <w:r>
        <w:rPr>
          <w:rFonts w:hint="eastAsia" w:ascii="仿宋_GB2312" w:hAnsi="仿宋_GB2312" w:eastAsia="仿宋_GB2312" w:cs="仿宋_GB2312"/>
          <w:sz w:val="32"/>
          <w:szCs w:val="32"/>
          <w:lang w:eastAsia="zh-CN"/>
        </w:rPr>
        <w:t>决算</w:t>
      </w:r>
      <w:r>
        <w:rPr>
          <w:rFonts w:hint="eastAsia" w:ascii="仿宋_GB2312" w:hAnsi="仿宋_GB2312" w:eastAsia="仿宋_GB2312" w:cs="仿宋_GB2312"/>
          <w:sz w:val="32"/>
          <w:szCs w:val="32"/>
        </w:rPr>
        <w:t>执行情况：</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部门决算</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753.91</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619.05</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67.89</w:t>
      </w:r>
      <w:r>
        <w:rPr>
          <w:rFonts w:hint="eastAsia" w:ascii="仿宋_GB2312" w:hAnsi="仿宋_GB2312" w:eastAsia="仿宋_GB2312" w:cs="仿宋_GB2312"/>
          <w:sz w:val="32"/>
          <w:szCs w:val="32"/>
        </w:rPr>
        <w:t>万元，“三公”经费支出控制数</w:t>
      </w:r>
      <w:r>
        <w:rPr>
          <w:rFonts w:hint="eastAsia" w:ascii="仿宋_GB2312" w:hAnsi="仿宋_GB2312" w:eastAsia="仿宋_GB2312" w:cs="仿宋_GB2312"/>
          <w:sz w:val="32"/>
          <w:szCs w:val="32"/>
          <w:lang w:val="en-US" w:eastAsia="zh-CN"/>
        </w:rPr>
        <w:t>1.15</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1.15</w:t>
      </w:r>
      <w:r>
        <w:rPr>
          <w:rFonts w:hint="eastAsia" w:ascii="仿宋_GB2312" w:hAnsi="仿宋_GB2312" w:eastAsia="仿宋_GB2312" w:cs="仿宋_GB2312"/>
          <w:sz w:val="32"/>
          <w:szCs w:val="32"/>
        </w:rPr>
        <w:t>万元。</w:t>
      </w:r>
    </w:p>
    <w:p w14:paraId="0FD16B6D">
      <w:pPr>
        <w:pageBreakBefore w:val="0"/>
        <w:shd w:val="clear" w:color="auto"/>
        <w:kinsoku/>
        <w:wordWrap/>
        <w:overflowPunct/>
        <w:topLinePunct w:val="0"/>
        <w:autoSpaceDE/>
        <w:autoSpaceDN/>
        <w:bidi w:val="0"/>
        <w:adjustRightInd/>
        <w:snapToGrid/>
        <w:spacing w:line="240" w:lineRule="auto"/>
        <w:ind w:firstLine="803" w:firstLineChars="25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（二）“三公经费”支出和使用情况</w:t>
      </w:r>
    </w:p>
    <w:p w14:paraId="01F97354">
      <w:pPr>
        <w:pageBreakBefore w:val="0"/>
        <w:shd w:val="clear" w:color="auto"/>
        <w:kinsoku/>
        <w:wordWrap/>
        <w:overflowPunct/>
        <w:topLinePunct w:val="0"/>
        <w:autoSpaceDE/>
        <w:autoSpaceDN/>
        <w:bidi w:val="0"/>
        <w:adjustRightInd/>
        <w:snapToGrid/>
        <w:spacing w:line="240" w:lineRule="auto"/>
        <w:ind w:firstLine="800" w:firstLineChars="250"/>
        <w:textAlignment w:val="auto"/>
        <w:rPr>
          <w:rFonts w:hint="default" w:ascii="仿宋_GB2312" w:hAnsi="仿宋_GB2312" w:eastAsia="仿宋_GB2312" w:cs="仿宋_GB2312"/>
          <w:sz w:val="32"/>
          <w:szCs w:val="32"/>
          <w:highlight w:val="red"/>
          <w:lang w:val="en-US" w:eastAsia="zh-CN"/>
        </w:rPr>
      </w:pPr>
      <w:r>
        <w:rPr>
          <w:rFonts w:hint="eastAsia" w:ascii="仿宋_GB2312" w:hAnsi="仿宋_GB2312" w:eastAsia="仿宋_GB2312" w:cs="仿宋_GB2312"/>
          <w:sz w:val="32"/>
          <w:szCs w:val="32"/>
          <w:lang w:val="en-US" w:eastAsia="zh-CN"/>
        </w:rPr>
        <w:t>1、2024</w:t>
      </w:r>
      <w:r>
        <w:rPr>
          <w:rFonts w:hint="eastAsia" w:ascii="仿宋_GB2312" w:hAnsi="仿宋_GB2312" w:eastAsia="仿宋_GB2312" w:cs="仿宋_GB2312"/>
          <w:sz w:val="32"/>
          <w:szCs w:val="32"/>
        </w:rPr>
        <w:t>年“三公经费”预算数</w:t>
      </w:r>
      <w:r>
        <w:rPr>
          <w:rFonts w:hint="eastAsia" w:ascii="仿宋_GB2312" w:hAnsi="仿宋_GB2312" w:eastAsia="仿宋_GB2312" w:cs="仿宋_GB2312"/>
          <w:sz w:val="32"/>
          <w:szCs w:val="32"/>
          <w:lang w:val="en-US" w:eastAsia="zh-CN"/>
        </w:rPr>
        <w:t>20.5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公务用车运行费</w:t>
      </w:r>
      <w:r>
        <w:rPr>
          <w:rFonts w:hint="eastAsia" w:ascii="仿宋_GB2312" w:hAnsi="仿宋_GB2312" w:eastAsia="仿宋_GB2312" w:cs="仿宋_GB2312"/>
          <w:sz w:val="32"/>
          <w:szCs w:val="32"/>
          <w:lang w:val="en-US" w:eastAsia="zh-CN"/>
        </w:rPr>
        <w:t>0.5万元。</w:t>
      </w:r>
    </w:p>
    <w:p w14:paraId="59713852">
      <w:pPr>
        <w:pageBreakBefore w:val="0"/>
        <w:shd w:val="clear" w:color="auto"/>
        <w:kinsoku/>
        <w:wordWrap/>
        <w:overflowPunct/>
        <w:topLinePunct w:val="0"/>
        <w:autoSpaceDE/>
        <w:autoSpaceDN/>
        <w:bidi w:val="0"/>
        <w:adjustRightInd/>
        <w:snapToGrid/>
        <w:spacing w:line="240" w:lineRule="auto"/>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年“三公经费”执行情况：</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年“三公经费”</w:t>
      </w:r>
      <w:r>
        <w:rPr>
          <w:rFonts w:hint="eastAsia" w:ascii="仿宋_GB2312" w:hAnsi="仿宋_GB2312" w:eastAsia="仿宋_GB2312" w:cs="仿宋_GB2312"/>
          <w:sz w:val="32"/>
          <w:szCs w:val="32"/>
          <w:lang w:eastAsia="zh-CN"/>
        </w:rPr>
        <w:t>决</w:t>
      </w:r>
      <w:r>
        <w:rPr>
          <w:rFonts w:hint="eastAsia" w:ascii="仿宋_GB2312" w:hAnsi="仿宋_GB2312" w:eastAsia="仿宋_GB2312" w:cs="仿宋_GB2312"/>
          <w:sz w:val="32"/>
          <w:szCs w:val="32"/>
        </w:rPr>
        <w:t>算数</w:t>
      </w:r>
      <w:r>
        <w:rPr>
          <w:rFonts w:hint="eastAsia" w:ascii="仿宋_GB2312" w:hAnsi="仿宋_GB2312" w:eastAsia="仿宋_GB2312" w:cs="仿宋_GB2312"/>
          <w:sz w:val="32"/>
          <w:szCs w:val="32"/>
          <w:lang w:val="en-US" w:eastAsia="zh-CN"/>
        </w:rPr>
        <w:t>1.15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1.15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p>
    <w:p w14:paraId="18022330">
      <w:pPr>
        <w:pageBreakBefore w:val="0"/>
        <w:shd w:val="clear" w:color="auto"/>
        <w:kinsoku/>
        <w:wordWrap/>
        <w:overflowPunct/>
        <w:topLinePunct w:val="0"/>
        <w:autoSpaceDE/>
        <w:autoSpaceDN/>
        <w:bidi w:val="0"/>
        <w:adjustRightInd/>
        <w:snapToGrid/>
        <w:spacing w:line="240" w:lineRule="auto"/>
        <w:ind w:firstLine="800" w:firstLineChars="2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严格控制“三公经费”支出，比上年度“三公”经费支出数明显下降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厉行节约取得了良好效果。</w:t>
      </w:r>
    </w:p>
    <w:p w14:paraId="5F4D404E">
      <w:pPr>
        <w:pageBreakBefore w:val="0"/>
        <w:shd w:val="clear" w:color="auto"/>
        <w:kinsoku/>
        <w:wordWrap/>
        <w:overflowPunct/>
        <w:topLinePunct w:val="0"/>
        <w:autoSpaceDE/>
        <w:autoSpaceDN/>
        <w:bidi w:val="0"/>
        <w:adjustRightInd/>
        <w:snapToGrid/>
        <w:spacing w:line="240" w:lineRule="auto"/>
        <w:ind w:firstLine="803" w:firstLineChars="25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（三）项目支出管理和使用情况</w:t>
      </w:r>
    </w:p>
    <w:p w14:paraId="1854DFAB">
      <w:pPr>
        <w:pageBreakBefore w:val="0"/>
        <w:shd w:val="clear" w:color="auto"/>
        <w:kinsoku/>
        <w:wordWrap/>
        <w:overflowPunct/>
        <w:topLinePunct w:val="0"/>
        <w:autoSpaceDE/>
        <w:autoSpaceDN/>
        <w:bidi w:val="0"/>
        <w:adjustRightInd/>
        <w:snapToGrid/>
        <w:spacing w:line="240" w:lineRule="auto"/>
        <w:ind w:firstLine="480" w:firstLineChars="1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部门项目绩效目标为</w:t>
      </w:r>
      <w:r>
        <w:rPr>
          <w:rFonts w:hint="eastAsia" w:ascii="仿宋_GB2312" w:hAnsi="仿宋_GB2312" w:eastAsia="仿宋_GB2312" w:cs="仿宋_GB2312"/>
          <w:sz w:val="32"/>
          <w:szCs w:val="32"/>
          <w:lang w:val="en-US" w:eastAsia="zh-CN"/>
        </w:rPr>
        <w:t>156.8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实际执行</w:t>
      </w:r>
      <w:r>
        <w:rPr>
          <w:rFonts w:hint="eastAsia" w:ascii="仿宋_GB2312" w:hAnsi="仿宋_GB2312" w:eastAsia="仿宋_GB2312" w:cs="仿宋_GB2312"/>
          <w:sz w:val="32"/>
          <w:szCs w:val="32"/>
          <w:lang w:val="en-US" w:eastAsia="zh-CN"/>
        </w:rPr>
        <w:t>1986.06万元。</w:t>
      </w:r>
    </w:p>
    <w:p w14:paraId="17037B90">
      <w:pPr>
        <w:pStyle w:val="8"/>
        <w:pageBreakBefore w:val="0"/>
        <w:numPr>
          <w:ilvl w:val="0"/>
          <w:numId w:val="1"/>
        </w:numPr>
        <w:shd w:val="clear" w:color="auto"/>
        <w:kinsoku/>
        <w:wordWrap/>
        <w:overflowPunct/>
        <w:topLinePunct w:val="0"/>
        <w:autoSpaceDE/>
        <w:autoSpaceDN/>
        <w:bidi w:val="0"/>
        <w:adjustRightInd/>
        <w:snapToGrid/>
        <w:spacing w:line="240" w:lineRule="auto"/>
        <w:ind w:firstLineChars="0"/>
        <w:textAlignment w:val="auto"/>
        <w:rPr>
          <w:rFonts w:hint="eastAsia" w:ascii="黑体" w:hAnsi="黑体" w:eastAsia="黑体" w:cs="黑体"/>
          <w:b/>
          <w:bCs/>
          <w:sz w:val="32"/>
          <w:szCs w:val="32"/>
        </w:rPr>
      </w:pPr>
      <w:r>
        <w:rPr>
          <w:rFonts w:hint="eastAsia" w:ascii="黑体" w:hAnsi="黑体" w:eastAsia="黑体" w:cs="黑体"/>
          <w:b/>
          <w:bCs/>
          <w:sz w:val="32"/>
          <w:szCs w:val="32"/>
        </w:rPr>
        <w:t>绩效评价工作组织实施情况</w:t>
      </w:r>
    </w:p>
    <w:p w14:paraId="3FC5D11A">
      <w:pPr>
        <w:pageBreakBefore w:val="0"/>
        <w:shd w:val="clear" w:color="auto"/>
        <w:kinsoku/>
        <w:wordWrap/>
        <w:overflowPunct/>
        <w:topLinePunct w:val="0"/>
        <w:autoSpaceDE/>
        <w:autoSpaceDN/>
        <w:bidi w:val="0"/>
        <w:adjustRightInd/>
        <w:snapToGrid/>
        <w:spacing w:line="240" w:lineRule="auto"/>
        <w:ind w:firstLine="48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14:paraId="0234B98F">
      <w:pPr>
        <w:pStyle w:val="8"/>
        <w:pageBreakBefore w:val="0"/>
        <w:numPr>
          <w:ilvl w:val="0"/>
          <w:numId w:val="1"/>
        </w:numPr>
        <w:shd w:val="clear" w:color="auto"/>
        <w:kinsoku/>
        <w:wordWrap/>
        <w:overflowPunct/>
        <w:topLinePunct w:val="0"/>
        <w:autoSpaceDE/>
        <w:autoSpaceDN/>
        <w:bidi w:val="0"/>
        <w:adjustRightInd/>
        <w:snapToGrid/>
        <w:spacing w:line="240" w:lineRule="auto"/>
        <w:ind w:firstLineChars="0"/>
        <w:textAlignment w:val="auto"/>
        <w:rPr>
          <w:rFonts w:hint="eastAsia" w:ascii="黑体" w:hAnsi="黑体" w:eastAsia="黑体" w:cs="黑体"/>
          <w:b/>
          <w:bCs/>
          <w:sz w:val="32"/>
          <w:szCs w:val="32"/>
        </w:rPr>
      </w:pPr>
      <w:r>
        <w:rPr>
          <w:rFonts w:hint="eastAsia" w:ascii="黑体" w:hAnsi="黑体" w:eastAsia="黑体" w:cs="黑体"/>
          <w:b/>
          <w:bCs/>
          <w:sz w:val="32"/>
          <w:szCs w:val="32"/>
        </w:rPr>
        <w:t>整体支出绩效情况</w:t>
      </w:r>
      <w:bookmarkStart w:id="0" w:name="_GoBack"/>
      <w:bookmarkEnd w:id="0"/>
    </w:p>
    <w:p w14:paraId="6C6EB3C1">
      <w:pPr>
        <w:pStyle w:val="3"/>
        <w:keepNext/>
        <w:keepLines/>
        <w:pageBreakBefore w:val="0"/>
        <w:widowControl w:val="0"/>
        <w:shd w:val="clear"/>
        <w:kinsoku/>
        <w:wordWrap/>
        <w:overflowPunct/>
        <w:topLinePunct w:val="0"/>
        <w:autoSpaceDE/>
        <w:autoSpaceDN/>
        <w:bidi w:val="0"/>
        <w:adjustRightInd/>
        <w:snapToGrid/>
        <w:spacing w:before="0" w:beforeLines="0" w:after="0" w:afterLines="0" w:line="240" w:lineRule="auto"/>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kern w:val="2"/>
          <w:sz w:val="32"/>
          <w:szCs w:val="32"/>
          <w:lang w:val="en-US" w:eastAsia="zh-CN" w:bidi="ar-SA"/>
        </w:rPr>
        <w:t>从整体情况来看，我部门严格按照年初预算进行部门整体支出。在支出过程中，能严格控制“三公”经费支出，认真执行关于公务消费的有关规定及制度，对办公、印刷、差旅、会议、培训等支出进行严格控制和压缩。社会和公众满意度较高。根据对我单位2024年部门整体支出项目绩效评价指标体系和绩效情况的检查，2024年我单位部门整体绩</w:t>
      </w:r>
      <w:r>
        <w:rPr>
          <w:rFonts w:hint="eastAsia" w:ascii="仿宋_GB2312" w:hAnsi="仿宋_GB2312" w:eastAsia="仿宋_GB2312" w:cs="仿宋_GB2312"/>
          <w:b w:val="0"/>
          <w:bCs/>
          <w:sz w:val="32"/>
          <w:szCs w:val="32"/>
          <w:highlight w:val="none"/>
        </w:rPr>
        <w:t>效自评分</w:t>
      </w:r>
      <w:r>
        <w:rPr>
          <w:rFonts w:hint="eastAsia" w:ascii="仿宋_GB2312" w:hAnsi="仿宋_GB2312" w:eastAsia="仿宋_GB2312" w:cs="仿宋_GB2312"/>
          <w:b w:val="0"/>
          <w:bCs/>
          <w:sz w:val="32"/>
          <w:szCs w:val="32"/>
          <w:highlight w:val="none"/>
          <w:lang w:val="en-US" w:eastAsia="zh-CN"/>
        </w:rPr>
        <w:t>9.5</w:t>
      </w:r>
      <w:r>
        <w:rPr>
          <w:rFonts w:hint="eastAsia" w:ascii="仿宋_GB2312" w:hAnsi="仿宋_GB2312" w:eastAsia="仿宋_GB2312" w:cs="仿宋_GB2312"/>
          <w:b w:val="0"/>
          <w:bCs/>
          <w:sz w:val="32"/>
          <w:szCs w:val="32"/>
          <w:highlight w:val="none"/>
        </w:rPr>
        <w:t>分，为“优”等级。</w:t>
      </w:r>
    </w:p>
    <w:p w14:paraId="7761A82D">
      <w:pPr>
        <w:pStyle w:val="8"/>
        <w:pageBreakBefore w:val="0"/>
        <w:numPr>
          <w:ilvl w:val="0"/>
          <w:numId w:val="1"/>
        </w:numPr>
        <w:shd w:val="clear" w:color="auto"/>
        <w:kinsoku/>
        <w:wordWrap/>
        <w:overflowPunct/>
        <w:topLinePunct w:val="0"/>
        <w:autoSpaceDE/>
        <w:autoSpaceDN/>
        <w:bidi w:val="0"/>
        <w:adjustRightInd/>
        <w:snapToGrid/>
        <w:spacing w:line="240" w:lineRule="auto"/>
        <w:ind w:firstLineChars="0"/>
        <w:textAlignment w:val="auto"/>
        <w:rPr>
          <w:rFonts w:hint="default" w:ascii="黑体" w:hAnsi="黑体" w:eastAsia="黑体" w:cs="黑体"/>
          <w:b/>
          <w:bCs/>
          <w:sz w:val="32"/>
          <w:szCs w:val="32"/>
        </w:rPr>
      </w:pPr>
      <w:r>
        <w:rPr>
          <w:rFonts w:hint="eastAsia" w:ascii="黑体" w:hAnsi="黑体" w:eastAsia="黑体" w:cs="黑体"/>
          <w:b/>
          <w:bCs/>
          <w:sz w:val="32"/>
          <w:szCs w:val="32"/>
        </w:rPr>
        <w:t>存在的主要问题</w:t>
      </w:r>
    </w:p>
    <w:p w14:paraId="02B74265">
      <w:pPr>
        <w:keepNext w:val="0"/>
        <w:keepLines w:val="0"/>
        <w:pageBreakBefore w:val="0"/>
        <w:widowControl w:val="0"/>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0"/>
          <w:szCs w:val="30"/>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eastAsia="zh-CN"/>
        </w:rPr>
        <w:t>改革遗留问题较多。</w:t>
      </w:r>
      <w:r>
        <w:rPr>
          <w:rFonts w:hint="default" w:ascii="Times New Roman" w:hAnsi="Times New Roman" w:eastAsia="仿宋_GB2312" w:cs="Times New Roman"/>
          <w:sz w:val="30"/>
          <w:szCs w:val="30"/>
        </w:rPr>
        <w:t>文化体制改革运行不彻底，群众办事有所不便。推行权力下放后，乡镇文化站人员不固定、不专业、不尽心。文物管理局撤并后，人员调出未补，文物管理、保护、利用工作面临困境。</w:t>
      </w:r>
    </w:p>
    <w:p w14:paraId="188946FF">
      <w:pPr>
        <w:keepNext w:val="0"/>
        <w:keepLines w:val="0"/>
        <w:pageBreakBefore w:val="0"/>
        <w:widowControl w:val="0"/>
        <w:shd w:val="clea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引导发展资金不足。县级文旅引导发展资金不足，缺乏文化创意、项目建设、旅游策划包装等方面的专业技术人员。专业人才引进难，留住也难。</w:t>
      </w:r>
    </w:p>
    <w:p w14:paraId="278D090F">
      <w:pPr>
        <w:keepNext w:val="0"/>
        <w:keepLines w:val="0"/>
        <w:pageBreakBefore w:val="0"/>
        <w:widowControl w:val="0"/>
        <w:shd w:val="clea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专业人才缺乏。专业人才的缺失制约了我局各项事业的后续发展。文化方面，缺乏艺术</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体育特长、文保修复传承专业人才；旅游方面，缺乏策划规划、开发建设、宣传营销、行业管理等各方面专业性人才，讲解员队伍数量也严重不足；广电方面，缺乏应用型技术人才、复合型技术人才。</w:t>
      </w:r>
    </w:p>
    <w:p w14:paraId="1E001F8C">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D056B1"/>
    <w:multiLevelType w:val="multilevel"/>
    <w:tmpl w:val="7DD056B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OTY3Y2EwYWNjN2JjNjZhYTFhYTU3NTU5OTY4NTMifQ=="/>
  </w:docVars>
  <w:rsids>
    <w:rsidRoot w:val="00000000"/>
    <w:rsid w:val="08FB48A6"/>
    <w:rsid w:val="156E37B5"/>
    <w:rsid w:val="15D3194A"/>
    <w:rsid w:val="1A712C26"/>
    <w:rsid w:val="1D0C06B6"/>
    <w:rsid w:val="1DC84F07"/>
    <w:rsid w:val="249C44E4"/>
    <w:rsid w:val="262114A6"/>
    <w:rsid w:val="271921D5"/>
    <w:rsid w:val="283F4766"/>
    <w:rsid w:val="29CB42E2"/>
    <w:rsid w:val="39381483"/>
    <w:rsid w:val="3B861AD5"/>
    <w:rsid w:val="3B8B1DBD"/>
    <w:rsid w:val="3CB55880"/>
    <w:rsid w:val="3FC93011"/>
    <w:rsid w:val="4AAE19D8"/>
    <w:rsid w:val="51432A9D"/>
    <w:rsid w:val="524C74C5"/>
    <w:rsid w:val="53356A1D"/>
    <w:rsid w:val="54B41041"/>
    <w:rsid w:val="593B4025"/>
    <w:rsid w:val="5D465978"/>
    <w:rsid w:val="614C0D4D"/>
    <w:rsid w:val="64F430E6"/>
    <w:rsid w:val="6D4D49D5"/>
    <w:rsid w:val="732B2CCF"/>
    <w:rsid w:val="735C1853"/>
    <w:rsid w:val="73A66A70"/>
    <w:rsid w:val="7ED52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NormalCharacter"/>
    <w:unhideWhenUsed/>
    <w:qFormat/>
    <w:uiPriority w:val="0"/>
    <w:rPr>
      <w:rFonts w:ascii="Calibri" w:hAnsi="Calibri" w:eastAsia="宋体" w:cs="Times New Roman"/>
      <w:kern w:val="2"/>
      <w:sz w:val="21"/>
      <w:szCs w:val="24"/>
      <w:lang w:val="en-US" w:eastAsia="zh-CN" w:bidi="ar-SA"/>
    </w:rPr>
  </w:style>
  <w:style w:type="paragraph" w:customStyle="1" w:styleId="10">
    <w:name w:val="p0"/>
    <w:basedOn w:val="1"/>
    <w:qFormat/>
    <w:uiPriority w:val="0"/>
    <w:pPr>
      <w:widowControl/>
      <w:spacing w:line="365" w:lineRule="atLeast"/>
      <w:ind w:left="1"/>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4471</Words>
  <Characters>4659</Characters>
  <Lines>0</Lines>
  <Paragraphs>0</Paragraphs>
  <TotalTime>8</TotalTime>
  <ScaleCrop>false</ScaleCrop>
  <LinksUpToDate>false</LinksUpToDate>
  <CharactersWithSpaces>4712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2023-06-07T07:42:00Z</dcterms:created>
  <dc:creator>Administrator</dc:creator>
  <cp:lastModifiedBy>Wuliyi</cp:lastModifiedBy>
  <dcterms:modified xsi:type="dcterms:W3CDTF">2025-08-26T09:06:30Z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41C9B465BA014792BA143434FC3AD3C3_13</vt:lpwstr>
  </property>
  <property fmtid="{D5CDD505-2E9C-101B-9397-08002B2CF9AE}" pid="4" name="KSOTemplateDocerSaveRecord">
    <vt:lpwstr>eyJoZGlkIjoiZGJmMTVmY2JmMWMxYWI5MmNmNmRjYmIwNGU2OWFiNDYiLCJ1c2VySWQiOiI0NDU1MTc4NzUifQ==</vt:lpwstr>
  </property>
</Properties>
</file>