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4AEC" w14:textId="77777777" w:rsidR="00431E9C" w:rsidRDefault="00000000">
      <w:pPr>
        <w:shd w:val="clear" w:color="auto" w:fill="FFFFFF"/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color w:val="3F3F3F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F3F3F"/>
          <w:sz w:val="32"/>
          <w:szCs w:val="32"/>
        </w:rPr>
        <w:t>蓝山县新圩镇人民政府2024年度部门整体支出</w:t>
      </w:r>
    </w:p>
    <w:p w14:paraId="27E22317" w14:textId="77777777" w:rsidR="00431E9C" w:rsidRDefault="00000000">
      <w:pPr>
        <w:shd w:val="clear" w:color="auto" w:fill="FFFFFF"/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color w:val="3F3F3F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F3F3F"/>
          <w:sz w:val="32"/>
          <w:szCs w:val="32"/>
        </w:rPr>
        <w:t>绩效评价情况报告</w:t>
      </w:r>
    </w:p>
    <w:p w14:paraId="2968FDA7" w14:textId="77777777" w:rsidR="00431E9C" w:rsidRDefault="00431E9C">
      <w:pPr>
        <w:shd w:val="clear" w:color="auto" w:fill="FFFFFF"/>
        <w:spacing w:line="560" w:lineRule="exact"/>
        <w:rPr>
          <w:rFonts w:ascii="仿宋_GB2312" w:eastAsia="仿宋_GB2312" w:hAnsi="仿宋_GB2312" w:cs="仿宋_GB2312" w:hint="eastAsia"/>
          <w:b/>
          <w:bCs/>
          <w:color w:val="3F3F3F"/>
          <w:sz w:val="32"/>
          <w:szCs w:val="32"/>
        </w:rPr>
      </w:pPr>
    </w:p>
    <w:p w14:paraId="3BD7B068" w14:textId="77777777" w:rsidR="00431E9C" w:rsidRDefault="00000000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规范财政资金管理，牢固树立预算绩效理念，强化支出责任，提高财政资金使用效益，我们根据《蓝山县财政局关于开展2024年度财政支出绩效自评工作的通知》，结合我单位新圩镇人民政府的具体情况，认真组织开展了2024年度部门绩效自评工作，现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我部门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2024年度部门整体支出绩效评价情况报告如下：</w:t>
      </w:r>
    </w:p>
    <w:p w14:paraId="5C975D39" w14:textId="77777777" w:rsidR="00431E9C" w:rsidRDefault="00000000">
      <w:pPr>
        <w:pStyle w:val="a4"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单位概况</w:t>
      </w:r>
    </w:p>
    <w:p w14:paraId="35E02C93" w14:textId="77777777" w:rsidR="00431E9C" w:rsidRDefault="00000000">
      <w:pPr>
        <w:pStyle w:val="a4"/>
        <w:shd w:val="clear" w:color="auto" w:fill="FFFFFF"/>
        <w:spacing w:line="560" w:lineRule="exact"/>
        <w:ind w:left="640"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（一）基本情况</w:t>
      </w:r>
    </w:p>
    <w:p w14:paraId="741AC736" w14:textId="77777777" w:rsidR="00431E9C" w:rsidRDefault="00000000">
      <w:pPr>
        <w:pStyle w:val="a4"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落实国家政策，严格依法行政，发挥经济管理职能，加强政策引导，制定发展规划，服务市场主体和营造发展环境，搞好市场监管，大力促进社会事业发展，发展乡村经济、文化和社会事业，提供公共服务，维护社会稳定，构建社会主义和谐社会。执行本级人民代表大会的决议和上级国家行政机关的决定和命令;执行本行政区域内的经济和社会发展计划、预算，管理本行政区域内的经济、教育、科学、文化、卫生、体育事业和财政、民政、公安、司法行政等行政工作;保护社会主义的全民所有的财产和劳动群众集体所有的财产，保护公民私人所有的合法财产，维护社会秩序，保障公民的人身权利、民主权利和其他权利;保护各种经济组织的合法权益;办理上级县委、县政府政府交办的其他事项。</w:t>
      </w:r>
    </w:p>
    <w:p w14:paraId="42594B38" w14:textId="77777777" w:rsidR="00431E9C" w:rsidRDefault="00000000">
      <w:pPr>
        <w:pStyle w:val="a4"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（二）内设机构设置。</w:t>
      </w:r>
    </w:p>
    <w:p w14:paraId="76A76CB2" w14:textId="77777777" w:rsidR="00431E9C" w:rsidRDefault="00000000">
      <w:pPr>
        <w:pStyle w:val="a4"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1．机构设制情况：机关设党委、政府、人大、政协、纪委、人武部、办公室等机构，下设自然资源和村镇建设事务中心、农业综合服务中心、政务便民服务中心、综合行政执法大队、退役军人服务站及财政所。公务车辆编制数2台，实有车辆2台。  </w:t>
      </w:r>
    </w:p>
    <w:p w14:paraId="1001E233" w14:textId="77777777" w:rsidR="00431E9C" w:rsidRDefault="00000000">
      <w:pPr>
        <w:pStyle w:val="a4"/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2.人员情况：全镇实有在编人数69人，其中行政机关人员26人，事业职工43人；退休人员11人;</w:t>
      </w:r>
    </w:p>
    <w:p w14:paraId="334F89FB" w14:textId="77777777" w:rsidR="00431E9C" w:rsidRDefault="00000000">
      <w:pPr>
        <w:pStyle w:val="a4"/>
        <w:shd w:val="clear" w:color="auto" w:fill="FFFFFF"/>
        <w:spacing w:line="560" w:lineRule="exact"/>
        <w:ind w:left="640"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（三）当年取得的主要事业成效</w:t>
      </w:r>
    </w:p>
    <w:p w14:paraId="0D6D38A7" w14:textId="77777777" w:rsidR="00431E9C" w:rsidRDefault="00000000">
      <w:pPr>
        <w:snapToGrid w:val="0"/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以来，新圩镇坚持以习近平新时代中国特色社会主义思想为指导，全面贯彻落实党的二十大精神和党的二十届三中全会精神，坚持稳中求进总基调，在打牢基础、补齐短板上更加务实，在维护稳定、解决民生上更加主动，在转变作风、加快落实上更加坚定，实施了一批群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急难愁盼的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基础性工程，解决了一些困扰多年的发展难题，办好了一批事关群众利益的惠民实事，全镇经济社会发展稳中有进。</w:t>
      </w:r>
    </w:p>
    <w:p w14:paraId="322329AC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（一）以党的建设为统领，强基础、正作风，履职效能显著提升</w:t>
      </w:r>
    </w:p>
    <w:p w14:paraId="0A027E82" w14:textId="2A3C1EAE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1.持续筑牢思想根基。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坚持把党的政治建设摆在首位，自觉以习近平新时代中国特色社会主义思想武装头脑、指导实践、推动工作。严格落实党委</w:t>
      </w:r>
      <w:r w:rsidR="00F7611B">
        <w:rPr>
          <w:rFonts w:ascii="仿宋_GB2312" w:eastAsia="仿宋_GB2312" w:hAnsi="仿宋_GB2312" w:cs="仿宋_GB2312" w:hint="eastAsia"/>
          <w:sz w:val="32"/>
          <w:szCs w:val="32"/>
        </w:rPr>
        <w:t>理论学习中心组</w:t>
      </w:r>
      <w:r>
        <w:rPr>
          <w:rFonts w:ascii="仿宋_GB2312" w:eastAsia="仿宋_GB2312" w:hAnsi="仿宋_GB2312" w:cs="仿宋_GB2312" w:hint="eastAsia"/>
          <w:sz w:val="32"/>
          <w:szCs w:val="32"/>
        </w:rPr>
        <w:t>学习制度、“第一议题”制度，通过学思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践悟引导镇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、村干部不断坚定理想信念，深刻领悟“两个确立”的决定性意义，增强“四个意识”、坚定“四个自信”、做到“两个维护”。</w:t>
      </w:r>
    </w:p>
    <w:p w14:paraId="1CBBFE98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2.持续夯实基层基础。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认真抓好“一月一课一片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实践”主题党日活动，切实增强镇、村党组织党员干部的战斗力、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凝聚力和向心力。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2024年镇党委共专题研究部署基层党建工作4次，上半年发展党员22名，开展各类党员教育培训3次，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不断推动全镇基层党组织全面提升、全面过硬。</w:t>
      </w:r>
    </w:p>
    <w:p w14:paraId="7322DDFD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3.持续推进作风建设。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认真落实全面从严治党主体责任和“一岗双责”，严格落实中央八项规定精神及其实施细则，坚决落实政府“过紧日子”要求，持续压减政府一般性支出，规范公务用车、公务接待。积极做好省委第十六巡视组交办问题办理工作，累计办理6批次43件交办件。紧盯关键时间、关键环节、关键领域、关键岗位，准确把握运用监督执纪“四种形态”，认真开展整治群众身边不正之风和腐败问题专项工作，全年处置问题线索41条，立案36起，追责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党员23名。</w:t>
      </w:r>
    </w:p>
    <w:p w14:paraId="1BAB2BC6" w14:textId="77777777" w:rsidR="00431E9C" w:rsidRDefault="00000000">
      <w:pPr>
        <w:spacing w:line="575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（二）以民生保障为根基，兜底线、谋共富，乡村振兴稳步推进</w:t>
      </w:r>
    </w:p>
    <w:p w14:paraId="10BAFDF6" w14:textId="77777777" w:rsidR="00431E9C" w:rsidRDefault="00000000">
      <w:pPr>
        <w:spacing w:line="575" w:lineRule="exact"/>
        <w:ind w:firstLineChars="200" w:firstLine="643"/>
        <w:rPr>
          <w:rFonts w:ascii="楷体_GB2312" w:eastAsia="仿宋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严格落实“四个不摘”。</w:t>
      </w:r>
      <w:r>
        <w:rPr>
          <w:rFonts w:ascii="仿宋_GB2312" w:eastAsia="仿宋_GB2312" w:hAnsi="仿宋_GB2312" w:cs="仿宋_GB2312" w:hint="eastAsia"/>
          <w:sz w:val="32"/>
          <w:szCs w:val="32"/>
        </w:rPr>
        <w:t>紧紧围绕“责任落实、工作落实、政策落实、整改落实、成效巩固”开展工作，确保不发生规模性返贫。集中排查农户1.3万余户，共兑现到户资金637人次53.44万元，其中落实县外务工交通补贴513人20.74万元，雨露计划124人32.7万元，“三保障”及饮水安全得到持续巩固。</w:t>
      </w:r>
    </w:p>
    <w:p w14:paraId="70AD6E3A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强化特殊群体保障。</w:t>
      </w:r>
      <w:r>
        <w:rPr>
          <w:rFonts w:ascii="仿宋_GB2312" w:eastAsia="仿宋_GB2312" w:hAnsi="仿宋_GB2312" w:cs="仿宋_GB2312" w:hint="eastAsia"/>
          <w:sz w:val="32"/>
          <w:szCs w:val="32"/>
        </w:rPr>
        <w:t>全镇28户未消除风险的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监测户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由党政领导和组长实行一对一帮扶，并建好“一户一档”资料，户均帮扶措施4条以上。全年新增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农村低保21户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29人，新增特困供养人员16人，全镇所有低保户、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低保边缘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户、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脱贫户、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监测户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城乡居民基本医疗保险参保率达到100%。</w:t>
      </w:r>
      <w:r>
        <w:rPr>
          <w:rStyle w:val="NormalCharacter"/>
          <w:rFonts w:ascii="仿宋_GB2312" w:eastAsia="仿宋_GB2312" w:hAnsi="仿宋_GB2312" w:cs="仿宋_GB2312" w:hint="eastAsia"/>
          <w:color w:val="000000"/>
          <w:sz w:val="32"/>
          <w:szCs w:val="32"/>
        </w:rPr>
        <w:t>同时认真落实军烈属和伤残、病退伍军人等优抚政策，切实关心和支持困难群众和弱势群体的生产生活，确保更多群众共享改革发展成果。</w:t>
      </w:r>
    </w:p>
    <w:p w14:paraId="486A9930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大力推进产业发展。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，全镇推广种植优质水稻共计1.3万亩,推广机械化育插秧1.3万亩，全年水稻总产量预计1300万斤。继续抓好以烤烟为龙头产业的农业农村经济，大力推广“烤烟-水稻”轮作模式，充分发挥烤烟与水稻轮种的特有优势，稳定基本烟田1.1万亩，新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烤烟房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21座，收购烤烟26869.972担，产值约4500万元。继续服务好落户本地的重点项目，协助具有4.5亿投资规模的新华电化学储能项目开展前期征地工作；竹木加工产业园完成一期厂房建设，目前共投资2600万元，建成4栋厂房。</w:t>
      </w:r>
    </w:p>
    <w:p w14:paraId="3C83927E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4.持续补齐双基短板。</w:t>
      </w:r>
      <w:r>
        <w:rPr>
          <w:rFonts w:ascii="仿宋_GB2312" w:eastAsia="仿宋_GB2312" w:hAnsi="仿宋_GB2312" w:cs="仿宋_GB2312" w:hint="eastAsia"/>
          <w:sz w:val="32"/>
          <w:szCs w:val="32"/>
        </w:rPr>
        <w:t>持续补齐农村交通、水利等基础设施以及就业、医疗、教育、养老等公共事业的短板。2024年申报一事一议项目22个，涉及资金454.46万元；实施乡村振兴有效衔接项目8个，涉及资金151万元；累计清理农田灌溉水渠30余公里；完成小型农业水利设施建设新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奖补项目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5个，涉及资金30万元。</w:t>
      </w:r>
    </w:p>
    <w:p w14:paraId="1E97AD43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（三）以生态文明为导向，强整治、美环境，镇村面貌再展新颜</w:t>
      </w:r>
    </w:p>
    <w:p w14:paraId="3BDEB3BD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1.严守耕地保护红线不动摇。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推深做实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“田长制”，落实“</w:t>
      </w:r>
      <w:r>
        <w:rPr>
          <w:rStyle w:val="NormalCharacter"/>
          <w:rFonts w:ascii="仿宋_GB2312" w:eastAsia="仿宋_GB2312" w:hAnsi="仿宋_GB2312" w:cs="仿宋_GB2312" w:hint="eastAsia"/>
          <w:color w:val="000000"/>
          <w:sz w:val="32"/>
          <w:szCs w:val="32"/>
        </w:rPr>
        <w:t>长牙齿”的耕地保护措施，坚决遏制耕地“非农化”、防止“非粮化”，严防新增违法占用耕地行为发生。坚持实</w:t>
      </w:r>
      <w:r>
        <w:rPr>
          <w:rStyle w:val="NormalCharacter"/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事求是、因地制宜、科学稳妥推进问题图斑整改并及时复耕复绿，确保耕地面积、粮食产量只增不减。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2024年截至目前，共发放宅基地批准书109份，上报计划增减挂钩项目256.07亩，在7个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村推进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实施高标准农田建设，开展“非粮化”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“非农化”双非图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斑整改10处，全镇粮食安全得到进一步保障。</w:t>
      </w:r>
    </w:p>
    <w:p w14:paraId="69A22FAD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2.紧盯生态重点领域不松懈。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深入贯彻落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平生态文明思想，坚定不移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“两山”理念。紧盯河流、水库、林地、湿地等生态环境保护重点领域，全面落实“河长制”“林长制”“田长制”，常态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化开展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河流、森林、田地巡查，对巡查中发现河流垃圾、秸秆焚烧、森林火灾隐患等问题及时进行交办整改，今年完成问题整改60余个。着力解决畜禽养殖、粪污处理、露天堆放、直排、偷排等突出生态环境问题，扎实做好畜禽养殖污染防治，开展生态环境保护巡查20余次，巡查发现畜禽养殖场污水外排7家，退养牛蛙养殖场7家。</w:t>
      </w:r>
    </w:p>
    <w:p w14:paraId="0E0BEDC5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3.推进人居环境改善不停歇。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农贸市场管理整治、农村人居环境整治、农村生活垃圾清运为重点，以农村人居环境整治为抓手，成立工作专班，由班子成员牵头，任务落实到人，强化环卫宣传，落实专班督导，针对各行政村卫生保洁情况进行按季度通报。督促集镇企业、商超、个体户认真落实门前三包责任，联合执法部门开展市场集中整治8次。持续推动农村厕所革命，2024年新、改建厕所122户。</w:t>
      </w:r>
    </w:p>
    <w:p w14:paraId="7AAD63F2" w14:textId="77777777" w:rsidR="00431E9C" w:rsidRDefault="00000000">
      <w:pPr>
        <w:spacing w:line="575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（四）以秩序稳定为基础，强治理、化风险，平安基础持续巩固</w:t>
      </w:r>
    </w:p>
    <w:p w14:paraId="68E042C2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1.安全生产形势稳定。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落实国务院安委会安全生产十五条措施、“三管三必须”准则，持续常态开展安全生产隐患排查、燃气安全检查、经营性自建房安全排查、道路交通安全劝导等行动。截至目前，全镇开展生产经营单位安全隐患专项督查30余次，排查安全隐患60余处，处罚20余次，下达责令限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整改书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29份，排查、整改道路交通安全隐患3处，清理违规占道经营5起，出店经营8起，全镇无安全生产事故、重大交通事故、重大火灾发生，确保了群众的生产生活安全。</w:t>
      </w:r>
    </w:p>
    <w:p w14:paraId="7E6DF273" w14:textId="77777777" w:rsidR="00431E9C" w:rsidRDefault="00000000">
      <w:pPr>
        <w:spacing w:line="575" w:lineRule="exact"/>
        <w:ind w:firstLine="600"/>
        <w:rPr>
          <w:rFonts w:ascii="仿宋_GB2312" w:eastAsia="仿宋_GB2312" w:hAnsi="仿宋_GB2312" w:cs="仿宋_GB2312" w:hint="eastAsia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2.社会治理成效明显。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落实领导包案化解责任制和带头接访制，对矛盾纠纷实行定期排查，变上访为下访，确保把矛盾化解在基层，解决在萌芽状态。今年截至目前受理到镇上访、网上信访54件，办结上级交办案件16件，指导协助各村调处矛盾纠纷89件。针对“利剑护蕾”重点关注对象、防溺水重点关注学生等群体建立镇村干部包户机制，定期开展入户宣传，大力开展未成年人防溺水宣传，实行乡村干部分组包片的机制，对全镇大小山塘、重点河沟、水库等水域实行乡村干部分组包片的机制，</w:t>
      </w:r>
      <w:r>
        <w:rPr>
          <w:rFonts w:ascii="仿宋_GB2312" w:eastAsia="仿宋_GB2312" w:hAnsi="仿宋_GB2312" w:cs="仿宋_GB2312"/>
          <w:sz w:val="32"/>
          <w:szCs w:val="32"/>
        </w:rPr>
        <w:t>切实为未成年人健康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安全成长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保驾护航</w:t>
      </w:r>
      <w:r>
        <w:rPr>
          <w:rFonts w:ascii="仿宋_GB2312" w:eastAsia="仿宋_GB2312" w:hAnsi="仿宋_GB2312" w:cs="仿宋_GB2312" w:hint="eastAsia"/>
          <w:sz w:val="32"/>
          <w:szCs w:val="32"/>
        </w:rPr>
        <w:t>。扫黑除恶、禁毒、反邪教、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反电诈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、社区矫正人员管控等工作常态化开展，辖内社会安全环境持续平稳向好。</w:t>
      </w:r>
    </w:p>
    <w:p w14:paraId="5AFB2E25" w14:textId="77777777" w:rsidR="00431E9C" w:rsidRDefault="00000000">
      <w:pPr>
        <w:spacing w:line="575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3.法治建设稳步推进。</w:t>
      </w:r>
      <w:r>
        <w:rPr>
          <w:rFonts w:ascii="仿宋_GB2312" w:eastAsia="仿宋_GB2312" w:hAnsi="仿宋_GB2312" w:cs="仿宋_GB2312" w:hint="eastAsia"/>
          <w:sz w:val="32"/>
          <w:szCs w:val="32"/>
        </w:rPr>
        <w:t>深入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习近平法治思想，自觉运用法治思维和法治方式深化改革、推动发展、化解矛盾、维护稳定，全面推行政府信息公开、村务公开和村级事务流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程化管理等制度，全面落实乡镇承接县级审批执法事项清单工作，让权力在阳光下运行。积极开展普法教育工作，组织机关干部、志愿者利用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赶圩日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开展民法典、反电信网络诈骗法、国家保密法等各类法律法规的宣传工作，提升辖区群众法律意识，活动累计发放各类宣传资料3万余份。</w:t>
      </w:r>
    </w:p>
    <w:p w14:paraId="712631C2" w14:textId="77777777" w:rsidR="00431E9C" w:rsidRDefault="00000000">
      <w:pPr>
        <w:shd w:val="clear" w:color="auto" w:fill="FFFFFF"/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二、部门财政资金收支情况</w:t>
      </w:r>
    </w:p>
    <w:p w14:paraId="614FC407" w14:textId="77777777" w:rsidR="00431E9C" w:rsidRDefault="00000000">
      <w:pPr>
        <w:shd w:val="clear" w:color="auto" w:fill="FFFFFF"/>
        <w:spacing w:line="560" w:lineRule="exact"/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（一）部门财政资金收入情况。</w:t>
      </w:r>
    </w:p>
    <w:p w14:paraId="4C2037C1" w14:textId="77777777" w:rsidR="00431E9C" w:rsidRDefault="00000000">
      <w:pPr>
        <w:snapToGrid w:val="0"/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1、收入预算：2024年年初预算数23417605.5元，其中，一般公共预算拨款17768528.36元，其他收入（财政专户）5649077.14元。</w:t>
      </w:r>
    </w:p>
    <w:p w14:paraId="0B07C095" w14:textId="77777777" w:rsidR="00431E9C" w:rsidRDefault="00000000">
      <w:pPr>
        <w:shd w:val="clear" w:color="auto" w:fill="FFFFFF"/>
        <w:spacing w:line="560" w:lineRule="exact"/>
        <w:ind w:firstLineChars="150" w:firstLine="480"/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（二）部门财政资金支出情况。</w:t>
      </w:r>
    </w:p>
    <w:p w14:paraId="4373C2F6" w14:textId="77777777" w:rsidR="00431E9C" w:rsidRDefault="00000000">
      <w:pPr>
        <w:snapToGrid w:val="0"/>
        <w:spacing w:line="520" w:lineRule="exact"/>
        <w:ind w:firstLineChars="200" w:firstLine="420"/>
        <w:rPr>
          <w:rFonts w:ascii="仿宋_GB2312" w:eastAsia="仿宋_GB2312" w:hAnsi="仿宋" w:hint="eastAsia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本镇2024年预算收入21010744.61元，其中基本支出19959819.41元，如下图所示：</w:t>
      </w:r>
    </w:p>
    <w:p w14:paraId="4B0B1F00" w14:textId="77777777" w:rsidR="00431E9C" w:rsidRDefault="00000000">
      <w:pPr>
        <w:snapToGrid w:val="0"/>
        <w:spacing w:line="52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单位：元</w:t>
      </w:r>
    </w:p>
    <w:tbl>
      <w:tblPr>
        <w:tblW w:w="8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9"/>
        <w:gridCol w:w="3011"/>
      </w:tblGrid>
      <w:tr w:rsidR="00431E9C" w14:paraId="7515785C" w14:textId="77777777">
        <w:trPr>
          <w:trHeight w:val="1037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0F5B" w14:textId="77777777" w:rsidR="00431E9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一、工资福利支出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6CD0F" w14:textId="77777777" w:rsidR="00431E9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11707401.71</w:t>
            </w:r>
          </w:p>
        </w:tc>
      </w:tr>
      <w:tr w:rsidR="00431E9C" w14:paraId="0FBC80E4" w14:textId="77777777">
        <w:trPr>
          <w:trHeight w:val="912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5F4D" w14:textId="77777777" w:rsidR="00431E9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二、商品和服务支出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FECCE" w14:textId="77777777" w:rsidR="00431E9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4922732.16</w:t>
            </w:r>
          </w:p>
        </w:tc>
      </w:tr>
      <w:tr w:rsidR="00431E9C" w14:paraId="4030BC08" w14:textId="77777777">
        <w:trPr>
          <w:trHeight w:val="1015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96D70" w14:textId="77777777" w:rsidR="00431E9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三、对个人和家庭的补助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84DE2" w14:textId="77777777" w:rsidR="00431E9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3110696.54</w:t>
            </w:r>
          </w:p>
        </w:tc>
      </w:tr>
      <w:tr w:rsidR="00431E9C" w14:paraId="1A64C036" w14:textId="77777777">
        <w:trPr>
          <w:trHeight w:val="1015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A4C29" w14:textId="77777777" w:rsidR="00431E9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四、资本性支出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87EC9" w14:textId="77777777" w:rsidR="00431E9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218989</w:t>
            </w:r>
          </w:p>
        </w:tc>
      </w:tr>
    </w:tbl>
    <w:p w14:paraId="262E8D45" w14:textId="77777777" w:rsidR="00431E9C" w:rsidRDefault="00431E9C">
      <w:pPr>
        <w:snapToGrid w:val="0"/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62EE45A3" w14:textId="77777777" w:rsidR="00431E9C" w:rsidRDefault="00000000">
      <w:pPr>
        <w:snapToGrid w:val="0"/>
        <w:spacing w:line="52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项目支出1050925.2元，如下图所示：</w:t>
      </w:r>
    </w:p>
    <w:tbl>
      <w:tblPr>
        <w:tblW w:w="8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9"/>
        <w:gridCol w:w="3011"/>
      </w:tblGrid>
      <w:tr w:rsidR="00431E9C" w14:paraId="7582EAFD" w14:textId="77777777">
        <w:trPr>
          <w:trHeight w:val="1037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2798B" w14:textId="77777777" w:rsidR="00431E9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一、商品和服务支出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DC8F4" w14:textId="77777777" w:rsidR="00431E9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87514.2</w:t>
            </w:r>
          </w:p>
        </w:tc>
      </w:tr>
      <w:tr w:rsidR="00431E9C" w14:paraId="3D777504" w14:textId="77777777">
        <w:trPr>
          <w:trHeight w:val="912"/>
        </w:trPr>
        <w:tc>
          <w:tcPr>
            <w:tcW w:w="5469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DEE83" w14:textId="77777777" w:rsidR="00431E9C" w:rsidRDefault="00000000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二、资本性支出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3E226" w14:textId="77777777" w:rsidR="00431E9C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963411</w:t>
            </w:r>
          </w:p>
        </w:tc>
      </w:tr>
    </w:tbl>
    <w:p w14:paraId="2AD0F08C" w14:textId="77777777" w:rsidR="00431E9C" w:rsidRDefault="00431E9C">
      <w:pPr>
        <w:shd w:val="clear" w:color="auto" w:fill="FFFFFF"/>
        <w:spacing w:line="560" w:lineRule="exact"/>
        <w:ind w:firstLineChars="150" w:firstLine="315"/>
      </w:pPr>
    </w:p>
    <w:p w14:paraId="2CA8F963" w14:textId="77777777" w:rsidR="00431E9C" w:rsidRDefault="00000000">
      <w:pPr>
        <w:shd w:val="clear" w:color="auto" w:fill="FFFFFF"/>
        <w:spacing w:line="560" w:lineRule="exact"/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三、部门财政支出管理情况。</w:t>
      </w:r>
    </w:p>
    <w:p w14:paraId="69740C3A" w14:textId="77777777" w:rsidR="00431E9C" w:rsidRDefault="00000000">
      <w:pPr>
        <w:shd w:val="clear" w:color="auto" w:fill="FFFFFF"/>
        <w:spacing w:line="560" w:lineRule="exact"/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（一）预算编制情况</w:t>
      </w:r>
    </w:p>
    <w:p w14:paraId="2405EEEE" w14:textId="77777777" w:rsidR="00431E9C" w:rsidRDefault="00000000">
      <w:pPr>
        <w:shd w:val="clear" w:color="auto" w:fill="FFFFFF"/>
        <w:spacing w:line="560" w:lineRule="exact"/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镇预算按时报人大审批，在规定时间内公开政府预决算，按规定公开“三公”经费预决算，批准的预算、预算调整、预算执行情况、决算的报告及报表全部公开，按时报送。预决算支出全部公开到功能分类项级科目，按规定公开到经济科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，《新圩镇2024年部门预算与2024部门决算》均通过政府公开信息网公开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2ABDC7B" w14:textId="77777777" w:rsidR="00431E9C" w:rsidRDefault="00000000">
      <w:pPr>
        <w:numPr>
          <w:ilvl w:val="0"/>
          <w:numId w:val="2"/>
        </w:numPr>
        <w:shd w:val="clear" w:color="auto" w:fill="FFFFFF"/>
        <w:spacing w:line="560" w:lineRule="exact"/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预算执行情况</w:t>
      </w:r>
    </w:p>
    <w:p w14:paraId="6636211D" w14:textId="77777777" w:rsidR="00431E9C" w:rsidRDefault="00000000">
      <w:pPr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我镇严格执行资金管理者制度，规范财政管理、政府采购制度，强化资产管理，检查财务公开。2024年预算执行星都良好，预算资金、专项资金均按时合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拨付、列支。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2024年整体支出与预算调整一致。</w:t>
      </w:r>
    </w:p>
    <w:p w14:paraId="45A14BD9" w14:textId="77777777" w:rsidR="00431E9C" w:rsidRDefault="00000000">
      <w:pPr>
        <w:numPr>
          <w:ilvl w:val="0"/>
          <w:numId w:val="2"/>
        </w:numPr>
        <w:shd w:val="clear" w:color="auto" w:fill="FFFFFF"/>
        <w:spacing w:line="560" w:lineRule="exact"/>
        <w:ind w:firstLineChars="150"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综合管理情况</w:t>
      </w:r>
    </w:p>
    <w:p w14:paraId="57E79667" w14:textId="77777777" w:rsidR="00431E9C" w:rsidRDefault="00000000">
      <w:pPr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政府性债务管理：2024年严格控制新增政府性债务，做到各项项目工程前期预算合理，制定了债权债务管理制度等。</w:t>
      </w:r>
    </w:p>
    <w:p w14:paraId="6A81CDB3" w14:textId="77777777" w:rsidR="00431E9C" w:rsidRDefault="00000000">
      <w:pPr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资产管理：成立了国有资产监督管理工作领导小组，制定了国有资产管理控制制度，加强对国有资产的管理，维护国有资产的安全和完整。</w:t>
      </w:r>
    </w:p>
    <w:p w14:paraId="10BD3588" w14:textId="77777777" w:rsidR="00431E9C" w:rsidRDefault="00000000">
      <w:pPr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内控制度管理：成立了内控控制制度领导小组和监督评价小组，制定了预算、收入、支出、采购、资产、项目等管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理制度，有效降低风险。</w:t>
      </w:r>
    </w:p>
    <w:p w14:paraId="45BB4C4B" w14:textId="77777777" w:rsidR="00431E9C" w:rsidRDefault="00000000">
      <w:pPr>
        <w:shd w:val="clear" w:color="auto" w:fill="FFFFFF"/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绩效评价：通过核实数据、查阅资料、归纳汇总，对收集的评价材料结合本单位情况进行综合分析、归纳汇总，根据评价材料结合各项评价指标进行分析评分，形成绩效评价自评报告，依法接受财政监督。</w:t>
      </w:r>
    </w:p>
    <w:p w14:paraId="3D6AA154" w14:textId="77777777" w:rsidR="00431E9C" w:rsidRDefault="00000000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（四）整体支出绩效情况</w:t>
      </w:r>
    </w:p>
    <w:p w14:paraId="3EBBE351" w14:textId="77777777" w:rsidR="00431E9C" w:rsidRDefault="00000000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整体情况来看，我单位严格按照年初预算进行部门整体支出。在支出过程中，能继续按照统筹兼顾、厉行节约、讲求绩效、收支平衡的原则编制了部门预算，全年支出基本做到了按预算执行，既保障了干部职工工资及对个人和家庭补助支出、日常公用经费等刚性支出，又围绕中心，服务大局，社会和公众满意度较高。</w:t>
      </w:r>
    </w:p>
    <w:p w14:paraId="490C5F0F" w14:textId="77777777" w:rsidR="00431E9C" w:rsidRDefault="00000000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三、评价结论及措施</w:t>
      </w:r>
    </w:p>
    <w:p w14:paraId="7AA7AAF9" w14:textId="77777777" w:rsidR="00431E9C" w:rsidRDefault="00000000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（一）评价得分</w:t>
      </w:r>
    </w:p>
    <w:p w14:paraId="0D56FB36" w14:textId="77777777" w:rsidR="00431E9C" w:rsidRDefault="00000000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根据对我单位2024年部门整体支出项目绩效评价指标体系和绩效情况的检查，2024年我单位部门整体绩效自评分98分，为“优”等级。扣分原因见下文。</w:t>
      </w:r>
    </w:p>
    <w:p w14:paraId="5CEFF7B2" w14:textId="77777777" w:rsidR="00431E9C" w:rsidRDefault="00000000">
      <w:pPr>
        <w:numPr>
          <w:ilvl w:val="0"/>
          <w:numId w:val="3"/>
        </w:num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存在的问题</w:t>
      </w:r>
    </w:p>
    <w:p w14:paraId="7CFE4087" w14:textId="77777777" w:rsidR="00431E9C" w:rsidRDefault="00000000">
      <w:pPr>
        <w:shd w:val="clear" w:color="auto" w:fill="FFFFFF"/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一是部门整体支出的资金安排和使用上仍有不可预见性，在实际工作中有资金延迟到位的情况。二是部分绩效目标指标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值不够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清晰，不利于衡量。三是没有绩效管理相关专业人员，绩效考核形式和手段单一。四是农村基础设施建设类专项资金少，编制的精细化和项目执行率需进一步提高。</w:t>
      </w:r>
    </w:p>
    <w:p w14:paraId="40FE6537" w14:textId="77777777" w:rsidR="00431E9C" w:rsidRDefault="00431E9C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A7DD7A7" w14:textId="77777777" w:rsidR="00431E9C" w:rsidRDefault="00000000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（三）改进措施。</w:t>
      </w:r>
    </w:p>
    <w:p w14:paraId="48C7185B" w14:textId="77777777" w:rsidR="00431E9C" w:rsidRDefault="00000000">
      <w:pPr>
        <w:shd w:val="clear" w:color="auto" w:fill="FFFFFF"/>
        <w:spacing w:line="560" w:lineRule="exact"/>
        <w:ind w:firstLine="4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一是细化预算编制工作，严格按照预算编制的相关制度和要求做好预算的编制，进一步加强预算管理意识；进一步提高预算编制的科学性、严谨性和可控性。二是合理细化专项资金的统筹使用，使资金使用发挥效益最优化，从而提高项目执行率。三是将预算编制与部门工作有机结合，加强沟通联系，进一步强化预算执行。做好预算执行分析，及时找出预算目标与实际执行情况之间存在的差距，纠正偏差，为下一次科学、准确地编制部门预算积累经验。四是严格控制预算的规模和比例，把关经费支出的审核、审批，杜绝挪用和挤占其他预算资金行为。进一步细化项目支出的管理，合理压缩经费支出。</w:t>
      </w:r>
    </w:p>
    <w:sectPr w:rsidR="0043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0000000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769591809">
    <w:abstractNumId w:val="2"/>
  </w:num>
  <w:num w:numId="2" w16cid:durableId="870456696">
    <w:abstractNumId w:val="0"/>
  </w:num>
  <w:num w:numId="3" w16cid:durableId="221020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E9C"/>
    <w:rsid w:val="00431E9C"/>
    <w:rsid w:val="00936870"/>
    <w:rsid w:val="00F7611B"/>
    <w:rsid w:val="22690B02"/>
    <w:rsid w:val="3103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85335"/>
  <w15:docId w15:val="{03A73E03-599C-47AF-8ACF-7612B677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color w:val="auto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57469</dc:creator>
  <cp:lastModifiedBy>xiao pang</cp:lastModifiedBy>
  <cp:revision>2</cp:revision>
  <cp:lastPrinted>2025-04-29T07:03:00Z</cp:lastPrinted>
  <dcterms:created xsi:type="dcterms:W3CDTF">2014-10-29T12:08:00Z</dcterms:created>
  <dcterms:modified xsi:type="dcterms:W3CDTF">2025-12-04T02:50:00Z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0ABB71B49F1349F0B3AF5522DD0643D0_13</vt:lpwstr>
  </property>
  <property fmtid="{D5CDD505-2E9C-101B-9397-08002B2CF9AE}" pid="4" name="KSOTemplateDocerSaveRecord">
    <vt:lpwstr>eyJoZGlkIjoiODUxMjBlYjhkNzQ1NWFlZmEyZWU0OTA2MGIyZTQxMzciLCJ1c2VySWQiOiI0Mzc4NDU1NjQifQ==</vt:lpwstr>
  </property>
</Properties>
</file>