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45A1A">
      <w:pPr>
        <w:pStyle w:val="12"/>
        <w:jc w:val="both"/>
        <w:rPr>
          <w:rFonts w:hAnsi="黑体"/>
          <w:color w:val="auto"/>
          <w:sz w:val="36"/>
          <w:szCs w:val="36"/>
        </w:rPr>
      </w:pPr>
      <w:r>
        <w:rPr>
          <w:rFonts w:hint="eastAsia" w:hAnsi="黑体"/>
          <w:color w:val="auto"/>
          <w:sz w:val="36"/>
          <w:szCs w:val="36"/>
        </w:rPr>
        <w:t>附件1</w:t>
      </w:r>
    </w:p>
    <w:p w14:paraId="214377E5">
      <w:pPr>
        <w:pStyle w:val="12"/>
        <w:jc w:val="center"/>
        <w:rPr>
          <w:rFonts w:ascii="Times New Roman" w:hAnsi="Times New Roman" w:cs="Times New Roman"/>
          <w:color w:val="auto"/>
          <w:sz w:val="56"/>
          <w:szCs w:val="56"/>
        </w:rPr>
      </w:pPr>
    </w:p>
    <w:p w14:paraId="53B54F32">
      <w:pPr>
        <w:pStyle w:val="12"/>
        <w:jc w:val="center"/>
        <w:rPr>
          <w:rFonts w:ascii="Times New Roman" w:hAnsi="Times New Roman" w:cs="Times New Roman"/>
          <w:color w:val="auto"/>
          <w:sz w:val="84"/>
          <w:szCs w:val="84"/>
        </w:rPr>
      </w:pPr>
    </w:p>
    <w:p w14:paraId="3E866660">
      <w:pPr>
        <w:pStyle w:val="12"/>
        <w:jc w:val="center"/>
        <w:rPr>
          <w:rFonts w:ascii="Times New Roman" w:hAnsi="Times New Roman" w:cs="Times New Roman"/>
          <w:color w:val="auto"/>
          <w:sz w:val="84"/>
          <w:szCs w:val="84"/>
        </w:rPr>
      </w:pPr>
    </w:p>
    <w:p w14:paraId="1E3040C2">
      <w:pPr>
        <w:pStyle w:val="12"/>
        <w:jc w:val="center"/>
        <w:rPr>
          <w:rFonts w:ascii="Times New Roman" w:hAnsi="Times New Roman" w:eastAsia="方正小标宋简体" w:cs="Times New Roman"/>
          <w:color w:val="auto"/>
          <w:sz w:val="72"/>
          <w:szCs w:val="72"/>
        </w:rPr>
      </w:pPr>
      <w:r>
        <w:rPr>
          <w:rFonts w:ascii="Times New Roman" w:hAnsi="Times New Roman" w:eastAsia="方正小标宋简体" w:cs="Times New Roman"/>
          <w:color w:val="auto"/>
          <w:sz w:val="72"/>
          <w:szCs w:val="72"/>
        </w:rPr>
        <w:t>2024年度</w:t>
      </w:r>
    </w:p>
    <w:p w14:paraId="4A9D1722">
      <w:pPr>
        <w:pStyle w:val="12"/>
        <w:jc w:val="center"/>
        <w:rPr>
          <w:rFonts w:hint="eastAsia" w:ascii="Times New Roman" w:hAnsi="Times New Roman" w:eastAsia="方正小标宋简体" w:cs="Times New Roman"/>
          <w:color w:val="auto"/>
          <w:sz w:val="72"/>
          <w:szCs w:val="72"/>
          <w:lang w:val="en-US" w:eastAsia="zh-CN"/>
        </w:rPr>
      </w:pPr>
      <w:r>
        <w:rPr>
          <w:rFonts w:hint="eastAsia" w:ascii="Times New Roman" w:hAnsi="Times New Roman" w:eastAsia="方正小标宋简体" w:cs="Times New Roman"/>
          <w:color w:val="auto"/>
          <w:sz w:val="72"/>
          <w:szCs w:val="72"/>
          <w:lang w:val="en-US" w:eastAsia="zh-CN"/>
        </w:rPr>
        <w:t>蓝山县毛俊镇中心卫生院</w:t>
      </w:r>
    </w:p>
    <w:p w14:paraId="7F8DBF0B">
      <w:pPr>
        <w:pStyle w:val="12"/>
        <w:jc w:val="center"/>
        <w:rPr>
          <w:rFonts w:ascii="Times New Roman" w:hAnsi="Times New Roman" w:eastAsia="方正小标宋简体" w:cs="Times New Roman"/>
          <w:color w:val="auto"/>
          <w:sz w:val="72"/>
          <w:szCs w:val="72"/>
        </w:rPr>
      </w:pPr>
      <w:r>
        <w:rPr>
          <w:rFonts w:ascii="Times New Roman" w:hAnsi="Times New Roman" w:eastAsia="方正小标宋简体" w:cs="Times New Roman"/>
          <w:color w:val="auto"/>
          <w:sz w:val="72"/>
          <w:szCs w:val="72"/>
        </w:rPr>
        <w:t>部门决算</w:t>
      </w:r>
    </w:p>
    <w:p w14:paraId="194AFF44">
      <w:pPr>
        <w:pStyle w:val="12"/>
        <w:jc w:val="center"/>
        <w:rPr>
          <w:rFonts w:ascii="Times New Roman" w:hAnsi="Times New Roman" w:eastAsia="方正小标宋_GBK" w:cs="Times New Roman"/>
          <w:color w:val="auto"/>
          <w:sz w:val="56"/>
          <w:szCs w:val="56"/>
        </w:rPr>
      </w:pPr>
    </w:p>
    <w:p w14:paraId="305B67EC">
      <w:pPr>
        <w:pStyle w:val="12"/>
        <w:jc w:val="center"/>
        <w:rPr>
          <w:rFonts w:ascii="Times New Roman" w:hAnsi="Times New Roman" w:cs="Times New Roman"/>
          <w:color w:val="auto"/>
          <w:sz w:val="56"/>
          <w:szCs w:val="56"/>
        </w:rPr>
      </w:pPr>
    </w:p>
    <w:p w14:paraId="1BA42C9D">
      <w:pPr>
        <w:pStyle w:val="12"/>
        <w:rPr>
          <w:rFonts w:ascii="Times New Roman" w:hAnsi="Times New Roman" w:cs="Times New Roman"/>
          <w:color w:val="auto"/>
          <w:sz w:val="56"/>
          <w:szCs w:val="56"/>
        </w:rPr>
      </w:pPr>
    </w:p>
    <w:p w14:paraId="078CA80A">
      <w:pPr>
        <w:pStyle w:val="12"/>
        <w:jc w:val="center"/>
        <w:rPr>
          <w:rFonts w:ascii="Times New Roman" w:hAnsi="Times New Roman" w:cs="Times New Roman"/>
          <w:color w:val="auto"/>
          <w:sz w:val="32"/>
          <w:szCs w:val="32"/>
        </w:rPr>
      </w:pPr>
    </w:p>
    <w:p w14:paraId="7AB41305">
      <w:pPr>
        <w:pStyle w:val="12"/>
        <w:jc w:val="center"/>
        <w:rPr>
          <w:rFonts w:ascii="Times New Roman" w:hAnsi="Times New Roman" w:cs="Times New Roman"/>
          <w:color w:val="auto"/>
          <w:sz w:val="32"/>
          <w:szCs w:val="32"/>
        </w:rPr>
      </w:pPr>
    </w:p>
    <w:p w14:paraId="6E98BEE3">
      <w:pPr>
        <w:pStyle w:val="12"/>
        <w:jc w:val="center"/>
        <w:rPr>
          <w:rFonts w:ascii="Times New Roman" w:hAnsi="Times New Roman" w:cs="Times New Roman"/>
          <w:color w:val="auto"/>
          <w:sz w:val="32"/>
          <w:szCs w:val="32"/>
        </w:rPr>
      </w:pPr>
    </w:p>
    <w:p w14:paraId="41C942F3">
      <w:pPr>
        <w:pStyle w:val="12"/>
        <w:jc w:val="center"/>
        <w:rPr>
          <w:rFonts w:ascii="Times New Roman" w:hAnsi="Times New Roman" w:cs="Times New Roman"/>
          <w:color w:val="auto"/>
          <w:sz w:val="32"/>
          <w:szCs w:val="32"/>
        </w:rPr>
      </w:pPr>
    </w:p>
    <w:p w14:paraId="315C376B">
      <w:pPr>
        <w:rPr>
          <w:rFonts w:ascii="Times New Roman" w:hAnsi="Times New Roman" w:cs="Times New Roman"/>
          <w:b/>
          <w:color w:val="auto"/>
          <w:sz w:val="36"/>
          <w:szCs w:val="28"/>
        </w:rPr>
        <w:sectPr>
          <w:pgSz w:w="11906" w:h="16838"/>
          <w:pgMar w:top="1417" w:right="1588" w:bottom="1417" w:left="1588" w:header="851" w:footer="992" w:gutter="0"/>
          <w:cols w:space="425" w:num="1"/>
          <w:docGrid w:type="lines" w:linePitch="312" w:charSpace="0"/>
        </w:sectPr>
      </w:pPr>
    </w:p>
    <w:p w14:paraId="0F71F5D0">
      <w:pPr>
        <w:pStyle w:val="12"/>
        <w:spacing w:line="600" w:lineRule="exact"/>
        <w:jc w:val="both"/>
        <w:rPr>
          <w:rFonts w:ascii="Times New Roman" w:hAnsi="Times New Roman" w:cs="Times New Roman"/>
          <w:b/>
          <w:color w:val="auto"/>
          <w:sz w:val="36"/>
          <w:szCs w:val="28"/>
        </w:rPr>
      </w:pPr>
    </w:p>
    <w:p w14:paraId="51153A8E">
      <w:pPr>
        <w:pStyle w:val="12"/>
        <w:spacing w:line="600" w:lineRule="exact"/>
        <w:jc w:val="center"/>
        <w:rPr>
          <w:rFonts w:ascii="Times New Roman" w:hAnsi="Times New Roman" w:cs="Times New Roman"/>
          <w:bCs/>
          <w:color w:val="auto"/>
          <w:sz w:val="36"/>
          <w:szCs w:val="28"/>
        </w:rPr>
      </w:pPr>
      <w:r>
        <w:rPr>
          <w:rFonts w:ascii="Times New Roman" w:hAnsi="Times New Roman" w:cs="Times New Roman"/>
          <w:bCs/>
          <w:color w:val="auto"/>
          <w:sz w:val="36"/>
          <w:szCs w:val="28"/>
        </w:rPr>
        <w:t>目  录</w:t>
      </w:r>
    </w:p>
    <w:p w14:paraId="2EF01405">
      <w:pPr>
        <w:pStyle w:val="12"/>
        <w:spacing w:line="600" w:lineRule="exact"/>
        <w:jc w:val="center"/>
        <w:rPr>
          <w:rFonts w:ascii="Times New Roman" w:hAnsi="Times New Roman" w:cs="Times New Roman"/>
          <w:b/>
          <w:color w:val="auto"/>
          <w:sz w:val="36"/>
          <w:szCs w:val="28"/>
        </w:rPr>
      </w:pPr>
    </w:p>
    <w:p w14:paraId="15225258">
      <w:pPr>
        <w:pStyle w:val="12"/>
        <w:spacing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 xml:space="preserve">第一部分 </w:t>
      </w:r>
      <w:r>
        <w:rPr>
          <w:rFonts w:hint="eastAsia" w:ascii="Times New Roman" w:hAnsi="Times New Roman" w:cs="Times New Roman"/>
          <w:bCs/>
          <w:color w:val="auto"/>
          <w:sz w:val="32"/>
          <w:szCs w:val="32"/>
          <w:lang w:eastAsia="zh-CN"/>
        </w:rPr>
        <w:t>蓝山县毛俊镇中心卫生院</w:t>
      </w:r>
      <w:r>
        <w:rPr>
          <w:rFonts w:ascii="Times New Roman" w:hAnsi="Times New Roman" w:cs="Times New Roman"/>
          <w:bCs/>
          <w:color w:val="auto"/>
          <w:sz w:val="32"/>
          <w:szCs w:val="32"/>
        </w:rPr>
        <w:t>概况</w:t>
      </w:r>
    </w:p>
    <w:p w14:paraId="10708AB7">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一、部门职责</w:t>
      </w:r>
    </w:p>
    <w:p w14:paraId="53FDD292">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二、机构设置及决算单位构成</w:t>
      </w:r>
    </w:p>
    <w:p w14:paraId="700E0473">
      <w:pPr>
        <w:pStyle w:val="12"/>
        <w:spacing w:before="156" w:beforeLines="50"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第二部分 部门决算表</w:t>
      </w:r>
    </w:p>
    <w:p w14:paraId="3047DFD8">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一、收入支出决算总表</w:t>
      </w:r>
    </w:p>
    <w:p w14:paraId="0F5E3C16">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二、收入决算表</w:t>
      </w:r>
    </w:p>
    <w:p w14:paraId="5294A775">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三、支出决算表</w:t>
      </w:r>
    </w:p>
    <w:p w14:paraId="5A666C0D">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四、财政拨款收入支出决算总表</w:t>
      </w:r>
    </w:p>
    <w:p w14:paraId="10A801D5">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五、一般公共预算财政拨款支出决算表</w:t>
      </w:r>
    </w:p>
    <w:p w14:paraId="26466F5E">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六、一般公共预算财政拨款基本支出决算明细表</w:t>
      </w:r>
    </w:p>
    <w:p w14:paraId="4FEBC18E">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七、政府性基金预算财政拨款收入支出决算表</w:t>
      </w:r>
    </w:p>
    <w:p w14:paraId="1C40A9C3">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八、国有资本经营预算财政拨款支出决算表</w:t>
      </w:r>
    </w:p>
    <w:p w14:paraId="253B6CAE">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九、财政拨款“三公”经费支出决算表</w:t>
      </w:r>
    </w:p>
    <w:p w14:paraId="022B7EBF">
      <w:pPr>
        <w:pStyle w:val="12"/>
        <w:spacing w:before="156" w:beforeLines="50"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第三部分 部门决算情况说明</w:t>
      </w:r>
    </w:p>
    <w:p w14:paraId="0D9AF124">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一、收入支出决算总体情况说明</w:t>
      </w:r>
    </w:p>
    <w:p w14:paraId="6A4028D7">
      <w:pPr>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二、收入决算情况说明</w:t>
      </w:r>
    </w:p>
    <w:p w14:paraId="51679657">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三、支出决算情况说明</w:t>
      </w:r>
    </w:p>
    <w:p w14:paraId="3EA791AA">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四、财政拨款收入支出决算总体情况说明</w:t>
      </w:r>
    </w:p>
    <w:p w14:paraId="3E05F985">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五、一般公共预算财政拨款支出决算情况说明</w:t>
      </w:r>
    </w:p>
    <w:p w14:paraId="46B9F484">
      <w:pPr>
        <w:autoSpaceDE w:val="0"/>
        <w:autoSpaceDN w:val="0"/>
        <w:adjustRightInd w:val="0"/>
        <w:spacing w:line="600" w:lineRule="exact"/>
        <w:jc w:val="left"/>
        <w:rPr>
          <w:rFonts w:ascii="Times New Roman" w:hAnsi="Times New Roman" w:eastAsia="仿宋_GB2312" w:cs="Times New Roman"/>
          <w:color w:val="auto"/>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2A9FDE0D">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六、一般公共预算财政拨款基本支出决算情况说明</w:t>
      </w:r>
    </w:p>
    <w:p w14:paraId="097FD688">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七、财政拨款“三公”经费支出决算情况说明</w:t>
      </w:r>
    </w:p>
    <w:p w14:paraId="5BD41935">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八、政府性基金预算收入支出决算情况</w:t>
      </w:r>
    </w:p>
    <w:p w14:paraId="7D14E3E9">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九、关于机关运行经费支出说明</w:t>
      </w:r>
    </w:p>
    <w:p w14:paraId="2CD0305F">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十、一般性支出情况说明</w:t>
      </w:r>
    </w:p>
    <w:p w14:paraId="220BBBAB">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十一、关于政府采购支出说明</w:t>
      </w:r>
    </w:p>
    <w:p w14:paraId="42B11B50">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十二、关于国有资产占用情况说明</w:t>
      </w:r>
    </w:p>
    <w:p w14:paraId="4E79E98F">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十三、关于2024年度预算绩效管理情况的说明</w:t>
      </w:r>
    </w:p>
    <w:p w14:paraId="79848679">
      <w:pPr>
        <w:pStyle w:val="12"/>
        <w:spacing w:before="156" w:beforeLines="50"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第四部分 名词解释</w:t>
      </w:r>
    </w:p>
    <w:p w14:paraId="2CF18017">
      <w:pPr>
        <w:pStyle w:val="12"/>
        <w:spacing w:before="156" w:beforeLines="50" w:after="156" w:afterLines="50" w:line="600" w:lineRule="exact"/>
        <w:rPr>
          <w:rFonts w:ascii="Times New Roman" w:hAnsi="Times New Roman" w:cs="Times New Roman"/>
          <w:bCs/>
          <w:color w:val="auto"/>
          <w:sz w:val="28"/>
          <w:szCs w:val="28"/>
        </w:rPr>
      </w:pPr>
      <w:r>
        <w:rPr>
          <w:rFonts w:ascii="Times New Roman" w:hAnsi="Times New Roman" w:cs="Times New Roman"/>
          <w:bCs/>
          <w:color w:val="auto"/>
          <w:sz w:val="32"/>
          <w:szCs w:val="32"/>
        </w:rPr>
        <w:t>第五部分 附件</w:t>
      </w:r>
    </w:p>
    <w:p w14:paraId="1A5D5558">
      <w:pPr>
        <w:jc w:val="center"/>
        <w:rPr>
          <w:rFonts w:ascii="Times New Roman" w:hAnsi="Times New Roman" w:cs="Times New Roman"/>
          <w:color w:val="auto"/>
          <w:sz w:val="72"/>
          <w:szCs w:val="72"/>
        </w:rPr>
      </w:pPr>
    </w:p>
    <w:p w14:paraId="27E72AA9">
      <w:pPr>
        <w:jc w:val="center"/>
        <w:rPr>
          <w:rFonts w:ascii="Times New Roman" w:hAnsi="Times New Roman" w:cs="Times New Roman"/>
          <w:color w:val="auto"/>
          <w:sz w:val="72"/>
          <w:szCs w:val="72"/>
        </w:rPr>
      </w:pPr>
    </w:p>
    <w:p w14:paraId="04BFB546">
      <w:pPr>
        <w:jc w:val="center"/>
        <w:rPr>
          <w:rFonts w:ascii="Times New Roman" w:hAnsi="Times New Roman" w:cs="Times New Roman"/>
          <w:color w:val="auto"/>
          <w:sz w:val="72"/>
          <w:szCs w:val="72"/>
        </w:rPr>
      </w:pPr>
    </w:p>
    <w:p w14:paraId="52B89C83">
      <w:pPr>
        <w:pStyle w:val="6"/>
        <w:rPr>
          <w:rFonts w:ascii="Times New Roman" w:hAnsi="Times New Roman" w:cs="Times New Roman"/>
          <w:color w:val="auto"/>
        </w:rPr>
        <w:sectPr>
          <w:footerReference r:id="rId4" w:type="default"/>
          <w:pgSz w:w="11906" w:h="16838"/>
          <w:pgMar w:top="1417" w:right="1588" w:bottom="1417" w:left="1588" w:header="851" w:footer="992" w:gutter="0"/>
          <w:pgNumType w:start="1"/>
          <w:cols w:space="425" w:num="1"/>
          <w:docGrid w:type="lines" w:linePitch="312" w:charSpace="0"/>
        </w:sectPr>
      </w:pPr>
    </w:p>
    <w:p w14:paraId="68980D5B">
      <w:pPr>
        <w:rPr>
          <w:rFonts w:ascii="Times New Roman" w:hAnsi="Times New Roman" w:eastAsia="方正小标宋_GBK" w:cs="Times New Roman"/>
          <w:color w:val="auto"/>
          <w:sz w:val="72"/>
          <w:szCs w:val="72"/>
        </w:rPr>
      </w:pPr>
    </w:p>
    <w:p w14:paraId="7EC4ADDF">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第一部分</w:t>
      </w:r>
    </w:p>
    <w:p w14:paraId="0B4BFA9E">
      <w:pPr>
        <w:pStyle w:val="12"/>
        <w:spacing w:line="360" w:lineRule="auto"/>
        <w:jc w:val="center"/>
        <w:rPr>
          <w:rFonts w:ascii="Times New Roman" w:hAnsi="Times New Roman" w:eastAsia="方正小标宋_GBK" w:cs="Times New Roman"/>
          <w:color w:val="auto"/>
          <w:sz w:val="52"/>
          <w:szCs w:val="52"/>
        </w:rPr>
      </w:pPr>
      <w:r>
        <w:rPr>
          <w:rFonts w:hint="eastAsia" w:ascii="Times New Roman" w:hAnsi="Times New Roman" w:eastAsia="方正小标宋_GBK" w:cs="Times New Roman"/>
          <w:color w:val="auto"/>
          <w:sz w:val="52"/>
          <w:szCs w:val="52"/>
        </w:rPr>
        <w:t>蓝山县毛俊镇中心卫生院</w:t>
      </w:r>
      <w:r>
        <w:rPr>
          <w:rFonts w:ascii="Times New Roman" w:hAnsi="Times New Roman" w:eastAsia="方正小标宋_GBK" w:cs="Times New Roman"/>
          <w:color w:val="auto"/>
          <w:sz w:val="52"/>
          <w:szCs w:val="52"/>
        </w:rPr>
        <w:t>概况</w:t>
      </w:r>
    </w:p>
    <w:p w14:paraId="759BC1FE">
      <w:pPr>
        <w:pStyle w:val="7"/>
        <w:ind w:left="0" w:leftChars="0" w:firstLine="0" w:firstLineChars="0"/>
        <w:rPr>
          <w:rFonts w:ascii="Times New Roman" w:hAnsi="Times New Roman" w:cs="Times New Roman"/>
          <w:color w:val="auto"/>
        </w:rPr>
      </w:pPr>
    </w:p>
    <w:p w14:paraId="7859338A">
      <w:pPr>
        <w:pStyle w:val="13"/>
        <w:spacing w:line="600" w:lineRule="exact"/>
        <w:ind w:firstLine="0" w:firstLineChars="0"/>
        <w:jc w:val="left"/>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一、</w:t>
      </w:r>
      <w:r>
        <w:rPr>
          <w:rFonts w:ascii="Times New Roman" w:hAnsi="Times New Roman" w:eastAsia="黑体" w:cs="Times New Roman"/>
          <w:color w:val="auto"/>
          <w:sz w:val="32"/>
          <w:szCs w:val="32"/>
        </w:rPr>
        <w:t>部门职责</w:t>
      </w:r>
    </w:p>
    <w:p w14:paraId="7D5A4C7C">
      <w:pPr>
        <w:widowControl/>
        <w:spacing w:line="600" w:lineRule="exact"/>
        <w:ind w:firstLine="627" w:firstLineChars="196"/>
        <w:jc w:val="left"/>
        <w:rPr>
          <w:rFonts w:eastAsia="仿宋_GB2312"/>
          <w:color w:val="auto"/>
          <w:sz w:val="32"/>
          <w:szCs w:val="32"/>
          <w:highlight w:val="none"/>
        </w:rPr>
      </w:pPr>
      <w:r>
        <w:rPr>
          <w:rFonts w:hint="eastAsia" w:eastAsia="仿宋_GB2312"/>
          <w:color w:val="auto"/>
          <w:sz w:val="32"/>
          <w:szCs w:val="32"/>
          <w:highlight w:val="none"/>
        </w:rPr>
        <w:t>为人民身体健康提供医疗与预防保健服务。常见病多发病诊治与护理、院前急救、巡回医疗、恢复期病人康复治疗与护理、预防保健、卫生技术人员培训、初级卫生保健规划实施、合作医疗组织与管理、卫生监督与卫生信息管理。</w:t>
      </w:r>
    </w:p>
    <w:p w14:paraId="457E7E4E">
      <w:pPr>
        <w:widowControl/>
        <w:spacing w:line="600" w:lineRule="exact"/>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二、机构设置及决算单位构成</w:t>
      </w:r>
    </w:p>
    <w:p w14:paraId="662FC340">
      <w:pPr>
        <w:widowControl/>
        <w:spacing w:line="600" w:lineRule="exact"/>
        <w:ind w:firstLine="627" w:firstLineChars="196"/>
        <w:jc w:val="left"/>
        <w:rPr>
          <w:rFonts w:ascii="Times New Roman" w:hAnsi="Times New Roman" w:eastAsia="仿宋_GB2312" w:cs="Times New Roman"/>
          <w:bCs/>
          <w:color w:val="auto"/>
          <w:kern w:val="0"/>
          <w:sz w:val="32"/>
          <w:szCs w:val="32"/>
        </w:rPr>
      </w:pPr>
      <w:r>
        <w:rPr>
          <w:rFonts w:ascii="Times New Roman" w:hAnsi="Times New Roman" w:eastAsia="仿宋_GB2312" w:cs="Times New Roman"/>
          <w:bCs/>
          <w:color w:val="auto"/>
          <w:kern w:val="0"/>
          <w:sz w:val="32"/>
          <w:szCs w:val="32"/>
        </w:rPr>
        <w:t>（一）内设机构设置。</w:t>
      </w:r>
      <w:r>
        <w:rPr>
          <w:rFonts w:hint="eastAsia" w:eastAsia="仿宋_GB2312"/>
          <w:color w:val="auto"/>
          <w:sz w:val="32"/>
          <w:szCs w:val="32"/>
          <w:highlight w:val="none"/>
          <w:lang w:eastAsia="zh-CN"/>
        </w:rPr>
        <w:t>我院开设全科医疗科、预防保健科、门急诊科、妇产科、中医科、医学检验、医学影象医技科、预防接种科、药房、高血压门诊等临床科室及公共卫生办公室，各种功能科室齐全。中医科是我院特色科室。我院编制人数29人，实有人数32人，其中在编人员26人，临聘人员6人。</w:t>
      </w:r>
    </w:p>
    <w:p w14:paraId="35A1EAD8">
      <w:pPr>
        <w:widowControl/>
        <w:spacing w:line="600" w:lineRule="exact"/>
        <w:rPr>
          <w:rFonts w:ascii="Times New Roman" w:hAnsi="Times New Roman" w:eastAsia="仿宋_GB2312" w:cs="Times New Roman"/>
          <w:bCs/>
          <w:color w:val="auto"/>
          <w:kern w:val="0"/>
          <w:sz w:val="32"/>
          <w:szCs w:val="32"/>
        </w:rPr>
      </w:pPr>
      <w:r>
        <w:rPr>
          <w:rFonts w:ascii="Times New Roman" w:hAnsi="Times New Roman" w:eastAsia="仿宋_GB2312" w:cs="Times New Roman"/>
          <w:bCs/>
          <w:color w:val="auto"/>
          <w:kern w:val="0"/>
          <w:sz w:val="32"/>
          <w:szCs w:val="32"/>
        </w:rPr>
        <w:t>（二）决算单位构成。</w:t>
      </w:r>
      <w:r>
        <w:rPr>
          <w:rFonts w:hint="eastAsia" w:eastAsia="仿宋_GB2312"/>
          <w:color w:val="auto"/>
          <w:sz w:val="32"/>
          <w:szCs w:val="32"/>
        </w:rPr>
        <w:t>蓝山县</w:t>
      </w:r>
      <w:r>
        <w:rPr>
          <w:rFonts w:hint="eastAsia" w:eastAsia="仿宋_GB2312"/>
          <w:color w:val="auto"/>
          <w:sz w:val="32"/>
          <w:szCs w:val="32"/>
          <w:lang w:eastAsia="zh-CN"/>
        </w:rPr>
        <w:t>毛俊镇中心卫生院</w:t>
      </w:r>
      <w:r>
        <w:rPr>
          <w:rFonts w:eastAsia="仿宋_GB2312"/>
          <w:bCs/>
          <w:color w:val="auto"/>
          <w:kern w:val="0"/>
          <w:sz w:val="32"/>
          <w:szCs w:val="32"/>
        </w:rPr>
        <w:t>20</w:t>
      </w:r>
      <w:r>
        <w:rPr>
          <w:rFonts w:hint="eastAsia" w:eastAsia="仿宋_GB2312"/>
          <w:bCs/>
          <w:color w:val="auto"/>
          <w:kern w:val="0"/>
          <w:sz w:val="32"/>
          <w:szCs w:val="32"/>
          <w:lang w:val="en-US" w:eastAsia="zh-CN"/>
        </w:rPr>
        <w:t>24</w:t>
      </w:r>
      <w:r>
        <w:rPr>
          <w:rFonts w:eastAsia="仿宋_GB2312"/>
          <w:bCs/>
          <w:color w:val="auto"/>
          <w:kern w:val="0"/>
          <w:sz w:val="32"/>
          <w:szCs w:val="32"/>
        </w:rPr>
        <w:t>年部门决算汇总公开单位构成包括：</w:t>
      </w:r>
      <w:r>
        <w:rPr>
          <w:rFonts w:hint="eastAsia" w:eastAsia="仿宋_GB2312"/>
          <w:color w:val="auto"/>
          <w:sz w:val="32"/>
          <w:szCs w:val="32"/>
        </w:rPr>
        <w:t>蓝山县</w:t>
      </w:r>
      <w:r>
        <w:rPr>
          <w:rFonts w:hint="eastAsia" w:eastAsia="仿宋_GB2312"/>
          <w:color w:val="auto"/>
          <w:sz w:val="32"/>
          <w:szCs w:val="32"/>
          <w:lang w:eastAsia="zh-CN"/>
        </w:rPr>
        <w:t>毛俊镇中心卫生院</w:t>
      </w:r>
      <w:r>
        <w:rPr>
          <w:rFonts w:eastAsia="仿宋_GB2312"/>
          <w:bCs/>
          <w:color w:val="auto"/>
          <w:kern w:val="0"/>
          <w:sz w:val="32"/>
          <w:szCs w:val="32"/>
        </w:rPr>
        <w:t>本级</w:t>
      </w:r>
      <w:r>
        <w:rPr>
          <w:rFonts w:hint="eastAsia" w:eastAsia="仿宋_GB2312"/>
          <w:bCs/>
          <w:color w:val="auto"/>
          <w:kern w:val="0"/>
          <w:sz w:val="32"/>
          <w:szCs w:val="32"/>
          <w:lang w:eastAsia="zh-CN"/>
        </w:rPr>
        <w:t>。</w:t>
      </w:r>
    </w:p>
    <w:p w14:paraId="4AB4EFE2">
      <w:pPr>
        <w:jc w:val="both"/>
        <w:rPr>
          <w:rFonts w:ascii="Times New Roman" w:hAnsi="Times New Roman" w:eastAsia="黑体" w:cs="Times New Roman"/>
          <w:color w:val="auto"/>
          <w:sz w:val="28"/>
          <w:szCs w:val="28"/>
        </w:rPr>
      </w:pPr>
    </w:p>
    <w:p w14:paraId="194C1B65">
      <w:pPr>
        <w:jc w:val="center"/>
        <w:rPr>
          <w:rFonts w:ascii="Times New Roman" w:hAnsi="Times New Roman" w:eastAsia="黑体" w:cs="Times New Roman"/>
          <w:color w:val="auto"/>
          <w:sz w:val="28"/>
          <w:szCs w:val="28"/>
        </w:rPr>
      </w:pPr>
    </w:p>
    <w:p w14:paraId="060B01F7">
      <w:pPr>
        <w:pStyle w:val="6"/>
        <w:rPr>
          <w:rFonts w:ascii="Times New Roman" w:hAnsi="Times New Roman" w:cs="Times New Roman"/>
          <w:color w:val="auto"/>
        </w:rPr>
        <w:sectPr>
          <w:footerReference r:id="rId5" w:type="default"/>
          <w:pgSz w:w="11906" w:h="16838"/>
          <w:pgMar w:top="1417" w:right="1588" w:bottom="1417" w:left="1588" w:header="851" w:footer="992" w:gutter="0"/>
          <w:pgNumType w:start="1"/>
          <w:cols w:space="425" w:num="1"/>
          <w:docGrid w:type="lines" w:linePitch="312" w:charSpace="0"/>
        </w:sectPr>
      </w:pPr>
    </w:p>
    <w:p w14:paraId="72EB0EEA">
      <w:pPr>
        <w:pStyle w:val="12"/>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第二部分    部门决算表</w:t>
      </w:r>
    </w:p>
    <w:p w14:paraId="0B527973">
      <w:pPr>
        <w:widowControl/>
        <w:spacing w:after="156" w:afterLines="50"/>
        <w:jc w:val="center"/>
        <w:textAlignment w:val="center"/>
        <w:rPr>
          <w:rFonts w:ascii="Times New Roman" w:hAnsi="Times New Roman" w:eastAsia="黑体" w:cs="Times New Roman"/>
          <w:color w:val="auto"/>
          <w:sz w:val="36"/>
          <w:szCs w:val="36"/>
        </w:rPr>
      </w:pPr>
      <w:r>
        <w:rPr>
          <w:rFonts w:ascii="Times New Roman" w:hAnsi="Times New Roman" w:eastAsia="黑体" w:cs="Times New Roman"/>
          <w:color w:val="auto"/>
          <w:kern w:val="0"/>
          <w:sz w:val="36"/>
          <w:szCs w:val="36"/>
          <w:lang w:bidi="ar"/>
        </w:rPr>
        <w:t>收入支出决算总表</w:t>
      </w:r>
    </w:p>
    <w:p w14:paraId="023A5C99">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kern w:val="0"/>
          <w:sz w:val="20"/>
          <w:szCs w:val="20"/>
          <w:lang w:bidi="ar"/>
        </w:rPr>
        <w:t>公开01表</w:t>
      </w:r>
    </w:p>
    <w:p w14:paraId="79843B65">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部门：</w:t>
      </w:r>
      <w:r>
        <w:rPr>
          <w:rFonts w:hint="eastAsia" w:ascii="Times New Roman" w:hAnsi="Times New Roman" w:eastAsia="仿宋_GB2312" w:cs="Times New Roman"/>
          <w:color w:val="auto"/>
          <w:kern w:val="0"/>
          <w:sz w:val="20"/>
          <w:szCs w:val="20"/>
          <w:lang w:eastAsia="zh-CN" w:bidi="ar"/>
        </w:rPr>
        <w:t>蓝山县毛俊镇中心卫生院</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kern w:val="0"/>
          <w:sz w:val="20"/>
          <w:szCs w:val="20"/>
          <w:lang w:bidi="ar"/>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2"/>
        <w:gridCol w:w="4850"/>
        <w:gridCol w:w="850"/>
        <w:gridCol w:w="1292"/>
      </w:tblGrid>
      <w:tr w14:paraId="134D6E02">
        <w:tblPrEx>
          <w:tblCellMar>
            <w:top w:w="0" w:type="dxa"/>
            <w:left w:w="108" w:type="dxa"/>
            <w:bottom w:w="0" w:type="dxa"/>
            <w:right w:w="108" w:type="dxa"/>
          </w:tblCellMar>
        </w:tblPrEx>
        <w:trPr>
          <w:trHeight w:val="340" w:hRule="exact"/>
          <w:jc w:val="center"/>
        </w:trPr>
        <w:tc>
          <w:tcPr>
            <w:tcW w:w="79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530A5">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收入</w:t>
            </w:r>
          </w:p>
        </w:tc>
        <w:tc>
          <w:tcPr>
            <w:tcW w:w="699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79C0F">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支出</w:t>
            </w:r>
          </w:p>
        </w:tc>
      </w:tr>
      <w:tr w14:paraId="76F6A91A">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F95A9">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84348">
            <w:pPr>
              <w:widowControl/>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23ACC">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决算数</w:t>
            </w: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0CF0F">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3F81B">
            <w:pPr>
              <w:widowControl/>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931DA">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决算数</w:t>
            </w:r>
          </w:p>
        </w:tc>
      </w:tr>
      <w:tr w14:paraId="3D545030">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1775E">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B0981">
            <w:pPr>
              <w:jc w:val="center"/>
              <w:rPr>
                <w:rFonts w:ascii="Times New Roman" w:hAnsi="Times New Roman" w:eastAsia="仿宋_GB2312" w:cs="Times New Roman"/>
                <w:color w:val="auto"/>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50348">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w:t>
            </w: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35803">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B5B44">
            <w:pPr>
              <w:jc w:val="center"/>
              <w:rPr>
                <w:rFonts w:ascii="Times New Roman" w:hAnsi="Times New Roman" w:eastAsia="仿宋_GB2312" w:cs="Times New Roman"/>
                <w:color w:val="auto"/>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DC224">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w:t>
            </w:r>
          </w:p>
        </w:tc>
      </w:tr>
      <w:tr w14:paraId="20C5DDC4">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CD00">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B4584">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39B0">
            <w:pPr>
              <w:jc w:val="right"/>
              <w:rPr>
                <w:rFonts w:hint="default" w:ascii="Times New Roman" w:hAnsi="Times New Roman" w:eastAsia="仿宋_GB2312" w:cs="Times New Roman"/>
                <w:color w:val="auto"/>
                <w:sz w:val="22"/>
                <w:lang w:val="en-US" w:eastAsia="zh-CN"/>
              </w:rPr>
            </w:pPr>
            <w:r>
              <w:rPr>
                <w:rFonts w:hint="eastAsia" w:ascii="Times New Roman" w:hAnsi="Times New Roman" w:eastAsia="仿宋_GB2312" w:cs="Times New Roman"/>
                <w:color w:val="auto"/>
                <w:sz w:val="22"/>
                <w:lang w:val="en-US" w:eastAsia="zh-CN"/>
              </w:rPr>
              <w:t>397.50</w:t>
            </w: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DE614">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4487C">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CE03">
            <w:pPr>
              <w:jc w:val="right"/>
              <w:rPr>
                <w:rFonts w:ascii="Times New Roman" w:hAnsi="Times New Roman" w:eastAsia="仿宋_GB2312" w:cs="Times New Roman"/>
                <w:b w:val="0"/>
                <w:bCs w:val="0"/>
                <w:color w:val="auto"/>
                <w:sz w:val="22"/>
              </w:rPr>
            </w:pPr>
          </w:p>
        </w:tc>
      </w:tr>
      <w:tr w14:paraId="62A769CF">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2B168">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5FE50">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F4AC">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BD1B2">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73437">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73D9">
            <w:pPr>
              <w:jc w:val="right"/>
              <w:rPr>
                <w:rFonts w:ascii="Times New Roman" w:hAnsi="Times New Roman" w:eastAsia="仿宋_GB2312" w:cs="Times New Roman"/>
                <w:b w:val="0"/>
                <w:bCs w:val="0"/>
                <w:color w:val="auto"/>
                <w:sz w:val="22"/>
              </w:rPr>
            </w:pPr>
          </w:p>
        </w:tc>
      </w:tr>
      <w:tr w14:paraId="182C451B">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D77A">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76E53">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17F2">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D1863">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D893D">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4359">
            <w:pPr>
              <w:jc w:val="right"/>
              <w:rPr>
                <w:rFonts w:ascii="Times New Roman" w:hAnsi="Times New Roman" w:eastAsia="仿宋_GB2312" w:cs="Times New Roman"/>
                <w:b w:val="0"/>
                <w:bCs w:val="0"/>
                <w:color w:val="auto"/>
                <w:sz w:val="22"/>
              </w:rPr>
            </w:pPr>
          </w:p>
        </w:tc>
      </w:tr>
      <w:tr w14:paraId="7E2E1663">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584AB">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9F0DC">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E68F">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C740B">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08E37">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B65C">
            <w:pPr>
              <w:jc w:val="right"/>
              <w:rPr>
                <w:rFonts w:ascii="Times New Roman" w:hAnsi="Times New Roman" w:eastAsia="仿宋_GB2312" w:cs="Times New Roman"/>
                <w:b w:val="0"/>
                <w:bCs w:val="0"/>
                <w:color w:val="auto"/>
                <w:sz w:val="22"/>
              </w:rPr>
            </w:pPr>
          </w:p>
        </w:tc>
      </w:tr>
      <w:tr w14:paraId="5E5CA00D">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1FC1A">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D7F7E">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BB4C">
            <w:pPr>
              <w:jc w:val="right"/>
              <w:rPr>
                <w:rFonts w:hint="default" w:ascii="Times New Roman" w:hAnsi="Times New Roman" w:eastAsia="仿宋_GB2312" w:cs="Times New Roman"/>
                <w:color w:val="auto"/>
                <w:sz w:val="22"/>
                <w:lang w:val="en-US" w:eastAsia="zh-CN"/>
              </w:rPr>
            </w:pPr>
            <w:r>
              <w:rPr>
                <w:rFonts w:hint="eastAsia" w:ascii="Times New Roman" w:hAnsi="Times New Roman" w:eastAsia="仿宋_GB2312" w:cs="Times New Roman"/>
                <w:color w:val="auto"/>
                <w:sz w:val="22"/>
                <w:lang w:val="en-US" w:eastAsia="zh-CN"/>
              </w:rPr>
              <w:t>258.28</w:t>
            </w: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4A702">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D0B3C">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BC8F">
            <w:pPr>
              <w:jc w:val="right"/>
              <w:rPr>
                <w:rFonts w:ascii="Times New Roman" w:hAnsi="Times New Roman" w:eastAsia="仿宋_GB2312" w:cs="Times New Roman"/>
                <w:b w:val="0"/>
                <w:bCs w:val="0"/>
                <w:color w:val="auto"/>
                <w:sz w:val="22"/>
              </w:rPr>
            </w:pPr>
          </w:p>
        </w:tc>
      </w:tr>
      <w:tr w14:paraId="72DC4E65">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111FA">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AD39E">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751F">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63147">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12ED0">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B392">
            <w:pPr>
              <w:jc w:val="right"/>
              <w:rPr>
                <w:rFonts w:ascii="Times New Roman" w:hAnsi="Times New Roman" w:eastAsia="仿宋_GB2312" w:cs="Times New Roman"/>
                <w:b w:val="0"/>
                <w:bCs w:val="0"/>
                <w:color w:val="auto"/>
                <w:sz w:val="22"/>
              </w:rPr>
            </w:pPr>
          </w:p>
        </w:tc>
      </w:tr>
      <w:tr w14:paraId="01201F54">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5C087">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8BC28">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80BA">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9F8A">
            <w:pPr>
              <w:widowControl/>
              <w:jc w:val="left"/>
              <w:textAlignment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kern w:val="0"/>
                <w:sz w:val="24"/>
                <w:szCs w:val="24"/>
                <w:lang w:eastAsia="zh-CN"/>
              </w:rPr>
              <w:t>七、文化旅游体育与传媒支出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F066D">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A3F6">
            <w:pPr>
              <w:jc w:val="right"/>
              <w:rPr>
                <w:rFonts w:ascii="Times New Roman" w:hAnsi="Times New Roman" w:eastAsia="仿宋_GB2312" w:cs="Times New Roman"/>
                <w:b w:val="0"/>
                <w:bCs w:val="0"/>
                <w:color w:val="auto"/>
                <w:sz w:val="22"/>
              </w:rPr>
            </w:pPr>
          </w:p>
        </w:tc>
      </w:tr>
      <w:tr w14:paraId="3ACAF5E4">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E60AF">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78F41">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7DEC">
            <w:pPr>
              <w:jc w:val="lef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3FC2">
            <w:pPr>
              <w:jc w:val="left"/>
              <w:rPr>
                <w:rFonts w:ascii="Times New Roman" w:hAnsi="Times New Roman" w:eastAsia="仿宋_GB2312" w:cs="Times New Roman"/>
                <w:color w:val="auto"/>
                <w:sz w:val="22"/>
              </w:rPr>
            </w:pPr>
            <w:r>
              <w:rPr>
                <w:rFonts w:hint="eastAsia" w:ascii="Times New Roman" w:hAnsi="Times New Roman" w:eastAsia="仿宋_GB2312" w:cs="Times New Roman"/>
                <w:color w:val="auto"/>
                <w:kern w:val="0"/>
                <w:sz w:val="22"/>
                <w:lang w:eastAsia="zh-CN"/>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6994C">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4CA8">
            <w:pPr>
              <w:jc w:val="right"/>
              <w:rPr>
                <w:rFonts w:hint="default" w:ascii="Times New Roman" w:hAnsi="Times New Roman" w:eastAsia="仿宋_GB2312" w:cs="Times New Roman"/>
                <w:b w:val="0"/>
                <w:bCs w:val="0"/>
                <w:color w:val="auto"/>
                <w:sz w:val="22"/>
                <w:lang w:val="en-US" w:eastAsia="zh-CN"/>
              </w:rPr>
            </w:pPr>
            <w:r>
              <w:rPr>
                <w:rFonts w:hint="eastAsia" w:ascii="Times New Roman" w:hAnsi="Times New Roman" w:eastAsia="仿宋_GB2312" w:cs="Times New Roman"/>
                <w:b w:val="0"/>
                <w:bCs w:val="0"/>
                <w:color w:val="auto"/>
                <w:sz w:val="22"/>
                <w:lang w:val="en-US" w:eastAsia="zh-CN"/>
              </w:rPr>
              <w:t>27.66</w:t>
            </w:r>
          </w:p>
        </w:tc>
      </w:tr>
      <w:tr w14:paraId="68A5B389">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EA31">
            <w:pPr>
              <w:jc w:val="right"/>
              <w:rPr>
                <w:rFonts w:ascii="Times New Roman" w:hAnsi="Times New Roman" w:eastAsia="仿宋_GB2312" w:cs="Times New Roman"/>
                <w:color w:val="auto"/>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E1B0C">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6ABF">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7567">
            <w:pPr>
              <w:jc w:val="both"/>
              <w:rPr>
                <w:rFonts w:ascii="Times New Roman" w:hAnsi="Times New Roman" w:eastAsia="仿宋_GB2312" w:cs="Times New Roman"/>
                <w:color w:val="auto"/>
                <w:sz w:val="20"/>
                <w:szCs w:val="20"/>
              </w:rPr>
            </w:pPr>
            <w:r>
              <w:rPr>
                <w:rFonts w:hint="eastAsia" w:ascii="Times New Roman" w:hAnsi="Times New Roman" w:eastAsia="仿宋_GB2312" w:cs="Times New Roman"/>
                <w:b w:val="0"/>
                <w:bCs w:val="0"/>
                <w:color w:val="auto"/>
                <w:kern w:val="0"/>
                <w:sz w:val="22"/>
                <w:lang w:eastAsia="zh-CN"/>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41CBE">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1621">
            <w:pPr>
              <w:jc w:val="right"/>
              <w:rPr>
                <w:rFonts w:hint="default" w:ascii="Times New Roman" w:hAnsi="Times New Roman" w:eastAsia="仿宋_GB2312" w:cs="Times New Roman"/>
                <w:b w:val="0"/>
                <w:bCs w:val="0"/>
                <w:color w:val="auto"/>
                <w:sz w:val="22"/>
                <w:lang w:val="en-US" w:eastAsia="zh-CN"/>
              </w:rPr>
            </w:pPr>
            <w:r>
              <w:rPr>
                <w:rFonts w:hint="eastAsia" w:ascii="Times New Roman" w:hAnsi="Times New Roman" w:eastAsia="仿宋_GB2312" w:cs="Times New Roman"/>
                <w:b w:val="0"/>
                <w:bCs w:val="0"/>
                <w:color w:val="auto"/>
                <w:sz w:val="22"/>
                <w:lang w:val="en-US" w:eastAsia="zh-CN"/>
              </w:rPr>
              <w:t>628.11</w:t>
            </w:r>
          </w:p>
        </w:tc>
      </w:tr>
      <w:tr w14:paraId="447B4AE0">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079C">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lang w:bidi="ar"/>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1850E">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1095">
            <w:pPr>
              <w:jc w:val="right"/>
              <w:rPr>
                <w:rFonts w:hint="default" w:ascii="Times New Roman" w:hAnsi="Times New Roman" w:eastAsia="仿宋_GB2312" w:cs="Times New Roman"/>
                <w:color w:val="auto"/>
                <w:sz w:val="22"/>
                <w:lang w:val="en-US" w:eastAsia="zh-CN"/>
              </w:rPr>
            </w:pPr>
            <w:r>
              <w:rPr>
                <w:rFonts w:hint="eastAsia" w:ascii="Times New Roman" w:hAnsi="Times New Roman" w:eastAsia="仿宋_GB2312" w:cs="Times New Roman"/>
                <w:color w:val="auto"/>
                <w:sz w:val="22"/>
                <w:lang w:val="en-US" w:eastAsia="zh-CN"/>
              </w:rPr>
              <w:t>655.77</w:t>
            </w: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97B5">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lang w:bidi="ar"/>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A51CF">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5F04">
            <w:pPr>
              <w:jc w:val="right"/>
              <w:rPr>
                <w:rFonts w:hint="default" w:ascii="Times New Roman" w:hAnsi="Times New Roman" w:eastAsia="仿宋_GB2312" w:cs="Times New Roman"/>
                <w:b w:val="0"/>
                <w:bCs w:val="0"/>
                <w:color w:val="auto"/>
                <w:sz w:val="22"/>
                <w:lang w:val="en-US" w:eastAsia="zh-CN"/>
              </w:rPr>
            </w:pPr>
            <w:r>
              <w:rPr>
                <w:rFonts w:hint="eastAsia" w:ascii="Times New Roman" w:hAnsi="Times New Roman" w:eastAsia="仿宋_GB2312" w:cs="Times New Roman"/>
                <w:b w:val="0"/>
                <w:bCs w:val="0"/>
                <w:color w:val="auto"/>
                <w:sz w:val="22"/>
                <w:lang w:val="en-US" w:eastAsia="zh-CN"/>
              </w:rPr>
              <w:t>655.77</w:t>
            </w:r>
          </w:p>
        </w:tc>
      </w:tr>
      <w:tr w14:paraId="3C48D8B9">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FCAD">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B2A11">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5EF1">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69FF">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666A3">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7E2D">
            <w:pPr>
              <w:jc w:val="right"/>
              <w:rPr>
                <w:rFonts w:ascii="Times New Roman" w:hAnsi="Times New Roman" w:eastAsia="仿宋_GB2312" w:cs="Times New Roman"/>
                <w:b w:val="0"/>
                <w:bCs w:val="0"/>
                <w:color w:val="auto"/>
                <w:sz w:val="22"/>
              </w:rPr>
            </w:pPr>
          </w:p>
        </w:tc>
      </w:tr>
      <w:tr w14:paraId="65304E6D">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CD2A">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E589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1798">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04F3">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998FB">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992B">
            <w:pPr>
              <w:jc w:val="right"/>
              <w:rPr>
                <w:rFonts w:ascii="Times New Roman" w:hAnsi="Times New Roman" w:eastAsia="仿宋_GB2312" w:cs="Times New Roman"/>
                <w:b w:val="0"/>
                <w:bCs w:val="0"/>
                <w:color w:val="auto"/>
                <w:sz w:val="22"/>
              </w:rPr>
            </w:pPr>
          </w:p>
        </w:tc>
      </w:tr>
      <w:tr w14:paraId="551F5EB4">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9ACF7">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52E2C">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FC55">
            <w:pPr>
              <w:jc w:val="right"/>
              <w:rPr>
                <w:rFonts w:hint="default" w:ascii="Times New Roman" w:hAnsi="Times New Roman" w:eastAsia="仿宋_GB2312" w:cs="Times New Roman"/>
                <w:color w:val="auto"/>
                <w:sz w:val="22"/>
                <w:lang w:val="en-US" w:eastAsia="zh-CN"/>
              </w:rPr>
            </w:pPr>
            <w:r>
              <w:rPr>
                <w:rFonts w:hint="eastAsia" w:ascii="Times New Roman" w:hAnsi="Times New Roman" w:eastAsia="仿宋_GB2312" w:cs="Times New Roman"/>
                <w:color w:val="auto"/>
                <w:sz w:val="22"/>
                <w:lang w:val="en-US" w:eastAsia="zh-CN"/>
              </w:rPr>
              <w:t>655.77</w:t>
            </w: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E223F">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6A174">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671E">
            <w:pPr>
              <w:jc w:val="right"/>
              <w:rPr>
                <w:rFonts w:hint="default" w:ascii="Times New Roman" w:hAnsi="Times New Roman" w:eastAsia="仿宋_GB2312" w:cs="Times New Roman"/>
                <w:b w:val="0"/>
                <w:bCs w:val="0"/>
                <w:color w:val="auto"/>
                <w:sz w:val="22"/>
                <w:lang w:val="en-US" w:eastAsia="zh-CN"/>
              </w:rPr>
            </w:pPr>
            <w:r>
              <w:rPr>
                <w:rFonts w:hint="eastAsia" w:ascii="Times New Roman" w:hAnsi="Times New Roman" w:eastAsia="仿宋_GB2312" w:cs="Times New Roman"/>
                <w:b w:val="0"/>
                <w:bCs w:val="0"/>
                <w:color w:val="auto"/>
                <w:sz w:val="22"/>
                <w:lang w:val="en-US" w:eastAsia="zh-CN"/>
              </w:rPr>
              <w:t>655.77</w:t>
            </w:r>
          </w:p>
        </w:tc>
      </w:tr>
    </w:tbl>
    <w:p w14:paraId="2805E63C">
      <w:pPr>
        <w:widowControl/>
        <w:jc w:val="left"/>
        <w:textAlignment w:val="center"/>
        <w:rPr>
          <w:rFonts w:ascii="Times New Roman" w:hAnsi="Times New Roman" w:eastAsia="宋体" w:cs="Times New Roman"/>
          <w:color w:val="auto"/>
          <w:kern w:val="0"/>
          <w:sz w:val="24"/>
          <w:szCs w:val="24"/>
          <w:lang w:bidi="ar"/>
        </w:rPr>
      </w:pPr>
    </w:p>
    <w:p w14:paraId="7770C4FB">
      <w:pPr>
        <w:widowControl/>
        <w:jc w:val="left"/>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注：1.本表反映部门本年度的总收支和年末结转结余情况。</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 xml:space="preserve">    2.本套报表金额单位转换时可能存在尾数误差。</w:t>
      </w:r>
    </w:p>
    <w:p w14:paraId="4DDD0E7A">
      <w:pPr>
        <w:rPr>
          <w:rFonts w:ascii="Times New Roman" w:hAnsi="Times New Roman" w:eastAsia="华文中宋" w:cs="Times New Roman"/>
          <w:color w:val="auto"/>
          <w:sz w:val="32"/>
          <w:szCs w:val="32"/>
        </w:rPr>
      </w:pPr>
      <w:r>
        <w:rPr>
          <w:rFonts w:ascii="Times New Roman" w:hAnsi="Times New Roman" w:eastAsia="华文中宋" w:cs="Times New Roman"/>
          <w:color w:val="auto"/>
          <w:sz w:val="32"/>
          <w:szCs w:val="32"/>
        </w:rPr>
        <w:br w:type="page"/>
      </w:r>
    </w:p>
    <w:p w14:paraId="49CAF650">
      <w:pPr>
        <w:widowControl/>
        <w:spacing w:line="400" w:lineRule="exact"/>
        <w:jc w:val="center"/>
        <w:textAlignment w:val="center"/>
        <w:rPr>
          <w:rFonts w:ascii="Times New Roman" w:hAnsi="Times New Roman" w:eastAsia="黑体" w:cs="Times New Roman"/>
          <w:color w:val="auto"/>
          <w:kern w:val="0"/>
          <w:sz w:val="32"/>
          <w:szCs w:val="32"/>
          <w:lang w:bidi="ar"/>
        </w:rPr>
      </w:pPr>
    </w:p>
    <w:p w14:paraId="29D40938">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收入决算表</w:t>
      </w:r>
    </w:p>
    <w:p w14:paraId="60861252">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auto"/>
          <w:sz w:val="20"/>
          <w:szCs w:val="20"/>
        </w:rPr>
      </w:pP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0"/>
          <w:szCs w:val="20"/>
        </w:rPr>
        <w:t>公开02表</w:t>
      </w:r>
    </w:p>
    <w:p w14:paraId="78C5F0F4">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部门：</w:t>
      </w:r>
      <w:r>
        <w:rPr>
          <w:rFonts w:hint="eastAsia" w:ascii="Times New Roman" w:hAnsi="Times New Roman" w:eastAsia="仿宋_GB2312" w:cs="Times New Roman"/>
          <w:color w:val="auto"/>
          <w:sz w:val="20"/>
          <w:szCs w:val="20"/>
          <w:lang w:eastAsia="zh-CN"/>
        </w:rPr>
        <w:t>蓝山县毛俊镇中心卫生院</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0"/>
          <w:szCs w:val="20"/>
        </w:rPr>
        <w:t>单位：万元</w:t>
      </w:r>
    </w:p>
    <w:tbl>
      <w:tblPr>
        <w:tblStyle w:val="8"/>
        <w:tblW w:w="14666" w:type="dxa"/>
        <w:jc w:val="center"/>
        <w:tblLayout w:type="fixed"/>
        <w:tblCellMar>
          <w:top w:w="0" w:type="dxa"/>
          <w:left w:w="0" w:type="dxa"/>
          <w:bottom w:w="0" w:type="dxa"/>
          <w:right w:w="0" w:type="dxa"/>
        </w:tblCellMar>
      </w:tblPr>
      <w:tblGrid>
        <w:gridCol w:w="1886"/>
        <w:gridCol w:w="2170"/>
        <w:gridCol w:w="1515"/>
        <w:gridCol w:w="895"/>
        <w:gridCol w:w="1640"/>
        <w:gridCol w:w="1640"/>
        <w:gridCol w:w="1640"/>
        <w:gridCol w:w="1897"/>
        <w:gridCol w:w="1383"/>
      </w:tblGrid>
      <w:tr w14:paraId="587AC2EC">
        <w:tblPrEx>
          <w:tblCellMar>
            <w:top w:w="0" w:type="dxa"/>
            <w:left w:w="0" w:type="dxa"/>
            <w:bottom w:w="0" w:type="dxa"/>
            <w:right w:w="0" w:type="dxa"/>
          </w:tblCellMar>
        </w:tblPrEx>
        <w:trPr>
          <w:trHeight w:val="450" w:hRule="atLeast"/>
          <w:jc w:val="center"/>
        </w:trPr>
        <w:tc>
          <w:tcPr>
            <w:tcW w:w="405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1672D9">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项    目</w:t>
            </w:r>
          </w:p>
        </w:tc>
        <w:tc>
          <w:tcPr>
            <w:tcW w:w="151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6323DCA">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本年收入合计</w:t>
            </w:r>
          </w:p>
        </w:tc>
        <w:tc>
          <w:tcPr>
            <w:tcW w:w="89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9D2C2B6">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1FBD343">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F7860AF">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910889A">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1C7DDF1">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DE1053A">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其他收入</w:t>
            </w:r>
          </w:p>
        </w:tc>
      </w:tr>
      <w:tr w14:paraId="4CCA914C">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BF902FA">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功能分类科目编码</w:t>
            </w:r>
          </w:p>
        </w:tc>
        <w:tc>
          <w:tcPr>
            <w:tcW w:w="217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8D68100">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科目名称</w:t>
            </w:r>
          </w:p>
        </w:tc>
        <w:tc>
          <w:tcPr>
            <w:tcW w:w="1515" w:type="dxa"/>
            <w:vMerge w:val="continue"/>
            <w:tcBorders>
              <w:top w:val="single" w:color="auto" w:sz="4" w:space="0"/>
              <w:left w:val="single" w:color="auto" w:sz="4" w:space="0"/>
              <w:bottom w:val="single" w:color="auto" w:sz="4" w:space="0"/>
              <w:right w:val="single" w:color="auto" w:sz="4" w:space="0"/>
            </w:tcBorders>
            <w:vAlign w:val="center"/>
          </w:tcPr>
          <w:p w14:paraId="7108D0B4">
            <w:pPr>
              <w:rPr>
                <w:rFonts w:ascii="Times New Roman" w:hAnsi="Times New Roman" w:eastAsia="仿宋_GB2312" w:cs="Times New Roman"/>
                <w:color w:val="auto"/>
                <w:sz w:val="24"/>
                <w:szCs w:val="24"/>
              </w:rPr>
            </w:pPr>
          </w:p>
        </w:tc>
        <w:tc>
          <w:tcPr>
            <w:tcW w:w="895" w:type="dxa"/>
            <w:vMerge w:val="continue"/>
            <w:tcBorders>
              <w:top w:val="single" w:color="auto" w:sz="4" w:space="0"/>
              <w:left w:val="single" w:color="auto" w:sz="4" w:space="0"/>
              <w:bottom w:val="single" w:color="auto" w:sz="4" w:space="0"/>
              <w:right w:val="single" w:color="auto" w:sz="4" w:space="0"/>
            </w:tcBorders>
            <w:vAlign w:val="center"/>
          </w:tcPr>
          <w:p w14:paraId="4FF56B25">
            <w:pPr>
              <w:rPr>
                <w:rFonts w:ascii="Times New Roman" w:hAnsi="Times New Roman" w:eastAsia="仿宋_GB2312" w:cs="Times New Roman"/>
                <w:color w:val="auto"/>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2935157">
            <w:pPr>
              <w:rPr>
                <w:rFonts w:ascii="Times New Roman" w:hAnsi="Times New Roman" w:eastAsia="仿宋_GB2312" w:cs="Times New Roman"/>
                <w:color w:val="auto"/>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44780C5">
            <w:pPr>
              <w:rPr>
                <w:rFonts w:ascii="Times New Roman" w:hAnsi="Times New Roman" w:eastAsia="仿宋_GB2312" w:cs="Times New Roman"/>
                <w:color w:val="auto"/>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795961A">
            <w:pPr>
              <w:rPr>
                <w:rFonts w:ascii="Times New Roman" w:hAnsi="Times New Roman" w:eastAsia="仿宋_GB2312" w:cs="Times New Roman"/>
                <w:color w:val="auto"/>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55DD2DD">
            <w:pPr>
              <w:rPr>
                <w:rFonts w:ascii="Times New Roman" w:hAnsi="Times New Roman" w:eastAsia="仿宋_GB2312" w:cs="Times New Roman"/>
                <w:color w:val="auto"/>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29CB8C2">
            <w:pPr>
              <w:rPr>
                <w:rFonts w:ascii="Times New Roman" w:hAnsi="Times New Roman" w:eastAsia="仿宋_GB2312" w:cs="Times New Roman"/>
                <w:color w:val="auto"/>
                <w:sz w:val="24"/>
                <w:szCs w:val="24"/>
              </w:rPr>
            </w:pPr>
          </w:p>
        </w:tc>
      </w:tr>
      <w:tr w14:paraId="12552649">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3AC93165">
            <w:pPr>
              <w:rPr>
                <w:rFonts w:ascii="Times New Roman" w:hAnsi="Times New Roman" w:eastAsia="仿宋_GB2312" w:cs="Times New Roman"/>
                <w:color w:val="auto"/>
                <w:sz w:val="24"/>
                <w:szCs w:val="24"/>
              </w:rPr>
            </w:pPr>
          </w:p>
        </w:tc>
        <w:tc>
          <w:tcPr>
            <w:tcW w:w="2170" w:type="dxa"/>
            <w:vMerge w:val="continue"/>
            <w:tcBorders>
              <w:top w:val="nil"/>
              <w:left w:val="single" w:color="auto" w:sz="4" w:space="0"/>
              <w:bottom w:val="single" w:color="auto" w:sz="4" w:space="0"/>
              <w:right w:val="single" w:color="auto" w:sz="4" w:space="0"/>
            </w:tcBorders>
            <w:vAlign w:val="center"/>
          </w:tcPr>
          <w:p w14:paraId="6E814BD4">
            <w:pPr>
              <w:rPr>
                <w:rFonts w:ascii="Times New Roman" w:hAnsi="Times New Roman" w:eastAsia="仿宋_GB2312" w:cs="Times New Roman"/>
                <w:color w:val="auto"/>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14:paraId="61D13C55">
            <w:pPr>
              <w:rPr>
                <w:rFonts w:ascii="Times New Roman" w:hAnsi="Times New Roman" w:eastAsia="仿宋_GB2312" w:cs="Times New Roman"/>
                <w:color w:val="auto"/>
                <w:sz w:val="24"/>
                <w:szCs w:val="24"/>
              </w:rPr>
            </w:pPr>
          </w:p>
        </w:tc>
        <w:tc>
          <w:tcPr>
            <w:tcW w:w="895" w:type="dxa"/>
            <w:vMerge w:val="continue"/>
            <w:tcBorders>
              <w:top w:val="single" w:color="auto" w:sz="4" w:space="0"/>
              <w:left w:val="single" w:color="auto" w:sz="4" w:space="0"/>
              <w:bottom w:val="single" w:color="auto" w:sz="4" w:space="0"/>
              <w:right w:val="single" w:color="auto" w:sz="4" w:space="0"/>
            </w:tcBorders>
            <w:vAlign w:val="center"/>
          </w:tcPr>
          <w:p w14:paraId="6495CC07">
            <w:pPr>
              <w:rPr>
                <w:rFonts w:ascii="Times New Roman" w:hAnsi="Times New Roman" w:eastAsia="仿宋_GB2312" w:cs="Times New Roman"/>
                <w:color w:val="auto"/>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BE6035E">
            <w:pPr>
              <w:rPr>
                <w:rFonts w:ascii="Times New Roman" w:hAnsi="Times New Roman" w:eastAsia="仿宋_GB2312" w:cs="Times New Roman"/>
                <w:color w:val="auto"/>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94948FF">
            <w:pPr>
              <w:rPr>
                <w:rFonts w:ascii="Times New Roman" w:hAnsi="Times New Roman" w:eastAsia="仿宋_GB2312" w:cs="Times New Roman"/>
                <w:color w:val="auto"/>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F08DCA1">
            <w:pPr>
              <w:rPr>
                <w:rFonts w:ascii="Times New Roman" w:hAnsi="Times New Roman" w:eastAsia="仿宋_GB2312" w:cs="Times New Roman"/>
                <w:color w:val="auto"/>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4788513">
            <w:pPr>
              <w:rPr>
                <w:rFonts w:ascii="Times New Roman" w:hAnsi="Times New Roman" w:eastAsia="仿宋_GB2312" w:cs="Times New Roman"/>
                <w:color w:val="auto"/>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97B64AF">
            <w:pPr>
              <w:rPr>
                <w:rFonts w:ascii="Times New Roman" w:hAnsi="Times New Roman" w:eastAsia="仿宋_GB2312" w:cs="Times New Roman"/>
                <w:color w:val="auto"/>
                <w:sz w:val="24"/>
                <w:szCs w:val="24"/>
              </w:rPr>
            </w:pPr>
          </w:p>
        </w:tc>
      </w:tr>
      <w:tr w14:paraId="749B5610">
        <w:tblPrEx>
          <w:tblCellMar>
            <w:top w:w="0" w:type="dxa"/>
            <w:left w:w="0" w:type="dxa"/>
            <w:bottom w:w="0" w:type="dxa"/>
            <w:right w:w="0" w:type="dxa"/>
          </w:tblCellMar>
        </w:tblPrEx>
        <w:trPr>
          <w:trHeight w:val="450" w:hRule="atLeast"/>
          <w:jc w:val="center"/>
        </w:trPr>
        <w:tc>
          <w:tcPr>
            <w:tcW w:w="4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D137FD">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栏次</w:t>
            </w:r>
          </w:p>
        </w:tc>
        <w:tc>
          <w:tcPr>
            <w:tcW w:w="15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E67EB2">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1</w:t>
            </w:r>
          </w:p>
        </w:tc>
        <w:tc>
          <w:tcPr>
            <w:tcW w:w="8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8FBB0D">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94FA29">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1AA50F">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41F7F8">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AAD0BF">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A34E3C">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7</w:t>
            </w:r>
          </w:p>
        </w:tc>
      </w:tr>
      <w:tr w14:paraId="69B387EF">
        <w:tblPrEx>
          <w:tblCellMar>
            <w:top w:w="0" w:type="dxa"/>
            <w:left w:w="0" w:type="dxa"/>
            <w:bottom w:w="0" w:type="dxa"/>
            <w:right w:w="0" w:type="dxa"/>
          </w:tblCellMar>
        </w:tblPrEx>
        <w:trPr>
          <w:trHeight w:val="450" w:hRule="atLeast"/>
          <w:jc w:val="center"/>
        </w:trPr>
        <w:tc>
          <w:tcPr>
            <w:tcW w:w="4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540944">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合计</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7DCACE">
            <w:pPr>
              <w:jc w:val="right"/>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lang w:val="en-US" w:eastAsia="zh-CN"/>
              </w:rPr>
              <w:t>655.77</w:t>
            </w:r>
            <w:r>
              <w:rPr>
                <w:rFonts w:ascii="Times New Roman" w:hAnsi="Times New Roman" w:eastAsia="仿宋_GB2312" w:cs="Times New Roman"/>
                <w:color w:val="auto"/>
              </w:rPr>
              <w:t>　</w:t>
            </w:r>
          </w:p>
        </w:tc>
        <w:tc>
          <w:tcPr>
            <w:tcW w:w="8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D7DBBC">
            <w:pPr>
              <w:jc w:val="righ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lang w:val="en-US" w:eastAsia="zh-CN"/>
              </w:rPr>
              <w:t>397.50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5D6774">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C2FD43">
            <w:pPr>
              <w:jc w:val="right"/>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lang w:val="en-US" w:eastAsia="zh-CN"/>
              </w:rPr>
              <w:t>258.28</w:t>
            </w:r>
            <w:r>
              <w:rPr>
                <w:rFonts w:ascii="Times New Roman" w:hAnsi="Times New Roman" w:eastAsia="仿宋_GB2312" w:cs="Times New Roman"/>
                <w:color w:val="auto"/>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74418D">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64B7AC">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C72174">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3F55BBD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F10D89">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2080505</w:t>
            </w:r>
          </w:p>
        </w:tc>
        <w:tc>
          <w:tcPr>
            <w:tcW w:w="21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0C9E61">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机关事业单位基本养老保险缴费支出</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53D8CB">
            <w:pPr>
              <w:jc w:val="right"/>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24.06</w:t>
            </w:r>
          </w:p>
        </w:tc>
        <w:tc>
          <w:tcPr>
            <w:tcW w:w="8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2FDA29">
            <w:pPr>
              <w:jc w:val="right"/>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24.06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8AF100">
            <w:pPr>
              <w:jc w:val="right"/>
              <w:rPr>
                <w:rFonts w:hint="eastAsia" w:ascii="Times New Roman" w:hAnsi="Times New Roman" w:eastAsia="仿宋_GB2312" w:cs="Times New Roman"/>
                <w:color w:val="auto"/>
                <w:lang w:val="en-US" w:eastAsia="zh-C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9AE1B">
            <w:pPr>
              <w:jc w:val="right"/>
              <w:rPr>
                <w:rFonts w:hint="eastAsia" w:ascii="Times New Roman" w:hAnsi="Times New Roman" w:eastAsia="仿宋_GB2312" w:cs="Times New Roman"/>
                <w:color w:val="auto"/>
                <w:lang w:val="en-US" w:eastAsia="zh-C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23C5B5">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CCC06C">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B9208B">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5E915F7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B32024">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2080599</w:t>
            </w:r>
          </w:p>
        </w:tc>
        <w:tc>
          <w:tcPr>
            <w:tcW w:w="21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C40F91">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其他行政事业单位养老支出</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46BAA4">
            <w:pPr>
              <w:jc w:val="right"/>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3.60</w:t>
            </w:r>
          </w:p>
        </w:tc>
        <w:tc>
          <w:tcPr>
            <w:tcW w:w="8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B74248">
            <w:pPr>
              <w:jc w:val="right"/>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3.60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4209E9">
            <w:pPr>
              <w:jc w:val="right"/>
              <w:rPr>
                <w:rFonts w:hint="eastAsia" w:ascii="Times New Roman" w:hAnsi="Times New Roman" w:eastAsia="仿宋_GB2312" w:cs="Times New Roman"/>
                <w:color w:val="auto"/>
                <w:lang w:val="en-US" w:eastAsia="zh-C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230D26">
            <w:pPr>
              <w:jc w:val="right"/>
              <w:rPr>
                <w:rFonts w:hint="eastAsia" w:ascii="Times New Roman" w:hAnsi="Times New Roman" w:eastAsia="仿宋_GB2312" w:cs="Times New Roman"/>
                <w:color w:val="auto"/>
                <w:lang w:val="en-US" w:eastAsia="zh-C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68B6D1">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60F2C4">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FED78D">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63D767D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F47DD2">
            <w:pPr>
              <w:widowControl/>
              <w:jc w:val="left"/>
              <w:rPr>
                <w:rFonts w:hint="default" w:eastAsia="仿宋_GB2312" w:asciiTheme="minorHAnsi" w:hAnsiTheme="minorHAnsi" w:cstheme="minorBidi"/>
                <w:color w:val="auto"/>
                <w:kern w:val="0"/>
                <w:sz w:val="21"/>
                <w:szCs w:val="21"/>
                <w:lang w:val="en-US" w:eastAsia="zh-CN" w:bidi="ar-SA"/>
              </w:rPr>
            </w:pPr>
            <w:r>
              <w:rPr>
                <w:rFonts w:hint="eastAsia" w:ascii="Times New Roman" w:hAnsi="Times New Roman" w:eastAsia="仿宋_GB2312" w:cs="Times New Roman"/>
                <w:color w:val="auto"/>
                <w:kern w:val="0"/>
                <w:sz w:val="24"/>
                <w:szCs w:val="24"/>
                <w:lang w:val="en-US" w:eastAsia="zh-CN" w:bidi="ar-SA"/>
              </w:rPr>
              <w:t>2100302</w:t>
            </w:r>
          </w:p>
        </w:tc>
        <w:tc>
          <w:tcPr>
            <w:tcW w:w="2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3C8D9C">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乡镇卫生院</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9E826A">
            <w:pPr>
              <w:jc w:val="right"/>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411.01　</w:t>
            </w:r>
          </w:p>
        </w:tc>
        <w:tc>
          <w:tcPr>
            <w:tcW w:w="8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5B6C8F">
            <w:pPr>
              <w:jc w:val="right"/>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152.74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A3269A">
            <w:pPr>
              <w:jc w:val="right"/>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B092AE">
            <w:pPr>
              <w:jc w:val="right"/>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258.28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28E459">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D18776">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FACC62">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18C3ECA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337C77">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2100399</w:t>
            </w:r>
          </w:p>
        </w:tc>
        <w:tc>
          <w:tcPr>
            <w:tcW w:w="2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6AC13B">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其他基层医疗卫生机构支出</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1B46A2">
            <w:pPr>
              <w:jc w:val="right"/>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56.37　</w:t>
            </w:r>
          </w:p>
        </w:tc>
        <w:tc>
          <w:tcPr>
            <w:tcW w:w="8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823719">
            <w:pPr>
              <w:jc w:val="right"/>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56.37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A30648">
            <w:pPr>
              <w:jc w:val="right"/>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ACA5EC">
            <w:pPr>
              <w:jc w:val="right"/>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08A4B1">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DDC206">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AEA0AC">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3C40FDF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C66287">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2100408</w:t>
            </w:r>
          </w:p>
        </w:tc>
        <w:tc>
          <w:tcPr>
            <w:tcW w:w="2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1304B6">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基本公共卫生服务</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BCBDDE">
            <w:pPr>
              <w:jc w:val="right"/>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152.91　</w:t>
            </w:r>
          </w:p>
        </w:tc>
        <w:tc>
          <w:tcPr>
            <w:tcW w:w="8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66B82">
            <w:pPr>
              <w:jc w:val="right"/>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152.91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B00191">
            <w:pPr>
              <w:jc w:val="right"/>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0E3467">
            <w:pPr>
              <w:jc w:val="right"/>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3F9BF1">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7B7F5D">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C37EC7">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1F17366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14:paraId="2EB96415">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2101102</w:t>
            </w:r>
          </w:p>
        </w:tc>
        <w:tc>
          <w:tcPr>
            <w:tcW w:w="2170" w:type="dxa"/>
            <w:tcBorders>
              <w:top w:val="single" w:color="auto" w:sz="4" w:space="0"/>
              <w:left w:val="single" w:color="auto" w:sz="4" w:space="0"/>
              <w:bottom w:val="single" w:color="auto" w:sz="4" w:space="0"/>
              <w:right w:val="single" w:color="auto" w:sz="4" w:space="0"/>
            </w:tcBorders>
            <w:shd w:val="clear" w:color="auto" w:fill="auto"/>
            <w:vAlign w:val="center"/>
          </w:tcPr>
          <w:p w14:paraId="61B70614">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事业单位医疗</w:t>
            </w:r>
          </w:p>
        </w:tc>
        <w:tc>
          <w:tcPr>
            <w:tcW w:w="1515" w:type="dxa"/>
            <w:tcBorders>
              <w:top w:val="single" w:color="auto" w:sz="4" w:space="0"/>
              <w:left w:val="single" w:color="auto" w:sz="4" w:space="0"/>
              <w:bottom w:val="single" w:color="auto" w:sz="4" w:space="0"/>
              <w:right w:val="single" w:color="auto" w:sz="4" w:space="0"/>
            </w:tcBorders>
            <w:vAlign w:val="center"/>
          </w:tcPr>
          <w:p w14:paraId="77B68BAE">
            <w:pPr>
              <w:jc w:val="right"/>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7.82</w:t>
            </w:r>
          </w:p>
        </w:tc>
        <w:tc>
          <w:tcPr>
            <w:tcW w:w="895" w:type="dxa"/>
            <w:tcBorders>
              <w:top w:val="single" w:color="auto" w:sz="4" w:space="0"/>
              <w:left w:val="single" w:color="auto" w:sz="4" w:space="0"/>
              <w:bottom w:val="single" w:color="auto" w:sz="4" w:space="0"/>
              <w:right w:val="single" w:color="auto" w:sz="4" w:space="0"/>
            </w:tcBorders>
            <w:vAlign w:val="center"/>
          </w:tcPr>
          <w:p w14:paraId="79FB7BCD">
            <w:pPr>
              <w:jc w:val="right"/>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7.82</w:t>
            </w:r>
          </w:p>
        </w:tc>
        <w:tc>
          <w:tcPr>
            <w:tcW w:w="1640" w:type="dxa"/>
            <w:tcBorders>
              <w:top w:val="single" w:color="auto" w:sz="4" w:space="0"/>
              <w:left w:val="single" w:color="auto" w:sz="4" w:space="0"/>
              <w:bottom w:val="single" w:color="auto" w:sz="4" w:space="0"/>
              <w:right w:val="single" w:color="auto" w:sz="4" w:space="0"/>
            </w:tcBorders>
          </w:tcPr>
          <w:p w14:paraId="62D86C8E">
            <w:pPr>
              <w:jc w:val="right"/>
              <w:rPr>
                <w:rFonts w:hint="eastAsia" w:ascii="Times New Roman" w:hAnsi="Times New Roman" w:eastAsia="仿宋_GB2312" w:cs="Times New Roman"/>
                <w:color w:val="auto"/>
                <w:lang w:val="en-US" w:eastAsia="zh-CN"/>
              </w:rPr>
            </w:pPr>
          </w:p>
        </w:tc>
        <w:tc>
          <w:tcPr>
            <w:tcW w:w="1640" w:type="dxa"/>
            <w:tcBorders>
              <w:top w:val="single" w:color="auto" w:sz="4" w:space="0"/>
              <w:left w:val="single" w:color="auto" w:sz="4" w:space="0"/>
              <w:bottom w:val="single" w:color="auto" w:sz="4" w:space="0"/>
              <w:right w:val="single" w:color="auto" w:sz="4" w:space="0"/>
            </w:tcBorders>
          </w:tcPr>
          <w:p w14:paraId="02D05B42">
            <w:pPr>
              <w:jc w:val="right"/>
              <w:rPr>
                <w:rFonts w:hint="eastAsia" w:ascii="Times New Roman" w:hAnsi="Times New Roman" w:eastAsia="仿宋_GB2312" w:cs="Times New Roman"/>
                <w:color w:val="auto"/>
                <w:lang w:val="en-US" w:eastAsia="zh-CN"/>
              </w:rPr>
            </w:pPr>
          </w:p>
        </w:tc>
        <w:tc>
          <w:tcPr>
            <w:tcW w:w="1640" w:type="dxa"/>
            <w:tcBorders>
              <w:top w:val="single" w:color="auto" w:sz="4" w:space="0"/>
              <w:left w:val="single" w:color="auto" w:sz="4" w:space="0"/>
              <w:bottom w:val="single" w:color="auto" w:sz="4" w:space="0"/>
              <w:right w:val="single" w:color="auto" w:sz="4" w:space="0"/>
            </w:tcBorders>
          </w:tcPr>
          <w:p w14:paraId="66F2B622">
            <w:pPr>
              <w:jc w:val="right"/>
              <w:rPr>
                <w:rFonts w:ascii="Times New Roman" w:hAnsi="Times New Roman" w:eastAsia="仿宋_GB2312" w:cs="Times New Roman"/>
                <w:color w:val="auto"/>
                <w:sz w:val="24"/>
                <w:szCs w:val="24"/>
              </w:rPr>
            </w:pPr>
          </w:p>
        </w:tc>
        <w:tc>
          <w:tcPr>
            <w:tcW w:w="1897" w:type="dxa"/>
            <w:tcBorders>
              <w:top w:val="single" w:color="auto" w:sz="4" w:space="0"/>
              <w:left w:val="single" w:color="auto" w:sz="4" w:space="0"/>
              <w:bottom w:val="single" w:color="auto" w:sz="4" w:space="0"/>
              <w:right w:val="single" w:color="auto" w:sz="4" w:space="0"/>
            </w:tcBorders>
          </w:tcPr>
          <w:p w14:paraId="4BB1AEBC">
            <w:pPr>
              <w:jc w:val="right"/>
              <w:rPr>
                <w:rFonts w:ascii="Times New Roman" w:hAnsi="Times New Roman" w:eastAsia="仿宋_GB2312" w:cs="Times New Roman"/>
                <w:color w:val="auto"/>
                <w:sz w:val="24"/>
                <w:szCs w:val="24"/>
              </w:rPr>
            </w:pPr>
          </w:p>
        </w:tc>
        <w:tc>
          <w:tcPr>
            <w:tcW w:w="1383" w:type="dxa"/>
            <w:tcBorders>
              <w:top w:val="single" w:color="auto" w:sz="4" w:space="0"/>
              <w:left w:val="single" w:color="auto" w:sz="4" w:space="0"/>
              <w:bottom w:val="single" w:color="auto" w:sz="4" w:space="0"/>
              <w:right w:val="single" w:color="auto" w:sz="4" w:space="0"/>
            </w:tcBorders>
          </w:tcPr>
          <w:p w14:paraId="0E1ABD89">
            <w:pPr>
              <w:jc w:val="right"/>
              <w:rPr>
                <w:rFonts w:ascii="Times New Roman" w:hAnsi="Times New Roman" w:eastAsia="仿宋_GB2312" w:cs="Times New Roman"/>
                <w:color w:val="auto"/>
                <w:sz w:val="24"/>
                <w:szCs w:val="24"/>
              </w:rPr>
            </w:pPr>
          </w:p>
        </w:tc>
      </w:tr>
    </w:tbl>
    <w:p w14:paraId="56A552A2">
      <w:pPr>
        <w:spacing w:before="120"/>
        <w:rPr>
          <w:rFonts w:ascii="Times New Roman" w:hAnsi="Times New Roman" w:eastAsia="仿宋_GB2312" w:cs="Times New Roman"/>
          <w:color w:val="auto"/>
          <w:sz w:val="24"/>
          <w:szCs w:val="24"/>
        </w:rPr>
      </w:pPr>
      <w:r>
        <w:rPr>
          <w:rFonts w:ascii="Times New Roman" w:hAnsi="Times New Roman" w:eastAsia="仿宋_GB2312" w:cs="Times New Roman"/>
          <w:color w:val="auto"/>
        </w:rPr>
        <w:t>注：本表反映部门本年度取得的各项收入情况。</w:t>
      </w:r>
    </w:p>
    <w:p w14:paraId="304D8E71">
      <w:pPr>
        <w:widowControl/>
        <w:jc w:val="left"/>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 xml:space="preserve"> </w:t>
      </w:r>
      <w:r>
        <w:rPr>
          <w:rFonts w:ascii="Times New Roman" w:hAnsi="Times New Roman" w:eastAsia="黑体" w:cs="Times New Roman"/>
          <w:bCs/>
          <w:color w:val="auto"/>
          <w:kern w:val="0"/>
          <w:sz w:val="32"/>
          <w:szCs w:val="32"/>
        </w:rPr>
        <w:br w:type="page"/>
      </w:r>
    </w:p>
    <w:p w14:paraId="7E1B0DA6">
      <w:pPr>
        <w:widowControl/>
        <w:jc w:val="center"/>
        <w:textAlignment w:val="center"/>
        <w:rPr>
          <w:rFonts w:ascii="Times New Roman" w:hAnsi="Times New Roman" w:eastAsia="黑体" w:cs="Times New Roman"/>
          <w:color w:val="auto"/>
          <w:kern w:val="0"/>
          <w:sz w:val="32"/>
          <w:szCs w:val="32"/>
          <w:lang w:bidi="ar"/>
        </w:rPr>
      </w:pPr>
    </w:p>
    <w:p w14:paraId="0E318E51">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支出决算表</w:t>
      </w:r>
    </w:p>
    <w:p w14:paraId="69D19855">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0"/>
          <w:szCs w:val="20"/>
        </w:rPr>
        <w:t>公开03表</w:t>
      </w:r>
    </w:p>
    <w:p w14:paraId="58EFC100">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部门：</w:t>
      </w:r>
      <w:r>
        <w:rPr>
          <w:rFonts w:hint="eastAsia" w:ascii="Times New Roman" w:hAnsi="Times New Roman" w:eastAsia="仿宋_GB2312" w:cs="Times New Roman"/>
          <w:color w:val="auto"/>
          <w:kern w:val="0"/>
          <w:sz w:val="20"/>
          <w:szCs w:val="20"/>
          <w:lang w:eastAsia="zh-CN"/>
        </w:rPr>
        <w:t>蓝山县毛俊镇中心卫生院</w:t>
      </w:r>
      <w:r>
        <w:rPr>
          <w:rFonts w:ascii="Times New Roman" w:hAnsi="Times New Roman" w:eastAsia="仿宋_GB2312" w:cs="Times New Roman"/>
          <w:color w:val="auto"/>
          <w:kern w:val="0"/>
          <w:sz w:val="20"/>
          <w:szCs w:val="20"/>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0"/>
          <w:szCs w:val="20"/>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0"/>
          <w:szCs w:val="20"/>
        </w:rPr>
        <w:t>单位：万元</w:t>
      </w:r>
    </w:p>
    <w:tbl>
      <w:tblPr>
        <w:tblStyle w:val="8"/>
        <w:tblW w:w="4996" w:type="pct"/>
        <w:jc w:val="center"/>
        <w:tblLayout w:type="fixed"/>
        <w:tblCellMar>
          <w:top w:w="0" w:type="dxa"/>
          <w:left w:w="108" w:type="dxa"/>
          <w:bottom w:w="0" w:type="dxa"/>
          <w:right w:w="108" w:type="dxa"/>
        </w:tblCellMar>
      </w:tblPr>
      <w:tblGrid>
        <w:gridCol w:w="2036"/>
        <w:gridCol w:w="4061"/>
        <w:gridCol w:w="1379"/>
        <w:gridCol w:w="1303"/>
        <w:gridCol w:w="1469"/>
        <w:gridCol w:w="1185"/>
        <w:gridCol w:w="1200"/>
        <w:gridCol w:w="1576"/>
      </w:tblGrid>
      <w:tr w14:paraId="68F527AD">
        <w:tblPrEx>
          <w:tblCellMar>
            <w:top w:w="0" w:type="dxa"/>
            <w:left w:w="108" w:type="dxa"/>
            <w:bottom w:w="0" w:type="dxa"/>
            <w:right w:w="108" w:type="dxa"/>
          </w:tblCellMar>
        </w:tblPrEx>
        <w:trPr>
          <w:trHeight w:val="595" w:hRule="atLeast"/>
          <w:jc w:val="center"/>
        </w:trPr>
        <w:tc>
          <w:tcPr>
            <w:tcW w:w="214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1DB11E7">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项    目</w:t>
            </w:r>
          </w:p>
        </w:tc>
        <w:tc>
          <w:tcPr>
            <w:tcW w:w="48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E16007F">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本年支出合计</w:t>
            </w:r>
          </w:p>
        </w:tc>
        <w:tc>
          <w:tcPr>
            <w:tcW w:w="45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4622E5B">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基本支出</w:t>
            </w:r>
          </w:p>
        </w:tc>
        <w:tc>
          <w:tcPr>
            <w:tcW w:w="51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E82C2E7">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项目支出</w:t>
            </w:r>
          </w:p>
        </w:tc>
        <w:tc>
          <w:tcPr>
            <w:tcW w:w="41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7BC2430">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上缴上级支出</w:t>
            </w:r>
          </w:p>
        </w:tc>
        <w:tc>
          <w:tcPr>
            <w:tcW w:w="42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699B195">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经营支出</w:t>
            </w:r>
          </w:p>
        </w:tc>
        <w:tc>
          <w:tcPr>
            <w:tcW w:w="55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BCFEFF1">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对附属单位补助支出</w:t>
            </w:r>
          </w:p>
        </w:tc>
      </w:tr>
      <w:tr w14:paraId="3D4D7BCA">
        <w:tblPrEx>
          <w:tblCellMar>
            <w:top w:w="0" w:type="dxa"/>
            <w:left w:w="108" w:type="dxa"/>
            <w:bottom w:w="0" w:type="dxa"/>
            <w:right w:w="108" w:type="dxa"/>
          </w:tblCellMar>
        </w:tblPrEx>
        <w:trPr>
          <w:trHeight w:val="312" w:hRule="exact"/>
          <w:jc w:val="center"/>
        </w:trPr>
        <w:tc>
          <w:tcPr>
            <w:tcW w:w="71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376A96">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功能分类科目编码</w:t>
            </w:r>
          </w:p>
        </w:tc>
        <w:tc>
          <w:tcPr>
            <w:tcW w:w="1429" w:type="pct"/>
            <w:vMerge w:val="restart"/>
            <w:tcBorders>
              <w:top w:val="nil"/>
              <w:left w:val="single" w:color="auto" w:sz="4" w:space="0"/>
              <w:bottom w:val="single" w:color="auto" w:sz="4" w:space="0"/>
              <w:right w:val="single" w:color="auto" w:sz="4" w:space="0"/>
            </w:tcBorders>
            <w:shd w:val="clear" w:color="000000" w:fill="FFFFFF"/>
            <w:vAlign w:val="center"/>
          </w:tcPr>
          <w:p w14:paraId="22422F0C">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科目名称</w:t>
            </w:r>
          </w:p>
        </w:tc>
        <w:tc>
          <w:tcPr>
            <w:tcW w:w="485" w:type="pct"/>
            <w:vMerge w:val="continue"/>
            <w:tcBorders>
              <w:top w:val="single" w:color="auto" w:sz="4" w:space="0"/>
              <w:left w:val="single" w:color="auto" w:sz="4" w:space="0"/>
              <w:bottom w:val="single" w:color="auto" w:sz="4" w:space="0"/>
              <w:right w:val="single" w:color="auto" w:sz="4" w:space="0"/>
            </w:tcBorders>
            <w:vAlign w:val="center"/>
          </w:tcPr>
          <w:p w14:paraId="6F1056BB">
            <w:pPr>
              <w:widowControl/>
              <w:jc w:val="left"/>
              <w:rPr>
                <w:rFonts w:ascii="Times New Roman" w:hAnsi="Times New Roman" w:eastAsia="仿宋_GB2312" w:cs="Times New Roman"/>
                <w:b/>
                <w:bCs/>
                <w:color w:val="auto"/>
                <w:kern w:val="0"/>
                <w:sz w:val="24"/>
                <w:szCs w:val="24"/>
              </w:rPr>
            </w:pPr>
          </w:p>
        </w:tc>
        <w:tc>
          <w:tcPr>
            <w:tcW w:w="458" w:type="pct"/>
            <w:vMerge w:val="continue"/>
            <w:tcBorders>
              <w:top w:val="single" w:color="auto" w:sz="4" w:space="0"/>
              <w:left w:val="single" w:color="auto" w:sz="4" w:space="0"/>
              <w:bottom w:val="single" w:color="auto" w:sz="4" w:space="0"/>
              <w:right w:val="single" w:color="auto" w:sz="4" w:space="0"/>
            </w:tcBorders>
            <w:vAlign w:val="center"/>
          </w:tcPr>
          <w:p w14:paraId="6EF2F9F5">
            <w:pPr>
              <w:widowControl/>
              <w:jc w:val="left"/>
              <w:rPr>
                <w:rFonts w:ascii="Times New Roman" w:hAnsi="Times New Roman" w:eastAsia="仿宋_GB2312" w:cs="Times New Roman"/>
                <w:b/>
                <w:bCs/>
                <w:color w:val="auto"/>
                <w:kern w:val="0"/>
                <w:sz w:val="24"/>
                <w:szCs w:val="24"/>
              </w:rPr>
            </w:pPr>
          </w:p>
        </w:tc>
        <w:tc>
          <w:tcPr>
            <w:tcW w:w="516" w:type="pct"/>
            <w:vMerge w:val="continue"/>
            <w:tcBorders>
              <w:top w:val="single" w:color="auto" w:sz="4" w:space="0"/>
              <w:left w:val="single" w:color="auto" w:sz="4" w:space="0"/>
              <w:bottom w:val="single" w:color="auto" w:sz="4" w:space="0"/>
              <w:right w:val="single" w:color="auto" w:sz="4" w:space="0"/>
            </w:tcBorders>
            <w:vAlign w:val="center"/>
          </w:tcPr>
          <w:p w14:paraId="2B9C93FB">
            <w:pPr>
              <w:widowControl/>
              <w:jc w:val="left"/>
              <w:rPr>
                <w:rFonts w:ascii="Times New Roman" w:hAnsi="Times New Roman" w:eastAsia="仿宋_GB2312" w:cs="Times New Roman"/>
                <w:b/>
                <w:bCs/>
                <w:color w:val="auto"/>
                <w:kern w:val="0"/>
                <w:sz w:val="24"/>
                <w:szCs w:val="24"/>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5889583C">
            <w:pPr>
              <w:widowControl/>
              <w:jc w:val="left"/>
              <w:rPr>
                <w:rFonts w:ascii="Times New Roman" w:hAnsi="Times New Roman" w:eastAsia="仿宋_GB2312" w:cs="Times New Roman"/>
                <w:b/>
                <w:bCs/>
                <w:color w:val="auto"/>
                <w:kern w:val="0"/>
                <w:sz w:val="24"/>
                <w:szCs w:val="24"/>
              </w:rPr>
            </w:pPr>
          </w:p>
        </w:tc>
        <w:tc>
          <w:tcPr>
            <w:tcW w:w="422" w:type="pct"/>
            <w:vMerge w:val="continue"/>
            <w:tcBorders>
              <w:top w:val="single" w:color="auto" w:sz="4" w:space="0"/>
              <w:left w:val="single" w:color="auto" w:sz="4" w:space="0"/>
              <w:bottom w:val="single" w:color="auto" w:sz="4" w:space="0"/>
              <w:right w:val="single" w:color="auto" w:sz="4" w:space="0"/>
            </w:tcBorders>
            <w:vAlign w:val="center"/>
          </w:tcPr>
          <w:p w14:paraId="403240B7">
            <w:pPr>
              <w:widowControl/>
              <w:jc w:val="left"/>
              <w:rPr>
                <w:rFonts w:ascii="Times New Roman" w:hAnsi="Times New Roman" w:eastAsia="仿宋_GB2312" w:cs="Times New Roman"/>
                <w:b/>
                <w:bCs/>
                <w:color w:val="auto"/>
                <w:kern w:val="0"/>
                <w:sz w:val="24"/>
                <w:szCs w:val="24"/>
              </w:rPr>
            </w:pPr>
          </w:p>
        </w:tc>
        <w:tc>
          <w:tcPr>
            <w:tcW w:w="554" w:type="pct"/>
            <w:vMerge w:val="continue"/>
            <w:tcBorders>
              <w:top w:val="single" w:color="auto" w:sz="4" w:space="0"/>
              <w:left w:val="single" w:color="auto" w:sz="4" w:space="0"/>
              <w:bottom w:val="single" w:color="auto" w:sz="4" w:space="0"/>
              <w:right w:val="single" w:color="auto" w:sz="4" w:space="0"/>
            </w:tcBorders>
            <w:vAlign w:val="center"/>
          </w:tcPr>
          <w:p w14:paraId="72FDDFCF">
            <w:pPr>
              <w:widowControl/>
              <w:jc w:val="left"/>
              <w:rPr>
                <w:rFonts w:ascii="Times New Roman" w:hAnsi="Times New Roman" w:eastAsia="仿宋_GB2312" w:cs="Times New Roman"/>
                <w:b/>
                <w:bCs/>
                <w:color w:val="auto"/>
                <w:kern w:val="0"/>
                <w:sz w:val="24"/>
                <w:szCs w:val="24"/>
              </w:rPr>
            </w:pPr>
          </w:p>
        </w:tc>
      </w:tr>
      <w:tr w14:paraId="1D5A4803">
        <w:tblPrEx>
          <w:tblCellMar>
            <w:top w:w="0" w:type="dxa"/>
            <w:left w:w="108" w:type="dxa"/>
            <w:bottom w:w="0" w:type="dxa"/>
            <w:right w:w="108" w:type="dxa"/>
          </w:tblCellMar>
        </w:tblPrEx>
        <w:trPr>
          <w:trHeight w:val="595" w:hRule="atLeast"/>
          <w:jc w:val="center"/>
        </w:trPr>
        <w:tc>
          <w:tcPr>
            <w:tcW w:w="716" w:type="pct"/>
            <w:vMerge w:val="continue"/>
            <w:tcBorders>
              <w:top w:val="single" w:color="auto" w:sz="4" w:space="0"/>
              <w:left w:val="single" w:color="auto" w:sz="4" w:space="0"/>
              <w:bottom w:val="single" w:color="auto" w:sz="4" w:space="0"/>
              <w:right w:val="single" w:color="auto" w:sz="4" w:space="0"/>
            </w:tcBorders>
            <w:vAlign w:val="center"/>
          </w:tcPr>
          <w:p w14:paraId="444A5A2B">
            <w:pPr>
              <w:widowControl/>
              <w:jc w:val="left"/>
              <w:rPr>
                <w:rFonts w:ascii="Times New Roman" w:hAnsi="Times New Roman" w:eastAsia="仿宋_GB2312" w:cs="Times New Roman"/>
                <w:color w:val="auto"/>
                <w:kern w:val="0"/>
                <w:sz w:val="24"/>
                <w:szCs w:val="24"/>
              </w:rPr>
            </w:pPr>
          </w:p>
        </w:tc>
        <w:tc>
          <w:tcPr>
            <w:tcW w:w="1429" w:type="pct"/>
            <w:vMerge w:val="continue"/>
            <w:tcBorders>
              <w:top w:val="nil"/>
              <w:left w:val="single" w:color="auto" w:sz="4" w:space="0"/>
              <w:bottom w:val="single" w:color="auto" w:sz="4" w:space="0"/>
              <w:right w:val="single" w:color="auto" w:sz="4" w:space="0"/>
            </w:tcBorders>
            <w:vAlign w:val="center"/>
          </w:tcPr>
          <w:p w14:paraId="798D6591">
            <w:pPr>
              <w:widowControl/>
              <w:jc w:val="left"/>
              <w:rPr>
                <w:rFonts w:ascii="Times New Roman" w:hAnsi="Times New Roman" w:eastAsia="仿宋_GB2312" w:cs="Times New Roman"/>
                <w:color w:val="auto"/>
                <w:kern w:val="0"/>
                <w:sz w:val="24"/>
                <w:szCs w:val="24"/>
              </w:rPr>
            </w:pPr>
          </w:p>
        </w:tc>
        <w:tc>
          <w:tcPr>
            <w:tcW w:w="485" w:type="pct"/>
            <w:vMerge w:val="continue"/>
            <w:tcBorders>
              <w:top w:val="single" w:color="auto" w:sz="4" w:space="0"/>
              <w:left w:val="single" w:color="auto" w:sz="4" w:space="0"/>
              <w:bottom w:val="single" w:color="auto" w:sz="4" w:space="0"/>
              <w:right w:val="single" w:color="auto" w:sz="4" w:space="0"/>
            </w:tcBorders>
            <w:vAlign w:val="center"/>
          </w:tcPr>
          <w:p w14:paraId="4F1D0FC9">
            <w:pPr>
              <w:widowControl/>
              <w:jc w:val="left"/>
              <w:rPr>
                <w:rFonts w:ascii="Times New Roman" w:hAnsi="Times New Roman" w:eastAsia="仿宋_GB2312" w:cs="Times New Roman"/>
                <w:color w:val="auto"/>
                <w:kern w:val="0"/>
                <w:sz w:val="24"/>
                <w:szCs w:val="24"/>
              </w:rPr>
            </w:pPr>
          </w:p>
        </w:tc>
        <w:tc>
          <w:tcPr>
            <w:tcW w:w="458" w:type="pct"/>
            <w:vMerge w:val="continue"/>
            <w:tcBorders>
              <w:top w:val="single" w:color="auto" w:sz="4" w:space="0"/>
              <w:left w:val="single" w:color="auto" w:sz="4" w:space="0"/>
              <w:bottom w:val="single" w:color="auto" w:sz="4" w:space="0"/>
              <w:right w:val="single" w:color="auto" w:sz="4" w:space="0"/>
            </w:tcBorders>
            <w:vAlign w:val="center"/>
          </w:tcPr>
          <w:p w14:paraId="6241C76C">
            <w:pPr>
              <w:widowControl/>
              <w:jc w:val="left"/>
              <w:rPr>
                <w:rFonts w:ascii="Times New Roman" w:hAnsi="Times New Roman" w:eastAsia="仿宋_GB2312" w:cs="Times New Roman"/>
                <w:color w:val="auto"/>
                <w:kern w:val="0"/>
                <w:sz w:val="24"/>
                <w:szCs w:val="24"/>
              </w:rPr>
            </w:pPr>
          </w:p>
        </w:tc>
        <w:tc>
          <w:tcPr>
            <w:tcW w:w="516" w:type="pct"/>
            <w:vMerge w:val="continue"/>
            <w:tcBorders>
              <w:top w:val="single" w:color="auto" w:sz="4" w:space="0"/>
              <w:left w:val="single" w:color="auto" w:sz="4" w:space="0"/>
              <w:bottom w:val="single" w:color="auto" w:sz="4" w:space="0"/>
              <w:right w:val="single" w:color="auto" w:sz="4" w:space="0"/>
            </w:tcBorders>
            <w:vAlign w:val="center"/>
          </w:tcPr>
          <w:p w14:paraId="4BC95AC3">
            <w:pPr>
              <w:widowControl/>
              <w:jc w:val="left"/>
              <w:rPr>
                <w:rFonts w:ascii="Times New Roman" w:hAnsi="Times New Roman" w:eastAsia="仿宋_GB2312" w:cs="Times New Roman"/>
                <w:color w:val="auto"/>
                <w:kern w:val="0"/>
                <w:sz w:val="24"/>
                <w:szCs w:val="24"/>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596D0B01">
            <w:pPr>
              <w:widowControl/>
              <w:jc w:val="left"/>
              <w:rPr>
                <w:rFonts w:ascii="Times New Roman" w:hAnsi="Times New Roman" w:eastAsia="仿宋_GB2312" w:cs="Times New Roman"/>
                <w:color w:val="auto"/>
                <w:kern w:val="0"/>
                <w:sz w:val="24"/>
                <w:szCs w:val="24"/>
              </w:rPr>
            </w:pPr>
          </w:p>
        </w:tc>
        <w:tc>
          <w:tcPr>
            <w:tcW w:w="422" w:type="pct"/>
            <w:vMerge w:val="continue"/>
            <w:tcBorders>
              <w:top w:val="single" w:color="auto" w:sz="4" w:space="0"/>
              <w:left w:val="single" w:color="auto" w:sz="4" w:space="0"/>
              <w:bottom w:val="single" w:color="auto" w:sz="4" w:space="0"/>
              <w:right w:val="single" w:color="auto" w:sz="4" w:space="0"/>
            </w:tcBorders>
            <w:vAlign w:val="center"/>
          </w:tcPr>
          <w:p w14:paraId="4EB96D73">
            <w:pPr>
              <w:widowControl/>
              <w:jc w:val="left"/>
              <w:rPr>
                <w:rFonts w:ascii="Times New Roman" w:hAnsi="Times New Roman" w:eastAsia="仿宋_GB2312" w:cs="Times New Roman"/>
                <w:color w:val="auto"/>
                <w:kern w:val="0"/>
                <w:sz w:val="24"/>
                <w:szCs w:val="24"/>
              </w:rPr>
            </w:pPr>
          </w:p>
        </w:tc>
        <w:tc>
          <w:tcPr>
            <w:tcW w:w="554" w:type="pct"/>
            <w:vMerge w:val="continue"/>
            <w:tcBorders>
              <w:top w:val="single" w:color="auto" w:sz="4" w:space="0"/>
              <w:left w:val="single" w:color="auto" w:sz="4" w:space="0"/>
              <w:bottom w:val="single" w:color="auto" w:sz="4" w:space="0"/>
              <w:right w:val="single" w:color="auto" w:sz="4" w:space="0"/>
            </w:tcBorders>
            <w:vAlign w:val="center"/>
          </w:tcPr>
          <w:p w14:paraId="67E45963">
            <w:pPr>
              <w:widowControl/>
              <w:jc w:val="left"/>
              <w:rPr>
                <w:rFonts w:ascii="Times New Roman" w:hAnsi="Times New Roman" w:eastAsia="仿宋_GB2312" w:cs="Times New Roman"/>
                <w:color w:val="auto"/>
                <w:kern w:val="0"/>
                <w:sz w:val="24"/>
                <w:szCs w:val="24"/>
              </w:rPr>
            </w:pPr>
          </w:p>
        </w:tc>
      </w:tr>
      <w:tr w14:paraId="73F9B812">
        <w:tblPrEx>
          <w:tblCellMar>
            <w:top w:w="0" w:type="dxa"/>
            <w:left w:w="108" w:type="dxa"/>
            <w:bottom w:w="0" w:type="dxa"/>
            <w:right w:w="108" w:type="dxa"/>
          </w:tblCellMar>
        </w:tblPrEx>
        <w:trPr>
          <w:trHeight w:val="595" w:hRule="atLeast"/>
          <w:jc w:val="center"/>
        </w:trPr>
        <w:tc>
          <w:tcPr>
            <w:tcW w:w="2145"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CEEEDAF">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栏次</w:t>
            </w:r>
          </w:p>
        </w:tc>
        <w:tc>
          <w:tcPr>
            <w:tcW w:w="485" w:type="pct"/>
            <w:tcBorders>
              <w:top w:val="nil"/>
              <w:left w:val="nil"/>
              <w:bottom w:val="single" w:color="auto" w:sz="4" w:space="0"/>
              <w:right w:val="single" w:color="auto" w:sz="4" w:space="0"/>
            </w:tcBorders>
            <w:shd w:val="clear" w:color="000000" w:fill="FFFFFF"/>
            <w:noWrap/>
            <w:vAlign w:val="center"/>
          </w:tcPr>
          <w:p w14:paraId="30A16C8E">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w:t>
            </w:r>
          </w:p>
        </w:tc>
        <w:tc>
          <w:tcPr>
            <w:tcW w:w="458" w:type="pct"/>
            <w:tcBorders>
              <w:top w:val="nil"/>
              <w:left w:val="nil"/>
              <w:bottom w:val="single" w:color="auto" w:sz="4" w:space="0"/>
              <w:right w:val="single" w:color="auto" w:sz="4" w:space="0"/>
            </w:tcBorders>
            <w:shd w:val="clear" w:color="000000" w:fill="FFFFFF"/>
            <w:noWrap/>
            <w:vAlign w:val="center"/>
          </w:tcPr>
          <w:p w14:paraId="2D393F60">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w:t>
            </w:r>
          </w:p>
        </w:tc>
        <w:tc>
          <w:tcPr>
            <w:tcW w:w="516" w:type="pct"/>
            <w:tcBorders>
              <w:top w:val="nil"/>
              <w:left w:val="nil"/>
              <w:bottom w:val="single" w:color="auto" w:sz="4" w:space="0"/>
              <w:right w:val="single" w:color="auto" w:sz="4" w:space="0"/>
            </w:tcBorders>
            <w:shd w:val="clear" w:color="000000" w:fill="FFFFFF"/>
            <w:noWrap/>
            <w:vAlign w:val="center"/>
          </w:tcPr>
          <w:p w14:paraId="4909F3B4">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3</w:t>
            </w:r>
          </w:p>
        </w:tc>
        <w:tc>
          <w:tcPr>
            <w:tcW w:w="416" w:type="pct"/>
            <w:tcBorders>
              <w:top w:val="nil"/>
              <w:left w:val="nil"/>
              <w:bottom w:val="single" w:color="auto" w:sz="4" w:space="0"/>
              <w:right w:val="single" w:color="auto" w:sz="4" w:space="0"/>
            </w:tcBorders>
            <w:shd w:val="clear" w:color="000000" w:fill="FFFFFF"/>
            <w:noWrap/>
            <w:vAlign w:val="center"/>
          </w:tcPr>
          <w:p w14:paraId="6B389A05">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4</w:t>
            </w:r>
          </w:p>
        </w:tc>
        <w:tc>
          <w:tcPr>
            <w:tcW w:w="422" w:type="pct"/>
            <w:tcBorders>
              <w:top w:val="nil"/>
              <w:left w:val="nil"/>
              <w:bottom w:val="single" w:color="auto" w:sz="4" w:space="0"/>
              <w:right w:val="single" w:color="auto" w:sz="4" w:space="0"/>
            </w:tcBorders>
            <w:shd w:val="clear" w:color="000000" w:fill="FFFFFF"/>
            <w:noWrap/>
            <w:vAlign w:val="center"/>
          </w:tcPr>
          <w:p w14:paraId="64881C49">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5</w:t>
            </w:r>
          </w:p>
        </w:tc>
        <w:tc>
          <w:tcPr>
            <w:tcW w:w="554" w:type="pct"/>
            <w:tcBorders>
              <w:top w:val="nil"/>
              <w:left w:val="nil"/>
              <w:bottom w:val="single" w:color="auto" w:sz="4" w:space="0"/>
              <w:right w:val="single" w:color="auto" w:sz="4" w:space="0"/>
            </w:tcBorders>
            <w:shd w:val="clear" w:color="000000" w:fill="FFFFFF"/>
            <w:noWrap/>
            <w:vAlign w:val="center"/>
          </w:tcPr>
          <w:p w14:paraId="0C278CF2">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6</w:t>
            </w:r>
          </w:p>
        </w:tc>
      </w:tr>
      <w:tr w14:paraId="45299FDF">
        <w:tblPrEx>
          <w:tblCellMar>
            <w:top w:w="0" w:type="dxa"/>
            <w:left w:w="108" w:type="dxa"/>
            <w:bottom w:w="0" w:type="dxa"/>
            <w:right w:w="108" w:type="dxa"/>
          </w:tblCellMar>
        </w:tblPrEx>
        <w:trPr>
          <w:trHeight w:val="595" w:hRule="atLeast"/>
          <w:jc w:val="center"/>
        </w:trPr>
        <w:tc>
          <w:tcPr>
            <w:tcW w:w="2145"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D0DB707">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合计</w:t>
            </w:r>
          </w:p>
        </w:tc>
        <w:tc>
          <w:tcPr>
            <w:tcW w:w="485" w:type="pct"/>
            <w:tcBorders>
              <w:top w:val="nil"/>
              <w:left w:val="nil"/>
              <w:bottom w:val="single" w:color="auto" w:sz="4" w:space="0"/>
              <w:right w:val="single" w:color="auto" w:sz="4" w:space="0"/>
            </w:tcBorders>
            <w:shd w:val="clear" w:color="auto" w:fill="auto"/>
            <w:noWrap/>
            <w:vAlign w:val="center"/>
          </w:tcPr>
          <w:p w14:paraId="48DC1210">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655.77</w:t>
            </w:r>
          </w:p>
        </w:tc>
        <w:tc>
          <w:tcPr>
            <w:tcW w:w="458" w:type="pct"/>
            <w:tcBorders>
              <w:top w:val="nil"/>
              <w:left w:val="nil"/>
              <w:bottom w:val="single" w:color="auto" w:sz="4" w:space="0"/>
              <w:right w:val="single" w:color="auto" w:sz="4" w:space="0"/>
            </w:tcBorders>
            <w:shd w:val="clear" w:color="auto" w:fill="auto"/>
            <w:noWrap/>
            <w:vAlign w:val="center"/>
          </w:tcPr>
          <w:p w14:paraId="4B8B01E1">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442.89</w:t>
            </w:r>
          </w:p>
        </w:tc>
        <w:tc>
          <w:tcPr>
            <w:tcW w:w="516" w:type="pct"/>
            <w:tcBorders>
              <w:top w:val="nil"/>
              <w:left w:val="nil"/>
              <w:bottom w:val="single" w:color="auto" w:sz="4" w:space="0"/>
              <w:right w:val="single" w:color="auto" w:sz="4" w:space="0"/>
            </w:tcBorders>
            <w:shd w:val="clear" w:color="auto" w:fill="auto"/>
            <w:noWrap/>
            <w:vAlign w:val="center"/>
          </w:tcPr>
          <w:p w14:paraId="3C27A2E5">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212.88</w:t>
            </w:r>
          </w:p>
        </w:tc>
        <w:tc>
          <w:tcPr>
            <w:tcW w:w="416" w:type="pct"/>
            <w:tcBorders>
              <w:top w:val="nil"/>
              <w:left w:val="nil"/>
              <w:bottom w:val="single" w:color="auto" w:sz="4" w:space="0"/>
              <w:right w:val="single" w:color="auto" w:sz="4" w:space="0"/>
            </w:tcBorders>
            <w:shd w:val="clear" w:color="auto" w:fill="auto"/>
            <w:noWrap/>
            <w:vAlign w:val="center"/>
          </w:tcPr>
          <w:p w14:paraId="18D06F1A">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422" w:type="pct"/>
            <w:tcBorders>
              <w:top w:val="nil"/>
              <w:left w:val="nil"/>
              <w:bottom w:val="single" w:color="auto" w:sz="4" w:space="0"/>
              <w:right w:val="single" w:color="auto" w:sz="4" w:space="0"/>
            </w:tcBorders>
            <w:shd w:val="clear" w:color="auto" w:fill="auto"/>
            <w:noWrap/>
            <w:vAlign w:val="center"/>
          </w:tcPr>
          <w:p w14:paraId="4E374152">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554" w:type="pct"/>
            <w:tcBorders>
              <w:top w:val="nil"/>
              <w:left w:val="nil"/>
              <w:bottom w:val="single" w:color="auto" w:sz="4" w:space="0"/>
              <w:right w:val="single" w:color="auto" w:sz="4" w:space="0"/>
            </w:tcBorders>
            <w:shd w:val="clear" w:color="auto" w:fill="auto"/>
            <w:noWrap/>
            <w:vAlign w:val="center"/>
          </w:tcPr>
          <w:p w14:paraId="73375FD3">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78697C19">
        <w:tblPrEx>
          <w:tblCellMar>
            <w:top w:w="0" w:type="dxa"/>
            <w:left w:w="108" w:type="dxa"/>
            <w:bottom w:w="0" w:type="dxa"/>
            <w:right w:w="108" w:type="dxa"/>
          </w:tblCellMar>
        </w:tblPrEx>
        <w:trPr>
          <w:trHeight w:val="595" w:hRule="atLeast"/>
          <w:jc w:val="center"/>
        </w:trPr>
        <w:tc>
          <w:tcPr>
            <w:tcW w:w="71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F64B8B2">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2080505</w:t>
            </w:r>
          </w:p>
        </w:tc>
        <w:tc>
          <w:tcPr>
            <w:tcW w:w="1429" w:type="pct"/>
            <w:tcBorders>
              <w:top w:val="nil"/>
              <w:left w:val="nil"/>
              <w:bottom w:val="single" w:color="auto" w:sz="4" w:space="0"/>
              <w:right w:val="single" w:color="auto" w:sz="4" w:space="0"/>
            </w:tcBorders>
            <w:shd w:val="clear" w:color="000000" w:fill="FFFFFF"/>
            <w:noWrap/>
            <w:vAlign w:val="center"/>
          </w:tcPr>
          <w:p w14:paraId="484118E9">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机关事业单位基本养老保险缴费支出</w:t>
            </w:r>
          </w:p>
        </w:tc>
        <w:tc>
          <w:tcPr>
            <w:tcW w:w="485" w:type="pct"/>
            <w:tcBorders>
              <w:top w:val="nil"/>
              <w:left w:val="nil"/>
              <w:bottom w:val="single" w:color="auto" w:sz="4" w:space="0"/>
              <w:right w:val="single" w:color="auto" w:sz="4" w:space="0"/>
            </w:tcBorders>
            <w:shd w:val="clear" w:color="auto" w:fill="auto"/>
            <w:noWrap/>
            <w:vAlign w:val="center"/>
          </w:tcPr>
          <w:p w14:paraId="58D48DCE">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24.06</w:t>
            </w:r>
          </w:p>
        </w:tc>
        <w:tc>
          <w:tcPr>
            <w:tcW w:w="458" w:type="pct"/>
            <w:tcBorders>
              <w:top w:val="nil"/>
              <w:left w:val="nil"/>
              <w:bottom w:val="single" w:color="auto" w:sz="4" w:space="0"/>
              <w:right w:val="single" w:color="auto" w:sz="4" w:space="0"/>
            </w:tcBorders>
            <w:shd w:val="clear" w:color="auto" w:fill="auto"/>
            <w:noWrap/>
            <w:vAlign w:val="center"/>
          </w:tcPr>
          <w:p w14:paraId="016D4321">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24.06</w:t>
            </w:r>
          </w:p>
        </w:tc>
        <w:tc>
          <w:tcPr>
            <w:tcW w:w="516" w:type="pct"/>
            <w:tcBorders>
              <w:top w:val="nil"/>
              <w:left w:val="nil"/>
              <w:bottom w:val="single" w:color="auto" w:sz="4" w:space="0"/>
              <w:right w:val="single" w:color="auto" w:sz="4" w:space="0"/>
            </w:tcBorders>
            <w:shd w:val="clear" w:color="auto" w:fill="auto"/>
            <w:noWrap/>
            <w:vAlign w:val="center"/>
          </w:tcPr>
          <w:p w14:paraId="5A6F2097">
            <w:pPr>
              <w:widowControl/>
              <w:jc w:val="right"/>
              <w:rPr>
                <w:rFonts w:hint="default" w:ascii="Times New Roman" w:hAnsi="Times New Roman" w:eastAsia="仿宋_GB2312" w:cs="Times New Roman"/>
                <w:color w:val="auto"/>
                <w:kern w:val="0"/>
                <w:sz w:val="24"/>
                <w:szCs w:val="24"/>
                <w:lang w:val="en-US" w:eastAsia="zh-CN"/>
              </w:rPr>
            </w:pPr>
          </w:p>
        </w:tc>
        <w:tc>
          <w:tcPr>
            <w:tcW w:w="416" w:type="pct"/>
            <w:tcBorders>
              <w:top w:val="nil"/>
              <w:left w:val="nil"/>
              <w:bottom w:val="single" w:color="auto" w:sz="4" w:space="0"/>
              <w:right w:val="single" w:color="auto" w:sz="4" w:space="0"/>
            </w:tcBorders>
            <w:shd w:val="clear" w:color="auto" w:fill="auto"/>
            <w:noWrap/>
            <w:vAlign w:val="center"/>
          </w:tcPr>
          <w:p w14:paraId="078F33A4">
            <w:pPr>
              <w:widowControl/>
              <w:jc w:val="right"/>
              <w:rPr>
                <w:rFonts w:ascii="Times New Roman" w:hAnsi="Times New Roman" w:eastAsia="仿宋_GB2312" w:cs="Times New Roman"/>
                <w:color w:val="auto"/>
                <w:kern w:val="0"/>
                <w:sz w:val="24"/>
                <w:szCs w:val="24"/>
              </w:rPr>
            </w:pPr>
          </w:p>
        </w:tc>
        <w:tc>
          <w:tcPr>
            <w:tcW w:w="422" w:type="pct"/>
            <w:tcBorders>
              <w:top w:val="nil"/>
              <w:left w:val="nil"/>
              <w:bottom w:val="single" w:color="auto" w:sz="4" w:space="0"/>
              <w:right w:val="single" w:color="auto" w:sz="4" w:space="0"/>
            </w:tcBorders>
            <w:shd w:val="clear" w:color="auto" w:fill="auto"/>
            <w:noWrap/>
            <w:vAlign w:val="center"/>
          </w:tcPr>
          <w:p w14:paraId="2B35BCB2">
            <w:pPr>
              <w:widowControl/>
              <w:jc w:val="right"/>
              <w:rPr>
                <w:rFonts w:ascii="Times New Roman" w:hAnsi="Times New Roman" w:eastAsia="仿宋_GB2312" w:cs="Times New Roman"/>
                <w:color w:val="auto"/>
                <w:kern w:val="0"/>
                <w:sz w:val="24"/>
                <w:szCs w:val="24"/>
              </w:rPr>
            </w:pPr>
          </w:p>
        </w:tc>
        <w:tc>
          <w:tcPr>
            <w:tcW w:w="554" w:type="pct"/>
            <w:tcBorders>
              <w:top w:val="nil"/>
              <w:left w:val="nil"/>
              <w:bottom w:val="single" w:color="auto" w:sz="4" w:space="0"/>
              <w:right w:val="single" w:color="auto" w:sz="4" w:space="0"/>
            </w:tcBorders>
            <w:shd w:val="clear" w:color="auto" w:fill="auto"/>
            <w:noWrap/>
            <w:vAlign w:val="center"/>
          </w:tcPr>
          <w:p w14:paraId="4FD0DA5B">
            <w:pPr>
              <w:widowControl/>
              <w:jc w:val="right"/>
              <w:rPr>
                <w:rFonts w:ascii="Times New Roman" w:hAnsi="Times New Roman" w:eastAsia="仿宋_GB2312" w:cs="Times New Roman"/>
                <w:color w:val="auto"/>
                <w:kern w:val="0"/>
                <w:sz w:val="24"/>
                <w:szCs w:val="24"/>
              </w:rPr>
            </w:pPr>
          </w:p>
        </w:tc>
      </w:tr>
      <w:tr w14:paraId="232C3738">
        <w:tblPrEx>
          <w:tblCellMar>
            <w:top w:w="0" w:type="dxa"/>
            <w:left w:w="108" w:type="dxa"/>
            <w:bottom w:w="0" w:type="dxa"/>
            <w:right w:w="108" w:type="dxa"/>
          </w:tblCellMar>
        </w:tblPrEx>
        <w:trPr>
          <w:trHeight w:val="595" w:hRule="atLeast"/>
          <w:jc w:val="center"/>
        </w:trPr>
        <w:tc>
          <w:tcPr>
            <w:tcW w:w="71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086B790">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2080599</w:t>
            </w:r>
          </w:p>
        </w:tc>
        <w:tc>
          <w:tcPr>
            <w:tcW w:w="1429" w:type="pct"/>
            <w:tcBorders>
              <w:top w:val="nil"/>
              <w:left w:val="nil"/>
              <w:bottom w:val="single" w:color="auto" w:sz="4" w:space="0"/>
              <w:right w:val="single" w:color="auto" w:sz="4" w:space="0"/>
            </w:tcBorders>
            <w:shd w:val="clear" w:color="000000" w:fill="FFFFFF"/>
            <w:noWrap/>
            <w:vAlign w:val="center"/>
          </w:tcPr>
          <w:p w14:paraId="30DC632F">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其他行政事业单位养老支出</w:t>
            </w:r>
          </w:p>
        </w:tc>
        <w:tc>
          <w:tcPr>
            <w:tcW w:w="485" w:type="pct"/>
            <w:tcBorders>
              <w:top w:val="nil"/>
              <w:left w:val="nil"/>
              <w:bottom w:val="single" w:color="auto" w:sz="4" w:space="0"/>
              <w:right w:val="single" w:color="auto" w:sz="4" w:space="0"/>
            </w:tcBorders>
            <w:shd w:val="clear" w:color="auto" w:fill="auto"/>
            <w:noWrap/>
            <w:vAlign w:val="center"/>
          </w:tcPr>
          <w:p w14:paraId="3A4BFCC7">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3.60</w:t>
            </w:r>
          </w:p>
        </w:tc>
        <w:tc>
          <w:tcPr>
            <w:tcW w:w="458" w:type="pct"/>
            <w:tcBorders>
              <w:top w:val="nil"/>
              <w:left w:val="nil"/>
              <w:bottom w:val="single" w:color="auto" w:sz="4" w:space="0"/>
              <w:right w:val="single" w:color="auto" w:sz="4" w:space="0"/>
            </w:tcBorders>
            <w:shd w:val="clear" w:color="auto" w:fill="auto"/>
            <w:noWrap/>
            <w:vAlign w:val="center"/>
          </w:tcPr>
          <w:p w14:paraId="11D0E545">
            <w:pPr>
              <w:widowControl/>
              <w:jc w:val="right"/>
              <w:rPr>
                <w:rFonts w:hint="default" w:ascii="Times New Roman" w:hAnsi="Times New Roman" w:eastAsia="仿宋_GB2312" w:cs="Times New Roman"/>
                <w:color w:val="auto"/>
                <w:kern w:val="0"/>
                <w:sz w:val="24"/>
                <w:szCs w:val="24"/>
                <w:lang w:val="en-US" w:eastAsia="zh-CN"/>
              </w:rPr>
            </w:pPr>
          </w:p>
        </w:tc>
        <w:tc>
          <w:tcPr>
            <w:tcW w:w="516" w:type="pct"/>
            <w:tcBorders>
              <w:top w:val="nil"/>
              <w:left w:val="nil"/>
              <w:bottom w:val="single" w:color="auto" w:sz="4" w:space="0"/>
              <w:right w:val="single" w:color="auto" w:sz="4" w:space="0"/>
            </w:tcBorders>
            <w:shd w:val="clear" w:color="auto" w:fill="auto"/>
            <w:noWrap/>
            <w:vAlign w:val="center"/>
          </w:tcPr>
          <w:p w14:paraId="5FB87FEA">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3.60</w:t>
            </w:r>
          </w:p>
        </w:tc>
        <w:tc>
          <w:tcPr>
            <w:tcW w:w="416" w:type="pct"/>
            <w:tcBorders>
              <w:top w:val="nil"/>
              <w:left w:val="nil"/>
              <w:bottom w:val="single" w:color="auto" w:sz="4" w:space="0"/>
              <w:right w:val="single" w:color="auto" w:sz="4" w:space="0"/>
            </w:tcBorders>
            <w:shd w:val="clear" w:color="auto" w:fill="auto"/>
            <w:noWrap/>
            <w:vAlign w:val="center"/>
          </w:tcPr>
          <w:p w14:paraId="38F78202">
            <w:pPr>
              <w:widowControl/>
              <w:jc w:val="right"/>
              <w:rPr>
                <w:rFonts w:ascii="Times New Roman" w:hAnsi="Times New Roman" w:eastAsia="仿宋_GB2312" w:cs="Times New Roman"/>
                <w:color w:val="auto"/>
                <w:kern w:val="0"/>
                <w:sz w:val="24"/>
                <w:szCs w:val="24"/>
              </w:rPr>
            </w:pPr>
          </w:p>
        </w:tc>
        <w:tc>
          <w:tcPr>
            <w:tcW w:w="422" w:type="pct"/>
            <w:tcBorders>
              <w:top w:val="nil"/>
              <w:left w:val="nil"/>
              <w:bottom w:val="single" w:color="auto" w:sz="4" w:space="0"/>
              <w:right w:val="single" w:color="auto" w:sz="4" w:space="0"/>
            </w:tcBorders>
            <w:shd w:val="clear" w:color="auto" w:fill="auto"/>
            <w:noWrap/>
            <w:vAlign w:val="center"/>
          </w:tcPr>
          <w:p w14:paraId="367C6E75">
            <w:pPr>
              <w:widowControl/>
              <w:jc w:val="right"/>
              <w:rPr>
                <w:rFonts w:ascii="Times New Roman" w:hAnsi="Times New Roman" w:eastAsia="仿宋_GB2312" w:cs="Times New Roman"/>
                <w:color w:val="auto"/>
                <w:kern w:val="0"/>
                <w:sz w:val="24"/>
                <w:szCs w:val="24"/>
              </w:rPr>
            </w:pPr>
          </w:p>
        </w:tc>
        <w:tc>
          <w:tcPr>
            <w:tcW w:w="554" w:type="pct"/>
            <w:tcBorders>
              <w:top w:val="nil"/>
              <w:left w:val="nil"/>
              <w:bottom w:val="single" w:color="auto" w:sz="4" w:space="0"/>
              <w:right w:val="single" w:color="auto" w:sz="4" w:space="0"/>
            </w:tcBorders>
            <w:shd w:val="clear" w:color="auto" w:fill="auto"/>
            <w:noWrap/>
            <w:vAlign w:val="center"/>
          </w:tcPr>
          <w:p w14:paraId="48134C0D">
            <w:pPr>
              <w:widowControl/>
              <w:jc w:val="right"/>
              <w:rPr>
                <w:rFonts w:ascii="Times New Roman" w:hAnsi="Times New Roman" w:eastAsia="仿宋_GB2312" w:cs="Times New Roman"/>
                <w:color w:val="auto"/>
                <w:kern w:val="0"/>
                <w:sz w:val="24"/>
                <w:szCs w:val="24"/>
              </w:rPr>
            </w:pPr>
          </w:p>
        </w:tc>
      </w:tr>
      <w:tr w14:paraId="206726A4">
        <w:tblPrEx>
          <w:tblCellMar>
            <w:top w:w="0" w:type="dxa"/>
            <w:left w:w="108" w:type="dxa"/>
            <w:bottom w:w="0" w:type="dxa"/>
            <w:right w:w="108" w:type="dxa"/>
          </w:tblCellMar>
        </w:tblPrEx>
        <w:trPr>
          <w:trHeight w:val="595" w:hRule="atLeast"/>
          <w:jc w:val="center"/>
        </w:trPr>
        <w:tc>
          <w:tcPr>
            <w:tcW w:w="7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E0C69C">
            <w:pPr>
              <w:widowControl/>
              <w:jc w:val="left"/>
              <w:rPr>
                <w:rFonts w:hint="default" w:eastAsia="仿宋_GB2312" w:asciiTheme="minorHAnsi" w:hAnsiTheme="minorHAnsi" w:cstheme="minorBidi"/>
                <w:color w:val="auto"/>
                <w:kern w:val="0"/>
                <w:sz w:val="21"/>
                <w:szCs w:val="21"/>
                <w:lang w:val="en-US" w:eastAsia="zh-CN" w:bidi="ar-SA"/>
              </w:rPr>
            </w:pPr>
            <w:r>
              <w:rPr>
                <w:rFonts w:hint="eastAsia" w:ascii="Times New Roman" w:hAnsi="Times New Roman" w:eastAsia="仿宋_GB2312" w:cs="Times New Roman"/>
                <w:color w:val="auto"/>
                <w:kern w:val="0"/>
                <w:sz w:val="24"/>
                <w:szCs w:val="24"/>
                <w:lang w:val="en-US" w:eastAsia="zh-CN" w:bidi="ar-SA"/>
              </w:rPr>
              <w:t>2100302</w:t>
            </w:r>
          </w:p>
        </w:tc>
        <w:tc>
          <w:tcPr>
            <w:tcW w:w="1429" w:type="pct"/>
            <w:tcBorders>
              <w:top w:val="nil"/>
              <w:left w:val="nil"/>
              <w:bottom w:val="single" w:color="auto" w:sz="4" w:space="0"/>
              <w:right w:val="single" w:color="auto" w:sz="4" w:space="0"/>
            </w:tcBorders>
            <w:shd w:val="clear" w:color="auto" w:fill="auto"/>
            <w:noWrap/>
            <w:vAlign w:val="center"/>
          </w:tcPr>
          <w:p w14:paraId="05466E8F">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乡镇卫生院</w:t>
            </w:r>
          </w:p>
        </w:tc>
        <w:tc>
          <w:tcPr>
            <w:tcW w:w="485" w:type="pct"/>
            <w:tcBorders>
              <w:top w:val="nil"/>
              <w:left w:val="nil"/>
              <w:bottom w:val="single" w:color="auto" w:sz="4" w:space="0"/>
              <w:right w:val="single" w:color="auto" w:sz="4" w:space="0"/>
            </w:tcBorders>
            <w:shd w:val="clear" w:color="auto" w:fill="auto"/>
            <w:noWrap/>
            <w:vAlign w:val="center"/>
          </w:tcPr>
          <w:p w14:paraId="09F909B8">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411.01</w:t>
            </w:r>
          </w:p>
        </w:tc>
        <w:tc>
          <w:tcPr>
            <w:tcW w:w="458" w:type="pct"/>
            <w:tcBorders>
              <w:top w:val="nil"/>
              <w:left w:val="nil"/>
              <w:bottom w:val="single" w:color="auto" w:sz="4" w:space="0"/>
              <w:right w:val="single" w:color="auto" w:sz="4" w:space="0"/>
            </w:tcBorders>
            <w:shd w:val="clear" w:color="auto" w:fill="auto"/>
            <w:noWrap/>
            <w:vAlign w:val="center"/>
          </w:tcPr>
          <w:p w14:paraId="0AE10262">
            <w:pPr>
              <w:widowControl/>
              <w:jc w:val="right"/>
              <w:rPr>
                <w:rFonts w:ascii="Times New Roman" w:hAnsi="Times New Roman" w:eastAsia="仿宋_GB2312" w:cs="Times New Roman"/>
                <w:color w:val="auto"/>
                <w:kern w:val="0"/>
                <w:sz w:val="24"/>
                <w:szCs w:val="24"/>
              </w:rPr>
            </w:pPr>
          </w:p>
        </w:tc>
        <w:tc>
          <w:tcPr>
            <w:tcW w:w="516" w:type="pct"/>
            <w:tcBorders>
              <w:top w:val="nil"/>
              <w:left w:val="nil"/>
              <w:bottom w:val="single" w:color="auto" w:sz="4" w:space="0"/>
              <w:right w:val="single" w:color="auto" w:sz="4" w:space="0"/>
            </w:tcBorders>
            <w:shd w:val="clear" w:color="auto" w:fill="auto"/>
            <w:noWrap/>
            <w:vAlign w:val="center"/>
          </w:tcPr>
          <w:p w14:paraId="610C2914">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411.01</w:t>
            </w:r>
          </w:p>
        </w:tc>
        <w:tc>
          <w:tcPr>
            <w:tcW w:w="416" w:type="pct"/>
            <w:tcBorders>
              <w:top w:val="nil"/>
              <w:left w:val="nil"/>
              <w:bottom w:val="single" w:color="auto" w:sz="4" w:space="0"/>
              <w:right w:val="single" w:color="auto" w:sz="4" w:space="0"/>
            </w:tcBorders>
            <w:shd w:val="clear" w:color="auto" w:fill="auto"/>
            <w:noWrap/>
            <w:vAlign w:val="center"/>
          </w:tcPr>
          <w:p w14:paraId="435F3210">
            <w:pPr>
              <w:widowControl/>
              <w:jc w:val="right"/>
              <w:rPr>
                <w:rFonts w:ascii="Times New Roman" w:hAnsi="Times New Roman" w:eastAsia="仿宋_GB2312" w:cs="Times New Roman"/>
                <w:color w:val="auto"/>
                <w:kern w:val="0"/>
                <w:sz w:val="24"/>
                <w:szCs w:val="24"/>
              </w:rPr>
            </w:pPr>
          </w:p>
        </w:tc>
        <w:tc>
          <w:tcPr>
            <w:tcW w:w="422" w:type="pct"/>
            <w:tcBorders>
              <w:top w:val="nil"/>
              <w:left w:val="nil"/>
              <w:bottom w:val="single" w:color="auto" w:sz="4" w:space="0"/>
              <w:right w:val="single" w:color="auto" w:sz="4" w:space="0"/>
            </w:tcBorders>
            <w:shd w:val="clear" w:color="auto" w:fill="auto"/>
            <w:noWrap/>
            <w:vAlign w:val="center"/>
          </w:tcPr>
          <w:p w14:paraId="458DE454">
            <w:pPr>
              <w:widowControl/>
              <w:jc w:val="right"/>
              <w:rPr>
                <w:rFonts w:ascii="Times New Roman" w:hAnsi="Times New Roman" w:eastAsia="仿宋_GB2312" w:cs="Times New Roman"/>
                <w:color w:val="auto"/>
                <w:kern w:val="0"/>
                <w:sz w:val="24"/>
                <w:szCs w:val="24"/>
              </w:rPr>
            </w:pPr>
          </w:p>
        </w:tc>
        <w:tc>
          <w:tcPr>
            <w:tcW w:w="554" w:type="pct"/>
            <w:tcBorders>
              <w:top w:val="nil"/>
              <w:left w:val="nil"/>
              <w:bottom w:val="single" w:color="auto" w:sz="4" w:space="0"/>
              <w:right w:val="single" w:color="auto" w:sz="4" w:space="0"/>
            </w:tcBorders>
            <w:shd w:val="clear" w:color="auto" w:fill="auto"/>
            <w:noWrap/>
            <w:vAlign w:val="center"/>
          </w:tcPr>
          <w:p w14:paraId="0C2C3F6D">
            <w:pPr>
              <w:widowControl/>
              <w:jc w:val="right"/>
              <w:rPr>
                <w:rFonts w:ascii="Times New Roman" w:hAnsi="Times New Roman" w:eastAsia="仿宋_GB2312" w:cs="Times New Roman"/>
                <w:color w:val="auto"/>
                <w:kern w:val="0"/>
                <w:sz w:val="24"/>
                <w:szCs w:val="24"/>
              </w:rPr>
            </w:pPr>
          </w:p>
        </w:tc>
      </w:tr>
      <w:tr w14:paraId="71C5C261">
        <w:tblPrEx>
          <w:tblCellMar>
            <w:top w:w="0" w:type="dxa"/>
            <w:left w:w="108" w:type="dxa"/>
            <w:bottom w:w="0" w:type="dxa"/>
            <w:right w:w="108" w:type="dxa"/>
          </w:tblCellMar>
        </w:tblPrEx>
        <w:trPr>
          <w:trHeight w:val="595" w:hRule="atLeast"/>
          <w:jc w:val="center"/>
        </w:trPr>
        <w:tc>
          <w:tcPr>
            <w:tcW w:w="7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CF9FA7">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2100399</w:t>
            </w:r>
          </w:p>
        </w:tc>
        <w:tc>
          <w:tcPr>
            <w:tcW w:w="1429" w:type="pct"/>
            <w:tcBorders>
              <w:top w:val="nil"/>
              <w:left w:val="nil"/>
              <w:bottom w:val="single" w:color="auto" w:sz="4" w:space="0"/>
              <w:right w:val="single" w:color="auto" w:sz="4" w:space="0"/>
            </w:tcBorders>
            <w:shd w:val="clear" w:color="auto" w:fill="auto"/>
            <w:noWrap/>
            <w:vAlign w:val="center"/>
          </w:tcPr>
          <w:p w14:paraId="73B8CD70">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其他基层医疗卫生机构支出</w:t>
            </w:r>
          </w:p>
        </w:tc>
        <w:tc>
          <w:tcPr>
            <w:tcW w:w="485" w:type="pct"/>
            <w:tcBorders>
              <w:top w:val="nil"/>
              <w:left w:val="nil"/>
              <w:bottom w:val="single" w:color="auto" w:sz="4" w:space="0"/>
              <w:right w:val="single" w:color="auto" w:sz="4" w:space="0"/>
            </w:tcBorders>
            <w:shd w:val="clear" w:color="auto" w:fill="auto"/>
            <w:noWrap/>
            <w:vAlign w:val="center"/>
          </w:tcPr>
          <w:p w14:paraId="16DE5F41">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56.37</w:t>
            </w:r>
          </w:p>
        </w:tc>
        <w:tc>
          <w:tcPr>
            <w:tcW w:w="458" w:type="pct"/>
            <w:tcBorders>
              <w:top w:val="nil"/>
              <w:left w:val="nil"/>
              <w:bottom w:val="single" w:color="auto" w:sz="4" w:space="0"/>
              <w:right w:val="single" w:color="auto" w:sz="4" w:space="0"/>
            </w:tcBorders>
            <w:shd w:val="clear" w:color="auto" w:fill="auto"/>
            <w:noWrap/>
            <w:vAlign w:val="center"/>
          </w:tcPr>
          <w:p w14:paraId="1BADF7AD">
            <w:pPr>
              <w:widowControl/>
              <w:jc w:val="right"/>
              <w:rPr>
                <w:rFonts w:ascii="Times New Roman" w:hAnsi="Times New Roman" w:eastAsia="仿宋_GB2312" w:cs="Times New Roman"/>
                <w:color w:val="auto"/>
                <w:kern w:val="0"/>
                <w:sz w:val="24"/>
                <w:szCs w:val="24"/>
              </w:rPr>
            </w:pPr>
          </w:p>
        </w:tc>
        <w:tc>
          <w:tcPr>
            <w:tcW w:w="516" w:type="pct"/>
            <w:tcBorders>
              <w:top w:val="nil"/>
              <w:left w:val="nil"/>
              <w:bottom w:val="single" w:color="auto" w:sz="4" w:space="0"/>
              <w:right w:val="single" w:color="auto" w:sz="4" w:space="0"/>
            </w:tcBorders>
            <w:shd w:val="clear" w:color="auto" w:fill="auto"/>
            <w:noWrap/>
            <w:vAlign w:val="center"/>
          </w:tcPr>
          <w:p w14:paraId="439CA111">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56.37</w:t>
            </w:r>
          </w:p>
        </w:tc>
        <w:tc>
          <w:tcPr>
            <w:tcW w:w="416" w:type="pct"/>
            <w:tcBorders>
              <w:top w:val="nil"/>
              <w:left w:val="nil"/>
              <w:bottom w:val="single" w:color="auto" w:sz="4" w:space="0"/>
              <w:right w:val="single" w:color="auto" w:sz="4" w:space="0"/>
            </w:tcBorders>
            <w:shd w:val="clear" w:color="auto" w:fill="auto"/>
            <w:noWrap/>
            <w:vAlign w:val="center"/>
          </w:tcPr>
          <w:p w14:paraId="0CE4F183">
            <w:pPr>
              <w:widowControl/>
              <w:jc w:val="right"/>
              <w:rPr>
                <w:rFonts w:ascii="Times New Roman" w:hAnsi="Times New Roman" w:eastAsia="仿宋_GB2312" w:cs="Times New Roman"/>
                <w:color w:val="auto"/>
                <w:kern w:val="0"/>
                <w:sz w:val="24"/>
                <w:szCs w:val="24"/>
              </w:rPr>
            </w:pPr>
          </w:p>
        </w:tc>
        <w:tc>
          <w:tcPr>
            <w:tcW w:w="422" w:type="pct"/>
            <w:tcBorders>
              <w:top w:val="nil"/>
              <w:left w:val="nil"/>
              <w:bottom w:val="single" w:color="auto" w:sz="4" w:space="0"/>
              <w:right w:val="single" w:color="auto" w:sz="4" w:space="0"/>
            </w:tcBorders>
            <w:shd w:val="clear" w:color="auto" w:fill="auto"/>
            <w:noWrap/>
            <w:vAlign w:val="center"/>
          </w:tcPr>
          <w:p w14:paraId="55779428">
            <w:pPr>
              <w:widowControl/>
              <w:jc w:val="right"/>
              <w:rPr>
                <w:rFonts w:ascii="Times New Roman" w:hAnsi="Times New Roman" w:eastAsia="仿宋_GB2312" w:cs="Times New Roman"/>
                <w:color w:val="auto"/>
                <w:kern w:val="0"/>
                <w:sz w:val="24"/>
                <w:szCs w:val="24"/>
              </w:rPr>
            </w:pPr>
          </w:p>
        </w:tc>
        <w:tc>
          <w:tcPr>
            <w:tcW w:w="554" w:type="pct"/>
            <w:tcBorders>
              <w:top w:val="nil"/>
              <w:left w:val="nil"/>
              <w:bottom w:val="single" w:color="auto" w:sz="4" w:space="0"/>
              <w:right w:val="single" w:color="auto" w:sz="4" w:space="0"/>
            </w:tcBorders>
            <w:shd w:val="clear" w:color="auto" w:fill="auto"/>
            <w:noWrap/>
            <w:vAlign w:val="center"/>
          </w:tcPr>
          <w:p w14:paraId="552DAD56">
            <w:pPr>
              <w:widowControl/>
              <w:jc w:val="right"/>
              <w:rPr>
                <w:rFonts w:ascii="Times New Roman" w:hAnsi="Times New Roman" w:eastAsia="仿宋_GB2312" w:cs="Times New Roman"/>
                <w:color w:val="auto"/>
                <w:kern w:val="0"/>
                <w:sz w:val="24"/>
                <w:szCs w:val="24"/>
              </w:rPr>
            </w:pPr>
          </w:p>
        </w:tc>
      </w:tr>
      <w:tr w14:paraId="15B3594D">
        <w:tblPrEx>
          <w:tblCellMar>
            <w:top w:w="0" w:type="dxa"/>
            <w:left w:w="108" w:type="dxa"/>
            <w:bottom w:w="0" w:type="dxa"/>
            <w:right w:w="108" w:type="dxa"/>
          </w:tblCellMar>
        </w:tblPrEx>
        <w:trPr>
          <w:trHeight w:val="595" w:hRule="atLeast"/>
          <w:jc w:val="center"/>
        </w:trPr>
        <w:tc>
          <w:tcPr>
            <w:tcW w:w="7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70FB1E">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2100408</w:t>
            </w:r>
          </w:p>
        </w:tc>
        <w:tc>
          <w:tcPr>
            <w:tcW w:w="1429" w:type="pct"/>
            <w:tcBorders>
              <w:top w:val="nil"/>
              <w:left w:val="nil"/>
              <w:bottom w:val="single" w:color="auto" w:sz="4" w:space="0"/>
              <w:right w:val="single" w:color="auto" w:sz="4" w:space="0"/>
            </w:tcBorders>
            <w:shd w:val="clear" w:color="auto" w:fill="auto"/>
            <w:noWrap/>
            <w:vAlign w:val="center"/>
          </w:tcPr>
          <w:p w14:paraId="191FF238">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基本公共卫生服务</w:t>
            </w:r>
          </w:p>
        </w:tc>
        <w:tc>
          <w:tcPr>
            <w:tcW w:w="485" w:type="pct"/>
            <w:tcBorders>
              <w:top w:val="nil"/>
              <w:left w:val="nil"/>
              <w:bottom w:val="single" w:color="auto" w:sz="4" w:space="0"/>
              <w:right w:val="single" w:color="auto" w:sz="4" w:space="0"/>
            </w:tcBorders>
            <w:shd w:val="clear" w:color="auto" w:fill="auto"/>
            <w:noWrap/>
            <w:vAlign w:val="center"/>
          </w:tcPr>
          <w:p w14:paraId="134DE561">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152.91</w:t>
            </w:r>
          </w:p>
        </w:tc>
        <w:tc>
          <w:tcPr>
            <w:tcW w:w="458" w:type="pct"/>
            <w:tcBorders>
              <w:top w:val="nil"/>
              <w:left w:val="nil"/>
              <w:bottom w:val="single" w:color="auto" w:sz="4" w:space="0"/>
              <w:right w:val="single" w:color="auto" w:sz="4" w:space="0"/>
            </w:tcBorders>
            <w:shd w:val="clear" w:color="auto" w:fill="auto"/>
            <w:noWrap/>
            <w:vAlign w:val="center"/>
          </w:tcPr>
          <w:p w14:paraId="733588B0">
            <w:pPr>
              <w:widowControl/>
              <w:jc w:val="right"/>
              <w:rPr>
                <w:rFonts w:ascii="Times New Roman" w:hAnsi="Times New Roman" w:eastAsia="仿宋_GB2312" w:cs="Times New Roman"/>
                <w:color w:val="auto"/>
                <w:kern w:val="0"/>
                <w:sz w:val="24"/>
                <w:szCs w:val="24"/>
              </w:rPr>
            </w:pPr>
          </w:p>
        </w:tc>
        <w:tc>
          <w:tcPr>
            <w:tcW w:w="516" w:type="pct"/>
            <w:tcBorders>
              <w:top w:val="nil"/>
              <w:left w:val="nil"/>
              <w:bottom w:val="single" w:color="auto" w:sz="4" w:space="0"/>
              <w:right w:val="single" w:color="auto" w:sz="4" w:space="0"/>
            </w:tcBorders>
            <w:shd w:val="clear" w:color="auto" w:fill="auto"/>
            <w:noWrap/>
            <w:vAlign w:val="center"/>
          </w:tcPr>
          <w:p w14:paraId="769D5D84">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152.91</w:t>
            </w:r>
          </w:p>
        </w:tc>
        <w:tc>
          <w:tcPr>
            <w:tcW w:w="416" w:type="pct"/>
            <w:tcBorders>
              <w:top w:val="nil"/>
              <w:left w:val="nil"/>
              <w:bottom w:val="single" w:color="auto" w:sz="4" w:space="0"/>
              <w:right w:val="single" w:color="auto" w:sz="4" w:space="0"/>
            </w:tcBorders>
            <w:shd w:val="clear" w:color="auto" w:fill="auto"/>
            <w:noWrap/>
            <w:vAlign w:val="center"/>
          </w:tcPr>
          <w:p w14:paraId="78848F6F">
            <w:pPr>
              <w:widowControl/>
              <w:jc w:val="right"/>
              <w:rPr>
                <w:rFonts w:ascii="Times New Roman" w:hAnsi="Times New Roman" w:eastAsia="仿宋_GB2312" w:cs="Times New Roman"/>
                <w:color w:val="auto"/>
                <w:kern w:val="0"/>
                <w:sz w:val="24"/>
                <w:szCs w:val="24"/>
              </w:rPr>
            </w:pPr>
          </w:p>
        </w:tc>
        <w:tc>
          <w:tcPr>
            <w:tcW w:w="422" w:type="pct"/>
            <w:tcBorders>
              <w:top w:val="nil"/>
              <w:left w:val="nil"/>
              <w:bottom w:val="single" w:color="auto" w:sz="4" w:space="0"/>
              <w:right w:val="single" w:color="auto" w:sz="4" w:space="0"/>
            </w:tcBorders>
            <w:shd w:val="clear" w:color="auto" w:fill="auto"/>
            <w:noWrap/>
            <w:vAlign w:val="center"/>
          </w:tcPr>
          <w:p w14:paraId="788B8955">
            <w:pPr>
              <w:widowControl/>
              <w:jc w:val="right"/>
              <w:rPr>
                <w:rFonts w:ascii="Times New Roman" w:hAnsi="Times New Roman" w:eastAsia="仿宋_GB2312" w:cs="Times New Roman"/>
                <w:color w:val="auto"/>
                <w:kern w:val="0"/>
                <w:sz w:val="24"/>
                <w:szCs w:val="24"/>
              </w:rPr>
            </w:pPr>
          </w:p>
        </w:tc>
        <w:tc>
          <w:tcPr>
            <w:tcW w:w="554" w:type="pct"/>
            <w:tcBorders>
              <w:top w:val="nil"/>
              <w:left w:val="nil"/>
              <w:bottom w:val="single" w:color="auto" w:sz="4" w:space="0"/>
              <w:right w:val="single" w:color="auto" w:sz="4" w:space="0"/>
            </w:tcBorders>
            <w:shd w:val="clear" w:color="auto" w:fill="auto"/>
            <w:noWrap/>
            <w:vAlign w:val="center"/>
          </w:tcPr>
          <w:p w14:paraId="3DD408B6">
            <w:pPr>
              <w:widowControl/>
              <w:jc w:val="right"/>
              <w:rPr>
                <w:rFonts w:ascii="Times New Roman" w:hAnsi="Times New Roman" w:eastAsia="仿宋_GB2312" w:cs="Times New Roman"/>
                <w:color w:val="auto"/>
                <w:kern w:val="0"/>
                <w:sz w:val="24"/>
                <w:szCs w:val="24"/>
              </w:rPr>
            </w:pPr>
          </w:p>
        </w:tc>
      </w:tr>
      <w:tr w14:paraId="43F66916">
        <w:tblPrEx>
          <w:tblCellMar>
            <w:top w:w="0" w:type="dxa"/>
            <w:left w:w="108" w:type="dxa"/>
            <w:bottom w:w="0" w:type="dxa"/>
            <w:right w:w="108" w:type="dxa"/>
          </w:tblCellMar>
        </w:tblPrEx>
        <w:trPr>
          <w:trHeight w:val="595" w:hRule="atLeast"/>
          <w:jc w:val="center"/>
        </w:trPr>
        <w:tc>
          <w:tcPr>
            <w:tcW w:w="7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4557DB">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2101102</w:t>
            </w:r>
          </w:p>
        </w:tc>
        <w:tc>
          <w:tcPr>
            <w:tcW w:w="1429" w:type="pct"/>
            <w:tcBorders>
              <w:top w:val="nil"/>
              <w:left w:val="nil"/>
              <w:bottom w:val="single" w:color="auto" w:sz="4" w:space="0"/>
              <w:right w:val="single" w:color="auto" w:sz="4" w:space="0"/>
            </w:tcBorders>
            <w:shd w:val="clear" w:color="auto" w:fill="auto"/>
            <w:noWrap/>
            <w:vAlign w:val="center"/>
          </w:tcPr>
          <w:p w14:paraId="2D042D2F">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事业单位医疗</w:t>
            </w:r>
          </w:p>
        </w:tc>
        <w:tc>
          <w:tcPr>
            <w:tcW w:w="485" w:type="pct"/>
            <w:tcBorders>
              <w:top w:val="nil"/>
              <w:left w:val="nil"/>
              <w:bottom w:val="single" w:color="auto" w:sz="4" w:space="0"/>
              <w:right w:val="single" w:color="auto" w:sz="4" w:space="0"/>
            </w:tcBorders>
            <w:shd w:val="clear" w:color="auto" w:fill="auto"/>
            <w:noWrap/>
            <w:vAlign w:val="center"/>
          </w:tcPr>
          <w:p w14:paraId="5A4B1DFB">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7.82</w:t>
            </w:r>
          </w:p>
        </w:tc>
        <w:tc>
          <w:tcPr>
            <w:tcW w:w="458" w:type="pct"/>
            <w:tcBorders>
              <w:top w:val="nil"/>
              <w:left w:val="nil"/>
              <w:bottom w:val="single" w:color="auto" w:sz="4" w:space="0"/>
              <w:right w:val="single" w:color="auto" w:sz="4" w:space="0"/>
            </w:tcBorders>
            <w:shd w:val="clear" w:color="auto" w:fill="auto"/>
            <w:noWrap/>
            <w:vAlign w:val="center"/>
          </w:tcPr>
          <w:p w14:paraId="08380E62">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7.82</w:t>
            </w:r>
          </w:p>
        </w:tc>
        <w:tc>
          <w:tcPr>
            <w:tcW w:w="516" w:type="pct"/>
            <w:tcBorders>
              <w:top w:val="nil"/>
              <w:left w:val="nil"/>
              <w:bottom w:val="single" w:color="auto" w:sz="4" w:space="0"/>
              <w:right w:val="single" w:color="auto" w:sz="4" w:space="0"/>
            </w:tcBorders>
            <w:shd w:val="clear" w:color="auto" w:fill="auto"/>
            <w:noWrap/>
            <w:vAlign w:val="center"/>
          </w:tcPr>
          <w:p w14:paraId="513EF797">
            <w:pPr>
              <w:widowControl/>
              <w:jc w:val="right"/>
              <w:rPr>
                <w:rFonts w:ascii="Times New Roman" w:hAnsi="Times New Roman" w:eastAsia="仿宋_GB2312" w:cs="Times New Roman"/>
                <w:color w:val="auto"/>
                <w:kern w:val="0"/>
                <w:sz w:val="24"/>
                <w:szCs w:val="24"/>
              </w:rPr>
            </w:pPr>
          </w:p>
        </w:tc>
        <w:tc>
          <w:tcPr>
            <w:tcW w:w="416" w:type="pct"/>
            <w:tcBorders>
              <w:top w:val="nil"/>
              <w:left w:val="nil"/>
              <w:bottom w:val="single" w:color="auto" w:sz="4" w:space="0"/>
              <w:right w:val="single" w:color="auto" w:sz="4" w:space="0"/>
            </w:tcBorders>
            <w:shd w:val="clear" w:color="auto" w:fill="auto"/>
            <w:noWrap/>
            <w:vAlign w:val="center"/>
          </w:tcPr>
          <w:p w14:paraId="6A6B2A04">
            <w:pPr>
              <w:widowControl/>
              <w:jc w:val="right"/>
              <w:rPr>
                <w:rFonts w:ascii="Times New Roman" w:hAnsi="Times New Roman" w:eastAsia="仿宋_GB2312" w:cs="Times New Roman"/>
                <w:color w:val="auto"/>
                <w:kern w:val="0"/>
                <w:sz w:val="24"/>
                <w:szCs w:val="24"/>
              </w:rPr>
            </w:pPr>
          </w:p>
        </w:tc>
        <w:tc>
          <w:tcPr>
            <w:tcW w:w="422" w:type="pct"/>
            <w:tcBorders>
              <w:top w:val="nil"/>
              <w:left w:val="nil"/>
              <w:bottom w:val="single" w:color="auto" w:sz="4" w:space="0"/>
              <w:right w:val="single" w:color="auto" w:sz="4" w:space="0"/>
            </w:tcBorders>
            <w:shd w:val="clear" w:color="auto" w:fill="auto"/>
            <w:noWrap/>
            <w:vAlign w:val="center"/>
          </w:tcPr>
          <w:p w14:paraId="1D4B653A">
            <w:pPr>
              <w:widowControl/>
              <w:jc w:val="right"/>
              <w:rPr>
                <w:rFonts w:ascii="Times New Roman" w:hAnsi="Times New Roman" w:eastAsia="仿宋_GB2312" w:cs="Times New Roman"/>
                <w:color w:val="auto"/>
                <w:kern w:val="0"/>
                <w:sz w:val="24"/>
                <w:szCs w:val="24"/>
              </w:rPr>
            </w:pPr>
          </w:p>
        </w:tc>
        <w:tc>
          <w:tcPr>
            <w:tcW w:w="554" w:type="pct"/>
            <w:tcBorders>
              <w:top w:val="nil"/>
              <w:left w:val="nil"/>
              <w:bottom w:val="single" w:color="auto" w:sz="4" w:space="0"/>
              <w:right w:val="single" w:color="auto" w:sz="4" w:space="0"/>
            </w:tcBorders>
            <w:shd w:val="clear" w:color="auto" w:fill="auto"/>
            <w:noWrap/>
            <w:vAlign w:val="center"/>
          </w:tcPr>
          <w:p w14:paraId="296197CB">
            <w:pPr>
              <w:widowControl/>
              <w:jc w:val="right"/>
              <w:rPr>
                <w:rFonts w:ascii="Times New Roman" w:hAnsi="Times New Roman" w:eastAsia="仿宋_GB2312" w:cs="Times New Roman"/>
                <w:color w:val="auto"/>
                <w:kern w:val="0"/>
                <w:sz w:val="24"/>
                <w:szCs w:val="24"/>
              </w:rPr>
            </w:pPr>
          </w:p>
        </w:tc>
      </w:tr>
    </w:tbl>
    <w:p w14:paraId="6D95C4DB">
      <w:pPr>
        <w:widowControl/>
        <w:spacing w:before="120"/>
        <w:jc w:val="left"/>
        <w:rPr>
          <w:rFonts w:ascii="Times New Roman" w:hAnsi="Times New Roman" w:eastAsia="方正小标宋_GBK" w:cs="Times New Roman"/>
          <w:color w:val="auto"/>
          <w:kern w:val="0"/>
          <w:sz w:val="36"/>
          <w:szCs w:val="21"/>
        </w:rPr>
      </w:pPr>
      <w:r>
        <w:rPr>
          <w:rFonts w:ascii="Times New Roman" w:hAnsi="Times New Roman" w:eastAsia="仿宋_GB2312" w:cs="Times New Roman"/>
          <w:color w:val="auto"/>
          <w:kern w:val="0"/>
          <w:sz w:val="24"/>
          <w:szCs w:val="24"/>
        </w:rPr>
        <w:t>注：本表反映部门本年度各项支出情况。</w:t>
      </w:r>
    </w:p>
    <w:p w14:paraId="3F0A74E8">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color w:val="auto"/>
          <w:kern w:val="0"/>
          <w:sz w:val="24"/>
          <w:szCs w:val="24"/>
        </w:rPr>
      </w:pPr>
      <w:bookmarkStart w:id="0" w:name="RANGE!A1:I22"/>
      <w:bookmarkEnd w:id="0"/>
      <w:bookmarkStart w:id="1" w:name="RANGE!A1:F16"/>
      <w:r>
        <w:rPr>
          <w:rFonts w:ascii="Times New Roman" w:hAnsi="Times New Roman" w:eastAsia="黑体" w:cs="Times New Roman"/>
          <w:color w:val="auto"/>
          <w:kern w:val="0"/>
          <w:sz w:val="24"/>
          <w:szCs w:val="24"/>
        </w:rPr>
        <w:tab/>
      </w:r>
      <w:r>
        <w:rPr>
          <w:rFonts w:ascii="Times New Roman" w:hAnsi="Times New Roman" w:eastAsia="宋体" w:cs="Times New Roman"/>
          <w:color w:val="auto"/>
          <w:kern w:val="0"/>
          <w:sz w:val="24"/>
          <w:szCs w:val="24"/>
        </w:rPr>
        <w:tab/>
      </w:r>
      <w:r>
        <w:rPr>
          <w:rFonts w:ascii="Times New Roman" w:hAnsi="Times New Roman" w:eastAsia="宋体" w:cs="Times New Roman"/>
          <w:color w:val="auto"/>
          <w:kern w:val="0"/>
          <w:sz w:val="24"/>
          <w:szCs w:val="24"/>
        </w:rPr>
        <w:tab/>
      </w:r>
      <w:r>
        <w:rPr>
          <w:rFonts w:ascii="Times New Roman" w:hAnsi="Times New Roman" w:eastAsia="宋体" w:cs="Times New Roman"/>
          <w:color w:val="auto"/>
          <w:kern w:val="0"/>
          <w:sz w:val="24"/>
          <w:szCs w:val="24"/>
        </w:rPr>
        <w:tab/>
      </w:r>
      <w:r>
        <w:rPr>
          <w:rFonts w:ascii="Times New Roman" w:hAnsi="Times New Roman" w:eastAsia="宋体" w:cs="Times New Roman"/>
          <w:color w:val="auto"/>
          <w:kern w:val="0"/>
          <w:sz w:val="24"/>
          <w:szCs w:val="24"/>
        </w:rPr>
        <w:tab/>
      </w:r>
      <w:r>
        <w:rPr>
          <w:rFonts w:ascii="Times New Roman" w:hAnsi="Times New Roman" w:eastAsia="宋体" w:cs="Times New Roman"/>
          <w:color w:val="auto"/>
          <w:kern w:val="0"/>
          <w:sz w:val="24"/>
          <w:szCs w:val="24"/>
        </w:rPr>
        <w:tab/>
      </w:r>
    </w:p>
    <w:p w14:paraId="2FBB6263">
      <w:pPr>
        <w:widowControl/>
        <w:spacing w:line="400" w:lineRule="exact"/>
        <w:jc w:val="center"/>
        <w:textAlignment w:val="center"/>
        <w:rPr>
          <w:rFonts w:ascii="Times New Roman" w:hAnsi="Times New Roman" w:eastAsia="黑体" w:cs="Times New Roman"/>
          <w:color w:val="auto"/>
          <w:kern w:val="0"/>
          <w:sz w:val="32"/>
          <w:szCs w:val="32"/>
          <w:lang w:bidi="ar"/>
        </w:rPr>
      </w:pPr>
    </w:p>
    <w:p w14:paraId="3C9460DF">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财政拨款收入支出决算总表</w:t>
      </w:r>
    </w:p>
    <w:p w14:paraId="0272347E">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 xml:space="preserve">                                                                                                                  公开04表</w:t>
      </w:r>
    </w:p>
    <w:p w14:paraId="102D82E5">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部门：</w:t>
      </w:r>
      <w:r>
        <w:rPr>
          <w:rFonts w:hint="eastAsia" w:ascii="Times New Roman" w:hAnsi="Times New Roman" w:eastAsia="仿宋_GB2312" w:cs="Times New Roman"/>
          <w:color w:val="auto"/>
          <w:kern w:val="0"/>
          <w:sz w:val="20"/>
          <w:szCs w:val="20"/>
          <w:lang w:eastAsia="zh-CN"/>
        </w:rPr>
        <w:t>蓝山县毛俊镇中心卫生院</w:t>
      </w:r>
      <w:r>
        <w:rPr>
          <w:rFonts w:ascii="Times New Roman" w:hAnsi="Times New Roman" w:eastAsia="仿宋_GB2312" w:cs="Times New Roman"/>
          <w:color w:val="auto"/>
          <w:kern w:val="0"/>
          <w:sz w:val="20"/>
          <w:szCs w:val="20"/>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821"/>
        <w:gridCol w:w="3336"/>
        <w:gridCol w:w="616"/>
        <w:gridCol w:w="1041"/>
        <w:gridCol w:w="1594"/>
        <w:gridCol w:w="1298"/>
        <w:gridCol w:w="1382"/>
      </w:tblGrid>
      <w:tr w14:paraId="0E5B5DB8">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634635E">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449BBDE1">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支出</w:t>
            </w:r>
          </w:p>
        </w:tc>
      </w:tr>
      <w:tr w14:paraId="7B607D98">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8E6B613">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0A85AE26">
            <w:pPr>
              <w:widowControl/>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0D1029D7">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7BB7ABEE">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062B3503">
            <w:pPr>
              <w:widowControl/>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4CAF6A11">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770EBC24">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17B367B2">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67A4DD54">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国有资本经营预算财政拨款</w:t>
            </w:r>
          </w:p>
        </w:tc>
      </w:tr>
      <w:tr w14:paraId="6D4C6F7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BAB0782">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49E2C22D">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1ED321A1">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25F3A81E">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7AEAAE93">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79A4B8E8">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334BB206">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4DF4CF97">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5D410ED0">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5</w:t>
            </w:r>
          </w:p>
        </w:tc>
      </w:tr>
      <w:tr w14:paraId="1B7360E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666114F">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5F6B972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027C3058">
            <w:pPr>
              <w:widowControl/>
              <w:jc w:val="right"/>
              <w:rPr>
                <w:rFonts w:ascii="Times New Roman" w:hAnsi="Times New Roman" w:eastAsia="仿宋_GB2312" w:cs="Times New Roman"/>
                <w:color w:val="auto"/>
                <w:kern w:val="0"/>
                <w:sz w:val="22"/>
              </w:rPr>
            </w:pPr>
            <w:r>
              <w:rPr>
                <w:rFonts w:hint="eastAsia" w:ascii="Times New Roman" w:hAnsi="Times New Roman" w:eastAsia="仿宋_GB2312" w:cs="Times New Roman"/>
                <w:color w:val="auto"/>
                <w:kern w:val="0"/>
                <w:sz w:val="22"/>
                <w:lang w:val="en-US" w:eastAsia="zh-CN"/>
              </w:rPr>
              <w:t>397.50</w:t>
            </w: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DE9051">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40A2B33D">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1B8E1362">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DD37A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E4CDA6">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C34734">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29710F7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CB9959F">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E8EC85F">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3E54F751">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1C113C">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10A8072D">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105D59B5">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12C4D2">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2376E4">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0DF65E">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78974DA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4A17248">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DAFD27F">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6AD7092A">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3B7218">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66DEDCC6">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4452E7AD">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A2925B9">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D2E2A7D">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156CA5">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546125AB">
        <w:tblPrEx>
          <w:tblCellMar>
            <w:top w:w="0" w:type="dxa"/>
            <w:left w:w="108" w:type="dxa"/>
            <w:bottom w:w="0" w:type="dxa"/>
            <w:right w:w="108" w:type="dxa"/>
          </w:tblCellMar>
        </w:tblPrEx>
        <w:trPr>
          <w:trHeight w:val="34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0E0D705">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C6A56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7A23D8FE">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862579">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41183368">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4C58197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06C9EED">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2465EB">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453A6F">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362A4268">
        <w:tblPrEx>
          <w:tblCellMar>
            <w:top w:w="0" w:type="dxa"/>
            <w:left w:w="108" w:type="dxa"/>
            <w:bottom w:w="0" w:type="dxa"/>
            <w:right w:w="108" w:type="dxa"/>
          </w:tblCellMar>
        </w:tblPrEx>
        <w:trPr>
          <w:trHeight w:val="31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9FD232E">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EA96FE">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2BCEBD79">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2A67CC">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10DA5D95">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4874F62D">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637FCF">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DFBA64D">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75E708">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189018B4">
        <w:tblPrEx>
          <w:tblCellMar>
            <w:top w:w="0" w:type="dxa"/>
            <w:left w:w="108" w:type="dxa"/>
            <w:bottom w:w="0" w:type="dxa"/>
            <w:right w:w="108" w:type="dxa"/>
          </w:tblCellMar>
        </w:tblPrEx>
        <w:trPr>
          <w:trHeight w:val="31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E935CBB">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E13C20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3B417BF1">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C1906F">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34D5E915">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206F85F9">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B2D810">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BBEB3E">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FFF16D">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7514629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06D9FD1">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496EFE">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2D3AB18C">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016D19">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14:paraId="698BEDA1">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7991AE94">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2F2974A">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6E9BCE">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097DD1">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5ADC2AC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65100FE">
            <w:pPr>
              <w:widowControl/>
              <w:jc w:val="lef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74A82AB">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3279CAA7">
            <w:pPr>
              <w:widowControl/>
              <w:jc w:val="lef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EA810F8">
            <w:pPr>
              <w:widowControl/>
              <w:jc w:val="left"/>
              <w:rPr>
                <w:rFonts w:hint="eastAsia" w:ascii="Times New Roman" w:hAnsi="Times New Roman" w:eastAsia="仿宋_GB2312" w:cs="Times New Roman"/>
                <w:color w:val="auto"/>
                <w:kern w:val="0"/>
                <w:sz w:val="22"/>
                <w:szCs w:val="22"/>
                <w:lang w:val="en-US" w:eastAsia="zh-CN" w:bidi="ar-SA"/>
              </w:rPr>
            </w:pPr>
            <w:r>
              <w:rPr>
                <w:rFonts w:hint="eastAsia" w:ascii="Times New Roman" w:hAnsi="Times New Roman" w:eastAsia="仿宋_GB2312" w:cs="Times New Roman"/>
                <w:color w:val="auto"/>
                <w:kern w:val="0"/>
                <w:sz w:val="22"/>
                <w:lang w:eastAsia="zh-CN"/>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3A524F12">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00B00EF6">
            <w:pPr>
              <w:widowControl/>
              <w:jc w:val="center"/>
              <w:rPr>
                <w:rFonts w:hint="default" w:ascii="Times New Roman" w:hAnsi="Times New Roman" w:eastAsia="仿宋_GB2312" w:cs="Times New Roman"/>
                <w:color w:val="auto"/>
                <w:kern w:val="0"/>
                <w:sz w:val="22"/>
                <w:lang w:val="en-US" w:eastAsia="zh-CN"/>
              </w:rPr>
            </w:pPr>
            <w:r>
              <w:rPr>
                <w:rFonts w:hint="eastAsia" w:ascii="Times New Roman" w:hAnsi="Times New Roman" w:eastAsia="仿宋_GB2312" w:cs="Times New Roman"/>
                <w:color w:val="auto"/>
                <w:kern w:val="0"/>
                <w:sz w:val="22"/>
                <w:lang w:val="en-US" w:eastAsia="zh-CN"/>
              </w:rPr>
              <w:t>27.66</w:t>
            </w:r>
          </w:p>
        </w:tc>
        <w:tc>
          <w:tcPr>
            <w:tcW w:w="0" w:type="auto"/>
            <w:tcBorders>
              <w:top w:val="nil"/>
              <w:left w:val="nil"/>
              <w:bottom w:val="single" w:color="auto" w:sz="4" w:space="0"/>
              <w:right w:val="single" w:color="auto" w:sz="4" w:space="0"/>
            </w:tcBorders>
            <w:shd w:val="clear" w:color="auto" w:fill="auto"/>
            <w:noWrap/>
            <w:vAlign w:val="center"/>
          </w:tcPr>
          <w:p w14:paraId="17A3C0CE">
            <w:pPr>
              <w:widowControl/>
              <w:jc w:val="center"/>
              <w:rPr>
                <w:rFonts w:hint="default" w:ascii="Times New Roman" w:hAnsi="Times New Roman" w:eastAsia="仿宋_GB2312" w:cs="Times New Roman"/>
                <w:color w:val="auto"/>
                <w:kern w:val="0"/>
                <w:sz w:val="22"/>
                <w:szCs w:val="22"/>
                <w:lang w:val="en-US" w:eastAsia="zh-CN" w:bidi="ar-SA"/>
              </w:rPr>
            </w:pPr>
            <w:r>
              <w:rPr>
                <w:rFonts w:hint="eastAsia" w:ascii="Times New Roman" w:hAnsi="Times New Roman" w:eastAsia="仿宋_GB2312" w:cs="Times New Roman"/>
                <w:color w:val="auto"/>
                <w:kern w:val="0"/>
                <w:sz w:val="22"/>
                <w:lang w:val="en-US" w:eastAsia="zh-CN"/>
              </w:rPr>
              <w:t>27.66</w:t>
            </w:r>
          </w:p>
        </w:tc>
        <w:tc>
          <w:tcPr>
            <w:tcW w:w="0" w:type="auto"/>
            <w:tcBorders>
              <w:top w:val="nil"/>
              <w:left w:val="nil"/>
              <w:bottom w:val="single" w:color="auto" w:sz="4" w:space="0"/>
              <w:right w:val="single" w:color="auto" w:sz="4" w:space="0"/>
            </w:tcBorders>
            <w:shd w:val="clear" w:color="auto" w:fill="auto"/>
            <w:noWrap/>
            <w:vAlign w:val="center"/>
          </w:tcPr>
          <w:p w14:paraId="4B5E2EDC">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24197FB">
            <w:pPr>
              <w:widowControl/>
              <w:jc w:val="center"/>
              <w:rPr>
                <w:rFonts w:ascii="Times New Roman" w:hAnsi="Times New Roman" w:eastAsia="仿宋_GB2312" w:cs="Times New Roman"/>
                <w:color w:val="auto"/>
                <w:kern w:val="0"/>
                <w:sz w:val="22"/>
              </w:rPr>
            </w:pPr>
          </w:p>
        </w:tc>
      </w:tr>
      <w:tr w14:paraId="0739B17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BBE6C5B">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9183B8">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6ACB563C">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314976">
            <w:pPr>
              <w:widowControl/>
              <w:jc w:val="left"/>
              <w:rPr>
                <w:rFonts w:hint="eastAsia" w:ascii="Times New Roman" w:hAnsi="Times New Roman" w:eastAsia="仿宋_GB2312" w:cs="Times New Roman"/>
                <w:b w:val="0"/>
                <w:bCs w:val="0"/>
                <w:color w:val="auto"/>
                <w:kern w:val="0"/>
                <w:sz w:val="22"/>
                <w:szCs w:val="22"/>
                <w:lang w:val="en-US" w:eastAsia="zh-CN" w:bidi="ar-SA"/>
              </w:rPr>
            </w:pPr>
            <w:r>
              <w:rPr>
                <w:rFonts w:hint="eastAsia" w:ascii="Times New Roman" w:hAnsi="Times New Roman" w:eastAsia="仿宋_GB2312" w:cs="Times New Roman"/>
                <w:b w:val="0"/>
                <w:bCs w:val="0"/>
                <w:color w:val="auto"/>
                <w:kern w:val="0"/>
                <w:sz w:val="22"/>
                <w:lang w:eastAsia="zh-CN"/>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514D5C1C">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4C8C4182">
            <w:pPr>
              <w:widowControl/>
              <w:jc w:val="center"/>
              <w:rPr>
                <w:rFonts w:hint="default" w:ascii="Times New Roman" w:hAnsi="Times New Roman" w:eastAsia="仿宋_GB2312" w:cs="Times New Roman"/>
                <w:color w:val="auto"/>
                <w:kern w:val="0"/>
                <w:sz w:val="22"/>
                <w:lang w:val="en-US" w:eastAsia="zh-CN"/>
              </w:rPr>
            </w:pPr>
            <w:r>
              <w:rPr>
                <w:rFonts w:hint="eastAsia" w:ascii="Times New Roman" w:hAnsi="Times New Roman" w:eastAsia="仿宋_GB2312" w:cs="Times New Roman"/>
                <w:color w:val="auto"/>
                <w:kern w:val="0"/>
                <w:sz w:val="22"/>
                <w:lang w:val="en-US" w:eastAsia="zh-CN"/>
              </w:rPr>
              <w:t>369.84</w:t>
            </w:r>
          </w:p>
        </w:tc>
        <w:tc>
          <w:tcPr>
            <w:tcW w:w="0" w:type="auto"/>
            <w:tcBorders>
              <w:top w:val="nil"/>
              <w:left w:val="nil"/>
              <w:bottom w:val="single" w:color="auto" w:sz="4" w:space="0"/>
              <w:right w:val="single" w:color="auto" w:sz="4" w:space="0"/>
            </w:tcBorders>
            <w:shd w:val="clear" w:color="auto" w:fill="auto"/>
            <w:noWrap/>
            <w:vAlign w:val="center"/>
          </w:tcPr>
          <w:p w14:paraId="14DEADAC">
            <w:pPr>
              <w:widowControl/>
              <w:jc w:val="center"/>
              <w:rPr>
                <w:rFonts w:hint="default" w:ascii="Times New Roman" w:hAnsi="Times New Roman" w:eastAsia="仿宋_GB2312" w:cs="Times New Roman"/>
                <w:color w:val="auto"/>
                <w:kern w:val="0"/>
                <w:sz w:val="22"/>
                <w:szCs w:val="22"/>
                <w:lang w:val="en-US" w:eastAsia="zh-CN" w:bidi="ar-SA"/>
              </w:rPr>
            </w:pPr>
            <w:r>
              <w:rPr>
                <w:rFonts w:hint="eastAsia" w:ascii="Times New Roman" w:hAnsi="Times New Roman" w:eastAsia="仿宋_GB2312" w:cs="Times New Roman"/>
                <w:color w:val="auto"/>
                <w:kern w:val="0"/>
                <w:sz w:val="22"/>
                <w:lang w:val="en-US" w:eastAsia="zh-CN"/>
              </w:rPr>
              <w:t>369.84</w:t>
            </w:r>
          </w:p>
        </w:tc>
        <w:tc>
          <w:tcPr>
            <w:tcW w:w="0" w:type="auto"/>
            <w:tcBorders>
              <w:top w:val="nil"/>
              <w:left w:val="nil"/>
              <w:bottom w:val="single" w:color="auto" w:sz="4" w:space="0"/>
              <w:right w:val="single" w:color="auto" w:sz="4" w:space="0"/>
            </w:tcBorders>
            <w:shd w:val="clear" w:color="auto" w:fill="auto"/>
            <w:noWrap/>
            <w:vAlign w:val="center"/>
          </w:tcPr>
          <w:p w14:paraId="58B08AC3">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3C2BB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2E7FDB4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A2FCADA">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13572328">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268F5E4B">
            <w:pPr>
              <w:widowControl/>
              <w:jc w:val="right"/>
              <w:rPr>
                <w:rFonts w:ascii="Times New Roman" w:hAnsi="Times New Roman" w:eastAsia="仿宋_GB2312" w:cs="Times New Roman"/>
                <w:color w:val="auto"/>
                <w:kern w:val="0"/>
                <w:sz w:val="22"/>
              </w:rPr>
            </w:pPr>
            <w:r>
              <w:rPr>
                <w:rFonts w:hint="eastAsia" w:ascii="Times New Roman" w:hAnsi="Times New Roman" w:eastAsia="仿宋_GB2312" w:cs="Times New Roman"/>
                <w:color w:val="auto"/>
                <w:kern w:val="0"/>
                <w:sz w:val="22"/>
                <w:lang w:val="en-US" w:eastAsia="zh-CN"/>
              </w:rPr>
              <w:t>397.50</w:t>
            </w: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48D7D7">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5727B5E4">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142F4390">
            <w:pPr>
              <w:widowControl/>
              <w:jc w:val="center"/>
              <w:rPr>
                <w:rFonts w:ascii="Times New Roman" w:hAnsi="Times New Roman" w:eastAsia="仿宋_GB2312" w:cs="Times New Roman"/>
                <w:color w:val="auto"/>
                <w:kern w:val="0"/>
                <w:sz w:val="22"/>
              </w:rPr>
            </w:pPr>
            <w:r>
              <w:rPr>
                <w:rFonts w:hint="eastAsia" w:ascii="Times New Roman" w:hAnsi="Times New Roman" w:eastAsia="仿宋_GB2312" w:cs="Times New Roman"/>
                <w:color w:val="auto"/>
                <w:kern w:val="0"/>
                <w:sz w:val="22"/>
                <w:lang w:val="en-US" w:eastAsia="zh-CN"/>
              </w:rPr>
              <w:t>397.50</w:t>
            </w: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5E1A59">
            <w:pPr>
              <w:widowControl/>
              <w:jc w:val="center"/>
              <w:rPr>
                <w:rFonts w:ascii="Times New Roman" w:hAnsi="Times New Roman" w:eastAsia="仿宋_GB2312" w:cs="Times New Roman"/>
                <w:color w:val="auto"/>
                <w:kern w:val="0"/>
                <w:sz w:val="22"/>
                <w:szCs w:val="22"/>
                <w:lang w:val="en-US" w:eastAsia="zh-CN" w:bidi="ar-SA"/>
              </w:rPr>
            </w:pPr>
            <w:r>
              <w:rPr>
                <w:rFonts w:hint="eastAsia" w:ascii="Times New Roman" w:hAnsi="Times New Roman" w:eastAsia="仿宋_GB2312" w:cs="Times New Roman"/>
                <w:color w:val="auto"/>
                <w:kern w:val="0"/>
                <w:sz w:val="22"/>
                <w:lang w:val="en-US" w:eastAsia="zh-CN"/>
              </w:rPr>
              <w:t>397.50</w:t>
            </w: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528B211">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F56C1D">
            <w:pPr>
              <w:widowControl/>
              <w:jc w:val="left"/>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　</w:t>
            </w:r>
          </w:p>
        </w:tc>
      </w:tr>
      <w:tr w14:paraId="3FD362B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FCE4076">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564E05F5">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6F87B055">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4DE35D">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7357F6E2">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2CD7213A">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5120C7">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3C1757">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76E224">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1763048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D1EFEF9">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518CB74C">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40244EC1">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1FB5C6">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B9DF62">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2BB122B2">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74C96A">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07D8D9">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B0823D">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4863B7A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C84A27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42B0027">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5DD58873">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4B0D59">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4CB72A6F">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28</w:t>
            </w:r>
          </w:p>
        </w:tc>
        <w:tc>
          <w:tcPr>
            <w:tcW w:w="0" w:type="auto"/>
            <w:tcBorders>
              <w:top w:val="nil"/>
              <w:left w:val="nil"/>
              <w:bottom w:val="single" w:color="auto" w:sz="4" w:space="0"/>
              <w:right w:val="single" w:color="auto" w:sz="4" w:space="0"/>
            </w:tcBorders>
            <w:shd w:val="clear" w:color="auto" w:fill="auto"/>
            <w:noWrap/>
            <w:vAlign w:val="center"/>
          </w:tcPr>
          <w:p w14:paraId="1612758F">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8B988A">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21BDDF">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49068D">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14C90F6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C8EEB83">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000000" w:fill="FFFFFF"/>
            <w:noWrap/>
            <w:vAlign w:val="center"/>
          </w:tcPr>
          <w:p w14:paraId="19A7D68F">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4662C55D">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057102">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41D80B71">
            <w:pPr>
              <w:widowControl/>
              <w:jc w:val="center"/>
              <w:rPr>
                <w:rFonts w:hint="default" w:ascii="Times New Roman" w:hAnsi="Times New Roman" w:eastAsia="仿宋_GB2312" w:cs="Times New Roman"/>
                <w:color w:val="auto"/>
                <w:kern w:val="0"/>
                <w:sz w:val="22"/>
                <w:szCs w:val="22"/>
                <w:lang w:val="en-US" w:eastAsia="zh-CN" w:bidi="ar-SA"/>
              </w:rPr>
            </w:pPr>
            <w:r>
              <w:rPr>
                <w:rFonts w:hint="eastAsia" w:ascii="Times New Roman" w:hAnsi="Times New Roman" w:eastAsia="仿宋_GB2312" w:cs="Times New Roman"/>
                <w:color w:val="auto"/>
                <w:kern w:val="0"/>
                <w:sz w:val="22"/>
                <w:lang w:val="en-US" w:eastAsia="zh-CN"/>
              </w:rPr>
              <w:t>29</w:t>
            </w:r>
          </w:p>
        </w:tc>
        <w:tc>
          <w:tcPr>
            <w:tcW w:w="0" w:type="auto"/>
            <w:tcBorders>
              <w:top w:val="nil"/>
              <w:left w:val="nil"/>
              <w:bottom w:val="single" w:color="auto" w:sz="4" w:space="0"/>
              <w:right w:val="single" w:color="auto" w:sz="4" w:space="0"/>
            </w:tcBorders>
            <w:shd w:val="clear" w:color="auto" w:fill="auto"/>
            <w:noWrap/>
            <w:vAlign w:val="center"/>
          </w:tcPr>
          <w:p w14:paraId="1056287A">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446FAA">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82EDA9">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18A815">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58B236F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79263D3">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9B1AF3F">
            <w:pPr>
              <w:widowControl/>
              <w:jc w:val="center"/>
              <w:rPr>
                <w:rFonts w:hint="default" w:ascii="Times New Roman" w:hAnsi="Times New Roman" w:eastAsia="仿宋_GB2312" w:cs="Times New Roman"/>
                <w:color w:val="auto"/>
                <w:kern w:val="0"/>
                <w:sz w:val="22"/>
                <w:lang w:val="en-US" w:eastAsia="zh-CN"/>
              </w:rPr>
            </w:pPr>
            <w:r>
              <w:rPr>
                <w:rFonts w:hint="eastAsia" w:ascii="Times New Roman" w:hAnsi="Times New Roman" w:eastAsia="仿宋_GB2312" w:cs="Times New Roman"/>
                <w:color w:val="auto"/>
                <w:kern w:val="0"/>
                <w:sz w:val="22"/>
                <w:lang w:val="en-US" w:eastAsia="zh-CN"/>
              </w:rPr>
              <w:t>15</w:t>
            </w:r>
          </w:p>
        </w:tc>
        <w:tc>
          <w:tcPr>
            <w:tcW w:w="0" w:type="auto"/>
            <w:tcBorders>
              <w:top w:val="nil"/>
              <w:left w:val="nil"/>
              <w:bottom w:val="single" w:color="auto" w:sz="4" w:space="0"/>
              <w:right w:val="single" w:color="auto" w:sz="4" w:space="0"/>
            </w:tcBorders>
            <w:shd w:val="clear" w:color="auto" w:fill="auto"/>
            <w:noWrap/>
            <w:vAlign w:val="center"/>
          </w:tcPr>
          <w:p w14:paraId="790643D8">
            <w:pPr>
              <w:widowControl/>
              <w:jc w:val="right"/>
              <w:rPr>
                <w:rFonts w:ascii="Times New Roman" w:hAnsi="Times New Roman" w:eastAsia="仿宋_GB2312" w:cs="Times New Roman"/>
                <w:color w:val="auto"/>
                <w:kern w:val="0"/>
                <w:sz w:val="22"/>
              </w:rPr>
            </w:pPr>
            <w:r>
              <w:rPr>
                <w:rFonts w:hint="eastAsia" w:ascii="Times New Roman" w:hAnsi="Times New Roman" w:eastAsia="仿宋_GB2312" w:cs="Times New Roman"/>
                <w:color w:val="auto"/>
                <w:kern w:val="0"/>
                <w:sz w:val="22"/>
                <w:lang w:val="en-US" w:eastAsia="zh-CN"/>
              </w:rPr>
              <w:t>397.50</w:t>
            </w: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11142841">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04DE0730">
            <w:pPr>
              <w:widowControl/>
              <w:jc w:val="center"/>
              <w:rPr>
                <w:rFonts w:hint="default" w:ascii="Times New Roman" w:hAnsi="Times New Roman" w:eastAsia="仿宋_GB2312" w:cs="Times New Roman"/>
                <w:color w:val="auto"/>
                <w:kern w:val="0"/>
                <w:sz w:val="22"/>
                <w:lang w:val="en-US" w:eastAsia="zh-CN"/>
              </w:rPr>
            </w:pPr>
            <w:r>
              <w:rPr>
                <w:rFonts w:hint="eastAsia" w:ascii="Times New Roman" w:hAnsi="Times New Roman" w:eastAsia="仿宋_GB2312" w:cs="Times New Roman"/>
                <w:color w:val="auto"/>
                <w:kern w:val="0"/>
                <w:sz w:val="22"/>
                <w:lang w:val="en-US" w:eastAsia="zh-CN"/>
              </w:rPr>
              <w:t>30</w:t>
            </w:r>
          </w:p>
        </w:tc>
        <w:tc>
          <w:tcPr>
            <w:tcW w:w="0" w:type="auto"/>
            <w:tcBorders>
              <w:top w:val="nil"/>
              <w:left w:val="nil"/>
              <w:bottom w:val="single" w:color="auto" w:sz="4" w:space="0"/>
              <w:right w:val="single" w:color="auto" w:sz="4" w:space="0"/>
            </w:tcBorders>
            <w:shd w:val="clear" w:color="000000" w:fill="FFFFFF"/>
            <w:noWrap/>
            <w:vAlign w:val="center"/>
          </w:tcPr>
          <w:p w14:paraId="42A27649">
            <w:pPr>
              <w:widowControl/>
              <w:jc w:val="center"/>
              <w:rPr>
                <w:rFonts w:hint="default" w:ascii="Times New Roman" w:hAnsi="Times New Roman" w:eastAsia="仿宋_GB2312" w:cs="Times New Roman"/>
                <w:color w:val="auto"/>
                <w:kern w:val="0"/>
                <w:sz w:val="22"/>
                <w:lang w:val="en-US" w:eastAsia="zh-CN"/>
              </w:rPr>
            </w:pPr>
            <w:r>
              <w:rPr>
                <w:rFonts w:ascii="Times New Roman" w:hAnsi="Times New Roman" w:eastAsia="仿宋_GB2312" w:cs="Times New Roman"/>
                <w:color w:val="auto"/>
                <w:kern w:val="0"/>
                <w:sz w:val="22"/>
              </w:rPr>
              <w:t>　</w:t>
            </w:r>
            <w:r>
              <w:rPr>
                <w:rFonts w:hint="eastAsia" w:ascii="Times New Roman" w:hAnsi="Times New Roman" w:eastAsia="仿宋_GB2312" w:cs="Times New Roman"/>
                <w:color w:val="auto"/>
                <w:kern w:val="0"/>
                <w:sz w:val="22"/>
                <w:lang w:val="en-US" w:eastAsia="zh-CN"/>
              </w:rPr>
              <w:t>397.50</w:t>
            </w:r>
          </w:p>
        </w:tc>
        <w:tc>
          <w:tcPr>
            <w:tcW w:w="0" w:type="auto"/>
            <w:tcBorders>
              <w:top w:val="nil"/>
              <w:left w:val="nil"/>
              <w:bottom w:val="single" w:color="auto" w:sz="4" w:space="0"/>
              <w:right w:val="single" w:color="auto" w:sz="4" w:space="0"/>
            </w:tcBorders>
            <w:shd w:val="clear" w:color="000000" w:fill="FFFFFF"/>
            <w:noWrap/>
            <w:vAlign w:val="center"/>
          </w:tcPr>
          <w:p w14:paraId="436833DF">
            <w:pPr>
              <w:widowControl/>
              <w:jc w:val="center"/>
              <w:rPr>
                <w:rFonts w:hint="default"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　</w:t>
            </w:r>
            <w:r>
              <w:rPr>
                <w:rFonts w:hint="eastAsia" w:ascii="Times New Roman" w:hAnsi="Times New Roman" w:eastAsia="仿宋_GB2312" w:cs="Times New Roman"/>
                <w:color w:val="auto"/>
                <w:kern w:val="0"/>
                <w:sz w:val="22"/>
                <w:lang w:val="en-US" w:eastAsia="zh-CN"/>
              </w:rPr>
              <w:t>397.50</w:t>
            </w:r>
          </w:p>
        </w:tc>
        <w:tc>
          <w:tcPr>
            <w:tcW w:w="0" w:type="auto"/>
            <w:tcBorders>
              <w:top w:val="nil"/>
              <w:left w:val="nil"/>
              <w:bottom w:val="single" w:color="auto" w:sz="4" w:space="0"/>
              <w:right w:val="single" w:color="auto" w:sz="4" w:space="0"/>
            </w:tcBorders>
            <w:shd w:val="clear" w:color="auto" w:fill="auto"/>
            <w:noWrap/>
            <w:vAlign w:val="center"/>
          </w:tcPr>
          <w:p w14:paraId="0F31B440">
            <w:pPr>
              <w:widowControl/>
              <w:jc w:val="left"/>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D51BB0C">
            <w:pPr>
              <w:widowControl/>
              <w:jc w:val="left"/>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　</w:t>
            </w:r>
          </w:p>
        </w:tc>
      </w:tr>
    </w:tbl>
    <w:p w14:paraId="49AC9C27">
      <w:pPr>
        <w:widowControl/>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注：</w:t>
      </w:r>
      <w:r>
        <w:rPr>
          <w:rFonts w:ascii="Times New Roman" w:hAnsi="Times New Roman" w:eastAsia="仿宋_GB2312" w:cs="Times New Roman"/>
          <w:color w:val="auto"/>
          <w:spacing w:val="-6"/>
          <w:kern w:val="0"/>
          <w:sz w:val="24"/>
          <w:szCs w:val="24"/>
        </w:rPr>
        <w:t>本表反映部门本年度一般公共预算财政拨款、政府性基金预算财政拨款和国有资本经营预算财政拨款的总收支和年末结转结余情况。</w:t>
      </w:r>
    </w:p>
    <w:p w14:paraId="1F059F5E">
      <w:pPr>
        <w:widowControl/>
        <w:jc w:val="center"/>
        <w:rPr>
          <w:rFonts w:ascii="Times New Roman" w:hAnsi="Times New Roman" w:eastAsia="方正小标宋_GBK" w:cs="Times New Roman"/>
          <w:color w:val="auto"/>
          <w:kern w:val="0"/>
          <w:sz w:val="36"/>
          <w:szCs w:val="36"/>
        </w:rPr>
      </w:pPr>
    </w:p>
    <w:p w14:paraId="152A92A1">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一般公共预算财政拨款支出决算表</w:t>
      </w:r>
      <w:bookmarkEnd w:id="1"/>
    </w:p>
    <w:p w14:paraId="509D2E9D">
      <w:pPr>
        <w:widowControl/>
        <w:spacing w:before="156" w:beforeLines="50"/>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xml:space="preserve">     部门：</w:t>
      </w:r>
      <w:r>
        <w:rPr>
          <w:rFonts w:hint="eastAsia" w:ascii="Times New Roman" w:hAnsi="Times New Roman" w:eastAsia="仿宋_GB2312" w:cs="Times New Roman"/>
          <w:color w:val="auto"/>
          <w:kern w:val="0"/>
          <w:szCs w:val="21"/>
          <w:lang w:eastAsia="zh-CN"/>
        </w:rPr>
        <w:t>蓝山县毛俊镇中心卫生院</w:t>
      </w:r>
      <w:r>
        <w:rPr>
          <w:rFonts w:hint="eastAsia" w:ascii="Times New Roman" w:hAnsi="Times New Roman" w:eastAsia="仿宋_GB2312" w:cs="Times New Roman"/>
          <w:color w:val="auto"/>
          <w:kern w:val="0"/>
          <w:szCs w:val="21"/>
          <w:lang w:val="en-US" w:eastAsia="zh-CN"/>
        </w:rPr>
        <w:t xml:space="preserve"> </w:t>
      </w:r>
      <w:r>
        <w:rPr>
          <w:rFonts w:ascii="Times New Roman" w:hAnsi="Times New Roman" w:eastAsia="仿宋_GB2312" w:cs="Times New Roman"/>
          <w:color w:val="auto"/>
          <w:kern w:val="0"/>
          <w:szCs w:val="21"/>
        </w:rPr>
        <w:t xml:space="preserve">                                                                              公开05表</w:t>
      </w:r>
    </w:p>
    <w:p w14:paraId="34BF6090">
      <w:pPr>
        <w:widowControl/>
        <w:jc w:val="left"/>
        <w:rPr>
          <w:rFonts w:ascii="Times New Roman" w:hAnsi="Times New Roman" w:eastAsia="宋体" w:cs="Times New Roman"/>
          <w:color w:val="auto"/>
          <w:kern w:val="0"/>
          <w:sz w:val="20"/>
          <w:szCs w:val="20"/>
        </w:rPr>
      </w:pPr>
      <w:r>
        <w:rPr>
          <w:rFonts w:ascii="Times New Roman" w:hAnsi="Times New Roman" w:eastAsia="仿宋_GB2312" w:cs="Times New Roman"/>
          <w:color w:val="auto"/>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773"/>
        <w:gridCol w:w="2754"/>
        <w:gridCol w:w="3492"/>
        <w:gridCol w:w="3000"/>
      </w:tblGrid>
      <w:tr w14:paraId="17E92044">
        <w:tblPrEx>
          <w:tblCellMar>
            <w:top w:w="0" w:type="dxa"/>
            <w:left w:w="108" w:type="dxa"/>
            <w:bottom w:w="0" w:type="dxa"/>
            <w:right w:w="108" w:type="dxa"/>
          </w:tblCellMar>
        </w:tblPrEx>
        <w:trPr>
          <w:trHeight w:val="545" w:hRule="atLeast"/>
          <w:jc w:val="center"/>
        </w:trPr>
        <w:tc>
          <w:tcPr>
            <w:tcW w:w="4973"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37A07667">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    目</w:t>
            </w:r>
          </w:p>
        </w:tc>
        <w:tc>
          <w:tcPr>
            <w:tcW w:w="9246" w:type="dxa"/>
            <w:gridSpan w:val="3"/>
            <w:tcBorders>
              <w:top w:val="single" w:color="auto" w:sz="8" w:space="0"/>
              <w:left w:val="nil"/>
              <w:bottom w:val="single" w:color="auto" w:sz="4" w:space="0"/>
              <w:right w:val="single" w:color="000000" w:sz="8" w:space="0"/>
            </w:tcBorders>
            <w:shd w:val="clear" w:color="auto" w:fill="auto"/>
            <w:vAlign w:val="center"/>
          </w:tcPr>
          <w:p w14:paraId="7DF29C48">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本年支出</w:t>
            </w:r>
          </w:p>
        </w:tc>
      </w:tr>
      <w:tr w14:paraId="77989676">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E0AE165">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功能分类科目编码</w:t>
            </w:r>
          </w:p>
        </w:tc>
        <w:tc>
          <w:tcPr>
            <w:tcW w:w="3773" w:type="dxa"/>
            <w:vMerge w:val="restart"/>
            <w:tcBorders>
              <w:top w:val="nil"/>
              <w:left w:val="single" w:color="auto" w:sz="4" w:space="0"/>
              <w:bottom w:val="single" w:color="auto" w:sz="4" w:space="0"/>
              <w:right w:val="single" w:color="auto" w:sz="4" w:space="0"/>
            </w:tcBorders>
            <w:shd w:val="clear" w:color="auto" w:fill="auto"/>
            <w:vAlign w:val="center"/>
          </w:tcPr>
          <w:p w14:paraId="128F454C">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科目名称</w:t>
            </w:r>
          </w:p>
        </w:tc>
        <w:tc>
          <w:tcPr>
            <w:tcW w:w="2754" w:type="dxa"/>
            <w:vMerge w:val="restart"/>
            <w:tcBorders>
              <w:top w:val="nil"/>
              <w:left w:val="single" w:color="auto" w:sz="4" w:space="0"/>
              <w:bottom w:val="single" w:color="000000" w:sz="4" w:space="0"/>
              <w:right w:val="single" w:color="auto" w:sz="4" w:space="0"/>
            </w:tcBorders>
            <w:shd w:val="clear" w:color="auto" w:fill="auto"/>
            <w:vAlign w:val="center"/>
          </w:tcPr>
          <w:p w14:paraId="3A17CC50">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4AC81B5B">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D016EE1">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项目支出</w:t>
            </w:r>
          </w:p>
        </w:tc>
      </w:tr>
      <w:tr w14:paraId="2D4ED1BD">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CFC313B">
            <w:pPr>
              <w:widowControl/>
              <w:jc w:val="left"/>
              <w:rPr>
                <w:rFonts w:ascii="Times New Roman" w:hAnsi="Times New Roman" w:eastAsia="仿宋_GB2312" w:cs="Times New Roman"/>
                <w:color w:val="auto"/>
                <w:kern w:val="0"/>
                <w:szCs w:val="21"/>
              </w:rPr>
            </w:pPr>
          </w:p>
        </w:tc>
        <w:tc>
          <w:tcPr>
            <w:tcW w:w="3773" w:type="dxa"/>
            <w:vMerge w:val="continue"/>
            <w:tcBorders>
              <w:top w:val="nil"/>
              <w:left w:val="single" w:color="auto" w:sz="4" w:space="0"/>
              <w:bottom w:val="single" w:color="auto" w:sz="4" w:space="0"/>
              <w:right w:val="single" w:color="auto" w:sz="4" w:space="0"/>
            </w:tcBorders>
            <w:vAlign w:val="center"/>
          </w:tcPr>
          <w:p w14:paraId="5C0AF277">
            <w:pPr>
              <w:widowControl/>
              <w:jc w:val="left"/>
              <w:rPr>
                <w:rFonts w:ascii="Times New Roman" w:hAnsi="Times New Roman" w:eastAsia="仿宋_GB2312" w:cs="Times New Roman"/>
                <w:color w:val="auto"/>
                <w:kern w:val="0"/>
                <w:szCs w:val="21"/>
              </w:rPr>
            </w:pPr>
          </w:p>
        </w:tc>
        <w:tc>
          <w:tcPr>
            <w:tcW w:w="2754" w:type="dxa"/>
            <w:vMerge w:val="continue"/>
            <w:tcBorders>
              <w:top w:val="nil"/>
              <w:left w:val="single" w:color="auto" w:sz="4" w:space="0"/>
              <w:bottom w:val="single" w:color="000000" w:sz="4" w:space="0"/>
              <w:right w:val="single" w:color="auto" w:sz="4" w:space="0"/>
            </w:tcBorders>
            <w:vAlign w:val="center"/>
          </w:tcPr>
          <w:p w14:paraId="4DF0DFA4">
            <w:pPr>
              <w:widowControl/>
              <w:jc w:val="left"/>
              <w:rPr>
                <w:rFonts w:ascii="Times New Roman" w:hAnsi="Times New Roman" w:eastAsia="仿宋_GB2312" w:cs="Times New Roman"/>
                <w:color w:val="auto"/>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E4E235B">
            <w:pPr>
              <w:widowControl/>
              <w:jc w:val="left"/>
              <w:rPr>
                <w:rFonts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BBA3A15">
            <w:pPr>
              <w:widowControl/>
              <w:jc w:val="left"/>
              <w:rPr>
                <w:rFonts w:ascii="Times New Roman" w:hAnsi="Times New Roman" w:eastAsia="仿宋_GB2312" w:cs="Times New Roman"/>
                <w:color w:val="auto"/>
                <w:kern w:val="0"/>
                <w:szCs w:val="21"/>
              </w:rPr>
            </w:pPr>
          </w:p>
        </w:tc>
      </w:tr>
      <w:tr w14:paraId="277D2B00">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3801109">
            <w:pPr>
              <w:widowControl/>
              <w:jc w:val="left"/>
              <w:rPr>
                <w:rFonts w:ascii="Times New Roman" w:hAnsi="Times New Roman" w:eastAsia="仿宋_GB2312" w:cs="Times New Roman"/>
                <w:color w:val="auto"/>
                <w:kern w:val="0"/>
                <w:szCs w:val="21"/>
              </w:rPr>
            </w:pPr>
          </w:p>
        </w:tc>
        <w:tc>
          <w:tcPr>
            <w:tcW w:w="3773" w:type="dxa"/>
            <w:vMerge w:val="continue"/>
            <w:tcBorders>
              <w:top w:val="nil"/>
              <w:left w:val="single" w:color="auto" w:sz="4" w:space="0"/>
              <w:bottom w:val="single" w:color="auto" w:sz="4" w:space="0"/>
              <w:right w:val="single" w:color="auto" w:sz="4" w:space="0"/>
            </w:tcBorders>
            <w:vAlign w:val="center"/>
          </w:tcPr>
          <w:p w14:paraId="3294A10F">
            <w:pPr>
              <w:widowControl/>
              <w:jc w:val="left"/>
              <w:rPr>
                <w:rFonts w:ascii="Times New Roman" w:hAnsi="Times New Roman" w:eastAsia="仿宋_GB2312" w:cs="Times New Roman"/>
                <w:color w:val="auto"/>
                <w:kern w:val="0"/>
                <w:szCs w:val="21"/>
              </w:rPr>
            </w:pPr>
          </w:p>
        </w:tc>
        <w:tc>
          <w:tcPr>
            <w:tcW w:w="2754" w:type="dxa"/>
            <w:vMerge w:val="continue"/>
            <w:tcBorders>
              <w:top w:val="nil"/>
              <w:left w:val="single" w:color="auto" w:sz="4" w:space="0"/>
              <w:bottom w:val="single" w:color="000000" w:sz="4" w:space="0"/>
              <w:right w:val="single" w:color="auto" w:sz="4" w:space="0"/>
            </w:tcBorders>
            <w:vAlign w:val="center"/>
          </w:tcPr>
          <w:p w14:paraId="147F8D04">
            <w:pPr>
              <w:widowControl/>
              <w:jc w:val="left"/>
              <w:rPr>
                <w:rFonts w:ascii="Times New Roman" w:hAnsi="Times New Roman" w:eastAsia="仿宋_GB2312" w:cs="Times New Roman"/>
                <w:color w:val="auto"/>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5350D64">
            <w:pPr>
              <w:widowControl/>
              <w:jc w:val="left"/>
              <w:rPr>
                <w:rFonts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FC24AE5">
            <w:pPr>
              <w:widowControl/>
              <w:jc w:val="left"/>
              <w:rPr>
                <w:rFonts w:ascii="Times New Roman" w:hAnsi="Times New Roman" w:eastAsia="仿宋_GB2312" w:cs="Times New Roman"/>
                <w:color w:val="auto"/>
                <w:kern w:val="0"/>
                <w:szCs w:val="21"/>
              </w:rPr>
            </w:pPr>
          </w:p>
        </w:tc>
      </w:tr>
      <w:tr w14:paraId="6433E33F">
        <w:tblPrEx>
          <w:tblCellMar>
            <w:top w:w="0" w:type="dxa"/>
            <w:left w:w="108" w:type="dxa"/>
            <w:bottom w:w="0" w:type="dxa"/>
            <w:right w:w="108" w:type="dxa"/>
          </w:tblCellMar>
        </w:tblPrEx>
        <w:trPr>
          <w:trHeight w:val="450" w:hRule="atLeast"/>
          <w:jc w:val="center"/>
        </w:trPr>
        <w:tc>
          <w:tcPr>
            <w:tcW w:w="497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043DAD3">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栏次</w:t>
            </w:r>
          </w:p>
        </w:tc>
        <w:tc>
          <w:tcPr>
            <w:tcW w:w="2754" w:type="dxa"/>
            <w:tcBorders>
              <w:top w:val="nil"/>
              <w:left w:val="nil"/>
              <w:bottom w:val="single" w:color="auto" w:sz="4" w:space="0"/>
              <w:right w:val="single" w:color="auto" w:sz="4" w:space="0"/>
            </w:tcBorders>
            <w:shd w:val="clear" w:color="auto" w:fill="auto"/>
            <w:vAlign w:val="center"/>
          </w:tcPr>
          <w:p w14:paraId="6BAB9AD4">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651C411">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3D3CF8FD">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3</w:t>
            </w:r>
          </w:p>
        </w:tc>
      </w:tr>
      <w:tr w14:paraId="52E7E20F">
        <w:tblPrEx>
          <w:tblCellMar>
            <w:top w:w="0" w:type="dxa"/>
            <w:left w:w="108" w:type="dxa"/>
            <w:bottom w:w="0" w:type="dxa"/>
            <w:right w:w="108" w:type="dxa"/>
          </w:tblCellMar>
        </w:tblPrEx>
        <w:trPr>
          <w:trHeight w:val="450" w:hRule="atLeast"/>
          <w:jc w:val="center"/>
        </w:trPr>
        <w:tc>
          <w:tcPr>
            <w:tcW w:w="497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C7DE4F9">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合计</w:t>
            </w:r>
          </w:p>
        </w:tc>
        <w:tc>
          <w:tcPr>
            <w:tcW w:w="2754" w:type="dxa"/>
            <w:tcBorders>
              <w:top w:val="nil"/>
              <w:left w:val="nil"/>
              <w:bottom w:val="single" w:color="auto" w:sz="4" w:space="0"/>
              <w:right w:val="single" w:color="auto" w:sz="4" w:space="0"/>
            </w:tcBorders>
            <w:shd w:val="clear" w:color="auto" w:fill="auto"/>
            <w:vAlign w:val="center"/>
          </w:tcPr>
          <w:p w14:paraId="7125D0B0">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397.5</w:t>
            </w:r>
          </w:p>
        </w:tc>
        <w:tc>
          <w:tcPr>
            <w:tcW w:w="3492" w:type="dxa"/>
            <w:tcBorders>
              <w:top w:val="nil"/>
              <w:left w:val="nil"/>
              <w:bottom w:val="single" w:color="auto" w:sz="4" w:space="0"/>
              <w:right w:val="single" w:color="auto" w:sz="4" w:space="0"/>
            </w:tcBorders>
            <w:shd w:val="clear" w:color="auto" w:fill="auto"/>
            <w:vAlign w:val="center"/>
          </w:tcPr>
          <w:p w14:paraId="0C5B1B30">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184.62</w:t>
            </w:r>
          </w:p>
        </w:tc>
        <w:tc>
          <w:tcPr>
            <w:tcW w:w="3000" w:type="dxa"/>
            <w:tcBorders>
              <w:top w:val="nil"/>
              <w:left w:val="nil"/>
              <w:bottom w:val="single" w:color="auto" w:sz="4" w:space="0"/>
              <w:right w:val="single" w:color="auto" w:sz="8" w:space="0"/>
            </w:tcBorders>
            <w:shd w:val="clear" w:color="auto" w:fill="auto"/>
            <w:vAlign w:val="center"/>
          </w:tcPr>
          <w:p w14:paraId="7244650C">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212.88</w:t>
            </w:r>
          </w:p>
        </w:tc>
      </w:tr>
      <w:tr w14:paraId="023AF24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93F0744">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2080505</w:t>
            </w:r>
          </w:p>
        </w:tc>
        <w:tc>
          <w:tcPr>
            <w:tcW w:w="3773" w:type="dxa"/>
            <w:tcBorders>
              <w:top w:val="nil"/>
              <w:left w:val="nil"/>
              <w:bottom w:val="single" w:color="auto" w:sz="4" w:space="0"/>
              <w:right w:val="single" w:color="auto" w:sz="4" w:space="0"/>
            </w:tcBorders>
            <w:shd w:val="clear" w:color="000000" w:fill="FFFFFF"/>
            <w:vAlign w:val="center"/>
          </w:tcPr>
          <w:p w14:paraId="156D8170">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机关事业单位基本养老保险缴费支出</w:t>
            </w:r>
          </w:p>
        </w:tc>
        <w:tc>
          <w:tcPr>
            <w:tcW w:w="2754" w:type="dxa"/>
            <w:tcBorders>
              <w:top w:val="nil"/>
              <w:left w:val="nil"/>
              <w:bottom w:val="single" w:color="auto" w:sz="4" w:space="0"/>
              <w:right w:val="single" w:color="auto" w:sz="4" w:space="0"/>
            </w:tcBorders>
            <w:shd w:val="clear" w:color="auto" w:fill="auto"/>
            <w:vAlign w:val="center"/>
          </w:tcPr>
          <w:p w14:paraId="6ACD0466">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24.06</w:t>
            </w:r>
          </w:p>
        </w:tc>
        <w:tc>
          <w:tcPr>
            <w:tcW w:w="3492" w:type="dxa"/>
            <w:tcBorders>
              <w:top w:val="nil"/>
              <w:left w:val="nil"/>
              <w:bottom w:val="single" w:color="auto" w:sz="4" w:space="0"/>
              <w:right w:val="single" w:color="auto" w:sz="4" w:space="0"/>
            </w:tcBorders>
            <w:shd w:val="clear" w:color="auto" w:fill="auto"/>
            <w:vAlign w:val="center"/>
          </w:tcPr>
          <w:p w14:paraId="03833335">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24.06</w:t>
            </w:r>
          </w:p>
        </w:tc>
        <w:tc>
          <w:tcPr>
            <w:tcW w:w="3000" w:type="dxa"/>
            <w:tcBorders>
              <w:top w:val="nil"/>
              <w:left w:val="nil"/>
              <w:bottom w:val="single" w:color="auto" w:sz="4" w:space="0"/>
              <w:right w:val="single" w:color="auto" w:sz="8" w:space="0"/>
            </w:tcBorders>
            <w:shd w:val="clear" w:color="auto" w:fill="auto"/>
            <w:vAlign w:val="center"/>
          </w:tcPr>
          <w:p w14:paraId="74F8C6BD">
            <w:pPr>
              <w:widowControl/>
              <w:jc w:val="center"/>
              <w:rPr>
                <w:rFonts w:hint="default" w:ascii="Times New Roman" w:hAnsi="Times New Roman" w:eastAsia="仿宋_GB2312" w:cs="Times New Roman"/>
                <w:color w:val="auto"/>
                <w:kern w:val="0"/>
                <w:szCs w:val="21"/>
                <w:lang w:val="en-US" w:eastAsia="zh-CN"/>
              </w:rPr>
            </w:pPr>
          </w:p>
        </w:tc>
      </w:tr>
      <w:tr w14:paraId="0474BC6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317B72D">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2080599</w:t>
            </w:r>
          </w:p>
        </w:tc>
        <w:tc>
          <w:tcPr>
            <w:tcW w:w="3773" w:type="dxa"/>
            <w:tcBorders>
              <w:top w:val="nil"/>
              <w:left w:val="nil"/>
              <w:bottom w:val="single" w:color="auto" w:sz="4" w:space="0"/>
              <w:right w:val="single" w:color="auto" w:sz="4" w:space="0"/>
            </w:tcBorders>
            <w:shd w:val="clear" w:color="000000" w:fill="FFFFFF"/>
            <w:vAlign w:val="center"/>
          </w:tcPr>
          <w:p w14:paraId="1253F621">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其他行政事业单位养老支出</w:t>
            </w:r>
          </w:p>
        </w:tc>
        <w:tc>
          <w:tcPr>
            <w:tcW w:w="2754" w:type="dxa"/>
            <w:tcBorders>
              <w:top w:val="nil"/>
              <w:left w:val="nil"/>
              <w:bottom w:val="single" w:color="auto" w:sz="4" w:space="0"/>
              <w:right w:val="single" w:color="auto" w:sz="4" w:space="0"/>
            </w:tcBorders>
            <w:shd w:val="clear" w:color="auto" w:fill="auto"/>
            <w:vAlign w:val="center"/>
          </w:tcPr>
          <w:p w14:paraId="5462CAC0">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3.60</w:t>
            </w:r>
          </w:p>
        </w:tc>
        <w:tc>
          <w:tcPr>
            <w:tcW w:w="3492" w:type="dxa"/>
            <w:tcBorders>
              <w:top w:val="nil"/>
              <w:left w:val="nil"/>
              <w:bottom w:val="single" w:color="auto" w:sz="4" w:space="0"/>
              <w:right w:val="single" w:color="auto" w:sz="4" w:space="0"/>
            </w:tcBorders>
            <w:shd w:val="clear" w:color="auto" w:fill="auto"/>
            <w:vAlign w:val="center"/>
          </w:tcPr>
          <w:p w14:paraId="037A6BD3">
            <w:pPr>
              <w:widowControl/>
              <w:jc w:val="center"/>
              <w:rPr>
                <w:rFonts w:hint="default" w:ascii="Times New Roman" w:hAnsi="Times New Roman" w:eastAsia="仿宋_GB2312" w:cs="Times New Roman"/>
                <w:color w:val="auto"/>
                <w:kern w:val="0"/>
                <w:szCs w:val="21"/>
                <w:lang w:val="en-US" w:eastAsia="zh-CN"/>
              </w:rPr>
            </w:pPr>
          </w:p>
        </w:tc>
        <w:tc>
          <w:tcPr>
            <w:tcW w:w="3000" w:type="dxa"/>
            <w:tcBorders>
              <w:top w:val="nil"/>
              <w:left w:val="nil"/>
              <w:bottom w:val="single" w:color="auto" w:sz="4" w:space="0"/>
              <w:right w:val="single" w:color="auto" w:sz="8" w:space="0"/>
            </w:tcBorders>
            <w:shd w:val="clear" w:color="auto" w:fill="auto"/>
            <w:vAlign w:val="center"/>
          </w:tcPr>
          <w:p w14:paraId="33AAB180">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3.60</w:t>
            </w:r>
          </w:p>
        </w:tc>
      </w:tr>
      <w:tr w14:paraId="57855E1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D5A303F">
            <w:pPr>
              <w:widowControl/>
              <w:jc w:val="left"/>
              <w:rPr>
                <w:rFonts w:hint="default" w:eastAsia="仿宋_GB2312" w:asciiTheme="minorHAnsi" w:hAnsiTheme="minorHAnsi" w:cstheme="minorBidi"/>
                <w:color w:val="auto"/>
                <w:kern w:val="0"/>
                <w:sz w:val="21"/>
                <w:szCs w:val="21"/>
                <w:lang w:val="en-US" w:eastAsia="zh-CN" w:bidi="ar-SA"/>
              </w:rPr>
            </w:pPr>
            <w:r>
              <w:rPr>
                <w:rFonts w:hint="eastAsia" w:ascii="Times New Roman" w:hAnsi="Times New Roman" w:eastAsia="仿宋_GB2312" w:cs="Times New Roman"/>
                <w:color w:val="auto"/>
                <w:kern w:val="0"/>
                <w:sz w:val="24"/>
                <w:szCs w:val="24"/>
                <w:lang w:val="en-US" w:eastAsia="zh-CN" w:bidi="ar-SA"/>
              </w:rPr>
              <w:t>2100302</w:t>
            </w:r>
          </w:p>
        </w:tc>
        <w:tc>
          <w:tcPr>
            <w:tcW w:w="3773" w:type="dxa"/>
            <w:tcBorders>
              <w:top w:val="nil"/>
              <w:left w:val="nil"/>
              <w:bottom w:val="single" w:color="auto" w:sz="4" w:space="0"/>
              <w:right w:val="single" w:color="auto" w:sz="4" w:space="0"/>
            </w:tcBorders>
            <w:shd w:val="clear" w:color="auto" w:fill="auto"/>
            <w:vAlign w:val="center"/>
          </w:tcPr>
          <w:p w14:paraId="335007C2">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乡镇卫生院</w:t>
            </w:r>
          </w:p>
        </w:tc>
        <w:tc>
          <w:tcPr>
            <w:tcW w:w="2754" w:type="dxa"/>
            <w:tcBorders>
              <w:top w:val="nil"/>
              <w:left w:val="nil"/>
              <w:bottom w:val="single" w:color="auto" w:sz="4" w:space="0"/>
              <w:right w:val="single" w:color="auto" w:sz="4" w:space="0"/>
            </w:tcBorders>
            <w:shd w:val="clear" w:color="auto" w:fill="auto"/>
            <w:vAlign w:val="center"/>
          </w:tcPr>
          <w:p w14:paraId="744743DF">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152.74</w:t>
            </w:r>
          </w:p>
        </w:tc>
        <w:tc>
          <w:tcPr>
            <w:tcW w:w="3492" w:type="dxa"/>
            <w:tcBorders>
              <w:top w:val="nil"/>
              <w:left w:val="nil"/>
              <w:bottom w:val="single" w:color="auto" w:sz="4" w:space="0"/>
              <w:right w:val="single" w:color="auto" w:sz="4" w:space="0"/>
            </w:tcBorders>
            <w:shd w:val="clear" w:color="auto" w:fill="auto"/>
            <w:vAlign w:val="center"/>
          </w:tcPr>
          <w:p w14:paraId="24AD11A1">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152.74</w:t>
            </w:r>
          </w:p>
        </w:tc>
        <w:tc>
          <w:tcPr>
            <w:tcW w:w="3000" w:type="dxa"/>
            <w:tcBorders>
              <w:top w:val="nil"/>
              <w:left w:val="nil"/>
              <w:bottom w:val="single" w:color="auto" w:sz="4" w:space="0"/>
              <w:right w:val="single" w:color="auto" w:sz="8" w:space="0"/>
            </w:tcBorders>
            <w:shd w:val="clear" w:color="auto" w:fill="auto"/>
            <w:vAlign w:val="center"/>
          </w:tcPr>
          <w:p w14:paraId="3FC8A170">
            <w:pPr>
              <w:widowControl/>
              <w:jc w:val="center"/>
              <w:rPr>
                <w:rFonts w:ascii="Times New Roman" w:hAnsi="Times New Roman" w:eastAsia="仿宋_GB2312" w:cs="Times New Roman"/>
                <w:color w:val="auto"/>
                <w:kern w:val="0"/>
                <w:szCs w:val="21"/>
              </w:rPr>
            </w:pPr>
          </w:p>
        </w:tc>
      </w:tr>
      <w:tr w14:paraId="21F7D23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242761F">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2100399</w:t>
            </w:r>
          </w:p>
        </w:tc>
        <w:tc>
          <w:tcPr>
            <w:tcW w:w="3773" w:type="dxa"/>
            <w:tcBorders>
              <w:top w:val="nil"/>
              <w:left w:val="nil"/>
              <w:bottom w:val="single" w:color="auto" w:sz="4" w:space="0"/>
              <w:right w:val="single" w:color="auto" w:sz="4" w:space="0"/>
            </w:tcBorders>
            <w:shd w:val="clear" w:color="auto" w:fill="auto"/>
            <w:vAlign w:val="center"/>
          </w:tcPr>
          <w:p w14:paraId="176F1044">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其他基层医疗卫生机构支出</w:t>
            </w:r>
          </w:p>
        </w:tc>
        <w:tc>
          <w:tcPr>
            <w:tcW w:w="2754" w:type="dxa"/>
            <w:tcBorders>
              <w:top w:val="nil"/>
              <w:left w:val="nil"/>
              <w:bottom w:val="single" w:color="auto" w:sz="4" w:space="0"/>
              <w:right w:val="single" w:color="auto" w:sz="4" w:space="0"/>
            </w:tcBorders>
            <w:shd w:val="clear" w:color="auto" w:fill="auto"/>
            <w:vAlign w:val="center"/>
          </w:tcPr>
          <w:p w14:paraId="7E78B22C">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56.37</w:t>
            </w:r>
          </w:p>
        </w:tc>
        <w:tc>
          <w:tcPr>
            <w:tcW w:w="3492" w:type="dxa"/>
            <w:tcBorders>
              <w:top w:val="nil"/>
              <w:left w:val="nil"/>
              <w:bottom w:val="single" w:color="auto" w:sz="4" w:space="0"/>
              <w:right w:val="single" w:color="auto" w:sz="4" w:space="0"/>
            </w:tcBorders>
            <w:shd w:val="clear" w:color="auto" w:fill="auto"/>
            <w:vAlign w:val="center"/>
          </w:tcPr>
          <w:p w14:paraId="5EE12EA3">
            <w:pPr>
              <w:widowControl/>
              <w:jc w:val="center"/>
              <w:rPr>
                <w:rFonts w:ascii="Times New Roman" w:hAnsi="Times New Roman" w:eastAsia="仿宋_GB2312" w:cs="Times New Roman"/>
                <w:color w:val="auto"/>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731C6F8D">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56.37</w:t>
            </w:r>
          </w:p>
        </w:tc>
      </w:tr>
      <w:tr w14:paraId="4CF4A8C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7997F8">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2100408</w:t>
            </w:r>
          </w:p>
        </w:tc>
        <w:tc>
          <w:tcPr>
            <w:tcW w:w="3773" w:type="dxa"/>
            <w:tcBorders>
              <w:top w:val="nil"/>
              <w:left w:val="nil"/>
              <w:bottom w:val="single" w:color="auto" w:sz="4" w:space="0"/>
              <w:right w:val="single" w:color="auto" w:sz="4" w:space="0"/>
            </w:tcBorders>
            <w:shd w:val="clear" w:color="auto" w:fill="auto"/>
            <w:vAlign w:val="center"/>
          </w:tcPr>
          <w:p w14:paraId="7B954BA3">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基本公共卫生服务</w:t>
            </w:r>
          </w:p>
        </w:tc>
        <w:tc>
          <w:tcPr>
            <w:tcW w:w="2754" w:type="dxa"/>
            <w:tcBorders>
              <w:top w:val="nil"/>
              <w:left w:val="nil"/>
              <w:bottom w:val="single" w:color="auto" w:sz="4" w:space="0"/>
              <w:right w:val="single" w:color="auto" w:sz="4" w:space="0"/>
            </w:tcBorders>
            <w:shd w:val="clear" w:color="auto" w:fill="auto"/>
            <w:vAlign w:val="center"/>
          </w:tcPr>
          <w:p w14:paraId="1D081BD8">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152.91</w:t>
            </w:r>
          </w:p>
        </w:tc>
        <w:tc>
          <w:tcPr>
            <w:tcW w:w="3492" w:type="dxa"/>
            <w:tcBorders>
              <w:top w:val="nil"/>
              <w:left w:val="nil"/>
              <w:bottom w:val="single" w:color="auto" w:sz="4" w:space="0"/>
              <w:right w:val="single" w:color="auto" w:sz="4" w:space="0"/>
            </w:tcBorders>
            <w:shd w:val="clear" w:color="auto" w:fill="auto"/>
            <w:vAlign w:val="center"/>
          </w:tcPr>
          <w:p w14:paraId="6C446040">
            <w:pPr>
              <w:widowControl/>
              <w:jc w:val="center"/>
              <w:rPr>
                <w:rFonts w:ascii="Times New Roman" w:hAnsi="Times New Roman" w:eastAsia="仿宋_GB2312" w:cs="Times New Roman"/>
                <w:color w:val="auto"/>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6F902CF4">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152.91</w:t>
            </w:r>
          </w:p>
        </w:tc>
      </w:tr>
      <w:tr w14:paraId="1B7D5C8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CAADB0D">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2101102</w:t>
            </w:r>
          </w:p>
        </w:tc>
        <w:tc>
          <w:tcPr>
            <w:tcW w:w="3773" w:type="dxa"/>
            <w:tcBorders>
              <w:top w:val="nil"/>
              <w:left w:val="nil"/>
              <w:bottom w:val="single" w:color="auto" w:sz="8" w:space="0"/>
              <w:right w:val="single" w:color="auto" w:sz="4" w:space="0"/>
            </w:tcBorders>
            <w:shd w:val="clear" w:color="auto" w:fill="auto"/>
            <w:vAlign w:val="center"/>
          </w:tcPr>
          <w:p w14:paraId="06560A07">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事业单位医疗</w:t>
            </w:r>
          </w:p>
        </w:tc>
        <w:tc>
          <w:tcPr>
            <w:tcW w:w="2754" w:type="dxa"/>
            <w:tcBorders>
              <w:top w:val="nil"/>
              <w:left w:val="nil"/>
              <w:bottom w:val="single" w:color="auto" w:sz="8" w:space="0"/>
              <w:right w:val="single" w:color="auto" w:sz="4" w:space="0"/>
            </w:tcBorders>
            <w:shd w:val="clear" w:color="auto" w:fill="auto"/>
            <w:vAlign w:val="center"/>
          </w:tcPr>
          <w:p w14:paraId="542F93FD">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7.82</w:t>
            </w:r>
          </w:p>
        </w:tc>
        <w:tc>
          <w:tcPr>
            <w:tcW w:w="3492" w:type="dxa"/>
            <w:tcBorders>
              <w:top w:val="nil"/>
              <w:left w:val="nil"/>
              <w:bottom w:val="single" w:color="auto" w:sz="8" w:space="0"/>
              <w:right w:val="single" w:color="auto" w:sz="4" w:space="0"/>
            </w:tcBorders>
            <w:shd w:val="clear" w:color="auto" w:fill="auto"/>
            <w:vAlign w:val="center"/>
          </w:tcPr>
          <w:p w14:paraId="201C6CD2">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7.82</w:t>
            </w:r>
          </w:p>
        </w:tc>
        <w:tc>
          <w:tcPr>
            <w:tcW w:w="3000" w:type="dxa"/>
            <w:tcBorders>
              <w:top w:val="nil"/>
              <w:left w:val="nil"/>
              <w:bottom w:val="single" w:color="auto" w:sz="8" w:space="0"/>
              <w:right w:val="single" w:color="auto" w:sz="8" w:space="0"/>
            </w:tcBorders>
            <w:shd w:val="clear" w:color="auto" w:fill="auto"/>
            <w:vAlign w:val="center"/>
          </w:tcPr>
          <w:p w14:paraId="5DFAC633">
            <w:pPr>
              <w:widowControl/>
              <w:jc w:val="center"/>
              <w:rPr>
                <w:rFonts w:ascii="Times New Roman" w:hAnsi="Times New Roman" w:eastAsia="仿宋_GB2312" w:cs="Times New Roman"/>
                <w:color w:val="auto"/>
                <w:kern w:val="0"/>
                <w:szCs w:val="21"/>
              </w:rPr>
            </w:pPr>
          </w:p>
        </w:tc>
      </w:tr>
    </w:tbl>
    <w:p w14:paraId="6D3BDEA5">
      <w:pPr>
        <w:widowControl/>
        <w:spacing w:before="120"/>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注：本表反映部门本年度一般公共预算财政拨款支出情况。</w:t>
      </w:r>
    </w:p>
    <w:p w14:paraId="7FE0F9FF">
      <w:pPr>
        <w:widowControl/>
        <w:jc w:val="left"/>
        <w:rPr>
          <w:rFonts w:ascii="Times New Roman" w:hAnsi="Times New Roman" w:eastAsia="仿宋_GB2312" w:cs="Times New Roman"/>
          <w:bCs/>
          <w:color w:val="auto"/>
          <w:kern w:val="0"/>
          <w:szCs w:val="21"/>
        </w:rPr>
      </w:pPr>
    </w:p>
    <w:p w14:paraId="146B2CEE">
      <w:pPr>
        <w:widowControl/>
        <w:jc w:val="left"/>
        <w:rPr>
          <w:rFonts w:ascii="Times New Roman" w:hAnsi="Times New Roman" w:eastAsia="仿宋_GB2312" w:cs="Times New Roman"/>
          <w:bCs/>
          <w:color w:val="auto"/>
          <w:kern w:val="0"/>
          <w:szCs w:val="21"/>
        </w:rPr>
      </w:pPr>
      <w:r>
        <w:rPr>
          <w:rFonts w:ascii="Times New Roman" w:hAnsi="Times New Roman" w:eastAsia="仿宋_GB2312" w:cs="Times New Roman"/>
          <w:bCs/>
          <w:color w:val="auto"/>
          <w:kern w:val="0"/>
          <w:szCs w:val="21"/>
        </w:rPr>
        <w:br w:type="page"/>
      </w:r>
    </w:p>
    <w:p w14:paraId="2F2F8FBE">
      <w:pPr>
        <w:widowControl/>
        <w:spacing w:after="120"/>
        <w:jc w:val="center"/>
        <w:textAlignment w:val="center"/>
        <w:rPr>
          <w:rFonts w:ascii="Times New Roman" w:hAnsi="Times New Roman" w:eastAsia="黑体" w:cs="Times New Roman"/>
          <w:color w:val="auto"/>
          <w:kern w:val="0"/>
          <w:sz w:val="36"/>
          <w:szCs w:val="36"/>
          <w:lang w:bidi="ar"/>
        </w:rPr>
      </w:pPr>
      <w:bookmarkStart w:id="2" w:name="RANGE!A1:I34"/>
      <w:r>
        <w:rPr>
          <w:rFonts w:ascii="Times New Roman" w:hAnsi="Times New Roman" w:eastAsia="黑体" w:cs="Times New Roman"/>
          <w:color w:val="auto"/>
          <w:kern w:val="0"/>
          <w:sz w:val="36"/>
          <w:szCs w:val="36"/>
          <w:lang w:bidi="ar"/>
        </w:rPr>
        <w:t>一般公共预算财政拨款基本支出决算明细表</w:t>
      </w:r>
      <w:bookmarkEnd w:id="2"/>
    </w:p>
    <w:p w14:paraId="29738F82">
      <w:pPr>
        <w:widowControl/>
        <w:wordWrap w:val="0"/>
        <w:spacing w:line="240" w:lineRule="exact"/>
        <w:jc w:val="righ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xml:space="preserve">  部门：</w:t>
      </w:r>
      <w:r>
        <w:rPr>
          <w:rFonts w:hint="eastAsia" w:ascii="Times New Roman" w:hAnsi="Times New Roman" w:eastAsia="仿宋_GB2312" w:cs="Times New Roman"/>
          <w:color w:val="auto"/>
          <w:kern w:val="0"/>
          <w:szCs w:val="21"/>
          <w:lang w:eastAsia="zh-CN"/>
        </w:rPr>
        <w:t>蓝山县毛俊镇中心卫生院</w:t>
      </w:r>
      <w:r>
        <w:rPr>
          <w:rFonts w:ascii="Times New Roman" w:hAnsi="Times New Roman" w:eastAsia="仿宋_GB2312" w:cs="Times New Roman"/>
          <w:color w:val="auto"/>
          <w:kern w:val="0"/>
          <w:szCs w:val="21"/>
        </w:rPr>
        <w:t xml:space="preserve">                                                                                               公开06表</w:t>
      </w:r>
    </w:p>
    <w:p w14:paraId="2845F845">
      <w:pPr>
        <w:widowControl/>
        <w:spacing w:line="240" w:lineRule="exact"/>
        <w:jc w:val="right"/>
        <w:rPr>
          <w:rFonts w:ascii="Times New Roman" w:hAnsi="Times New Roman" w:eastAsia="华文中宋" w:cs="Times New Roman"/>
          <w:color w:val="auto"/>
          <w:kern w:val="0"/>
          <w:szCs w:val="32"/>
        </w:rPr>
      </w:pPr>
      <w:r>
        <w:rPr>
          <w:rFonts w:ascii="Times New Roman" w:hAnsi="Times New Roman" w:eastAsia="仿宋_GB2312" w:cs="Times New Roman"/>
          <w:color w:val="auto"/>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5E4407FE">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043BE76E">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15E99AAF">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55A00255">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593CADC1">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57C75877">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36BB21E9">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558955AA">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194FF1D8">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23BAEB11">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决算数</w:t>
            </w:r>
          </w:p>
        </w:tc>
      </w:tr>
      <w:tr w14:paraId="481956B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7E4F5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55A943C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59EFFB08">
            <w:pPr>
              <w:widowControl/>
              <w:jc w:val="center"/>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184.62</w:t>
            </w:r>
          </w:p>
        </w:tc>
        <w:tc>
          <w:tcPr>
            <w:tcW w:w="1116" w:type="dxa"/>
            <w:tcBorders>
              <w:top w:val="nil"/>
              <w:left w:val="nil"/>
              <w:bottom w:val="single" w:color="auto" w:sz="4" w:space="0"/>
              <w:right w:val="single" w:color="auto" w:sz="4" w:space="0"/>
            </w:tcBorders>
            <w:shd w:val="clear" w:color="auto" w:fill="auto"/>
            <w:noWrap/>
            <w:vAlign w:val="center"/>
          </w:tcPr>
          <w:p w14:paraId="534D283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5426594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718BE27">
            <w:pPr>
              <w:widowControl/>
              <w:jc w:val="center"/>
              <w:rPr>
                <w:rFonts w:ascii="Times New Roman" w:hAnsi="Times New Roman" w:eastAsia="仿宋_GB2312" w:cs="Times New Roman"/>
                <w:color w:val="auto"/>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8EFFC9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2877171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7095C600">
            <w:pPr>
              <w:widowControl/>
              <w:jc w:val="center"/>
              <w:rPr>
                <w:rFonts w:ascii="Times New Roman" w:hAnsi="Times New Roman" w:eastAsia="仿宋_GB2312" w:cs="Times New Roman"/>
                <w:color w:val="auto"/>
                <w:kern w:val="0"/>
                <w:szCs w:val="20"/>
              </w:rPr>
            </w:pPr>
          </w:p>
        </w:tc>
      </w:tr>
      <w:tr w14:paraId="3670A4E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68DDB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3E65E29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581BD79C">
            <w:pPr>
              <w:widowControl/>
              <w:jc w:val="center"/>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76.62</w:t>
            </w:r>
          </w:p>
        </w:tc>
        <w:tc>
          <w:tcPr>
            <w:tcW w:w="1116" w:type="dxa"/>
            <w:tcBorders>
              <w:top w:val="nil"/>
              <w:left w:val="nil"/>
              <w:bottom w:val="single" w:color="auto" w:sz="4" w:space="0"/>
              <w:right w:val="single" w:color="auto" w:sz="4" w:space="0"/>
            </w:tcBorders>
            <w:shd w:val="clear" w:color="auto" w:fill="auto"/>
            <w:noWrap/>
            <w:vAlign w:val="center"/>
          </w:tcPr>
          <w:p w14:paraId="54F72BB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2A3765D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16DE0C5F">
            <w:pPr>
              <w:widowControl/>
              <w:jc w:val="center"/>
              <w:rPr>
                <w:rFonts w:ascii="Times New Roman" w:hAnsi="Times New Roman" w:eastAsia="仿宋_GB2312" w:cs="Times New Roman"/>
                <w:color w:val="auto"/>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9742E6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42EEE0F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2A336355">
            <w:pPr>
              <w:widowControl/>
              <w:jc w:val="center"/>
              <w:rPr>
                <w:rFonts w:ascii="Times New Roman" w:hAnsi="Times New Roman" w:eastAsia="仿宋_GB2312" w:cs="Times New Roman"/>
                <w:color w:val="auto"/>
                <w:kern w:val="0"/>
                <w:szCs w:val="20"/>
              </w:rPr>
            </w:pPr>
          </w:p>
        </w:tc>
      </w:tr>
      <w:tr w14:paraId="27655EF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B212C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01BC639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4F439128">
            <w:pPr>
              <w:widowControl/>
              <w:jc w:val="center"/>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9.63</w:t>
            </w:r>
          </w:p>
        </w:tc>
        <w:tc>
          <w:tcPr>
            <w:tcW w:w="1116" w:type="dxa"/>
            <w:tcBorders>
              <w:top w:val="nil"/>
              <w:left w:val="nil"/>
              <w:bottom w:val="single" w:color="auto" w:sz="4" w:space="0"/>
              <w:right w:val="single" w:color="auto" w:sz="4" w:space="0"/>
            </w:tcBorders>
            <w:shd w:val="clear" w:color="auto" w:fill="auto"/>
            <w:noWrap/>
            <w:vAlign w:val="center"/>
          </w:tcPr>
          <w:p w14:paraId="485990C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0885C6B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3061B34D">
            <w:pPr>
              <w:widowControl/>
              <w:jc w:val="center"/>
              <w:rPr>
                <w:rFonts w:ascii="Times New Roman" w:hAnsi="Times New Roman" w:eastAsia="仿宋_GB2312" w:cs="Times New Roman"/>
                <w:color w:val="auto"/>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4FB610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267F356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17D6DBEC">
            <w:pPr>
              <w:widowControl/>
              <w:jc w:val="center"/>
              <w:rPr>
                <w:rFonts w:ascii="Times New Roman" w:hAnsi="Times New Roman" w:eastAsia="仿宋_GB2312" w:cs="Times New Roman"/>
                <w:color w:val="auto"/>
                <w:kern w:val="0"/>
                <w:szCs w:val="20"/>
              </w:rPr>
            </w:pPr>
          </w:p>
        </w:tc>
      </w:tr>
      <w:tr w14:paraId="4DA2840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63FBD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11B5DBF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3A288AED">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1A74FD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4BF4798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17201361">
            <w:pPr>
              <w:widowControl/>
              <w:jc w:val="center"/>
              <w:rPr>
                <w:rFonts w:ascii="Times New Roman" w:hAnsi="Times New Roman" w:eastAsia="仿宋_GB2312" w:cs="Times New Roman"/>
                <w:color w:val="auto"/>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26C6D8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69E8F0C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29E65259">
            <w:pPr>
              <w:widowControl/>
              <w:jc w:val="center"/>
              <w:rPr>
                <w:rFonts w:ascii="Times New Roman" w:hAnsi="Times New Roman" w:eastAsia="仿宋_GB2312" w:cs="Times New Roman"/>
                <w:color w:val="auto"/>
                <w:kern w:val="0"/>
                <w:szCs w:val="20"/>
              </w:rPr>
            </w:pPr>
          </w:p>
        </w:tc>
      </w:tr>
      <w:tr w14:paraId="295C779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D9A9E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3CA5782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0D1E3BBA">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F8E1E2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41D65F2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3134F12B">
            <w:pPr>
              <w:widowControl/>
              <w:jc w:val="center"/>
              <w:rPr>
                <w:rFonts w:ascii="Times New Roman" w:hAnsi="Times New Roman" w:eastAsia="仿宋_GB2312" w:cs="Times New Roman"/>
                <w:color w:val="auto"/>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850E6B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5ED16E1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303AAE96">
            <w:pPr>
              <w:widowControl/>
              <w:jc w:val="center"/>
              <w:rPr>
                <w:rFonts w:ascii="Times New Roman" w:hAnsi="Times New Roman" w:eastAsia="仿宋_GB2312" w:cs="Times New Roman"/>
                <w:color w:val="auto"/>
                <w:kern w:val="0"/>
                <w:szCs w:val="20"/>
              </w:rPr>
            </w:pPr>
          </w:p>
        </w:tc>
      </w:tr>
      <w:tr w14:paraId="6812FBE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ACEF9D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6ED78B5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4B1581F5">
            <w:pPr>
              <w:widowControl/>
              <w:jc w:val="center"/>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62.99</w:t>
            </w:r>
          </w:p>
        </w:tc>
        <w:tc>
          <w:tcPr>
            <w:tcW w:w="1116" w:type="dxa"/>
            <w:tcBorders>
              <w:top w:val="nil"/>
              <w:left w:val="nil"/>
              <w:bottom w:val="single" w:color="auto" w:sz="4" w:space="0"/>
              <w:right w:val="single" w:color="auto" w:sz="4" w:space="0"/>
            </w:tcBorders>
            <w:shd w:val="clear" w:color="auto" w:fill="auto"/>
            <w:noWrap/>
            <w:vAlign w:val="center"/>
          </w:tcPr>
          <w:p w14:paraId="6A491C6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7686F2D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5E9F2D9C">
            <w:pPr>
              <w:widowControl/>
              <w:jc w:val="center"/>
              <w:rPr>
                <w:rFonts w:ascii="Times New Roman" w:hAnsi="Times New Roman" w:eastAsia="仿宋_GB2312" w:cs="Times New Roman"/>
                <w:color w:val="auto"/>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13339E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1202F2B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19E04584">
            <w:pPr>
              <w:widowControl/>
              <w:jc w:val="center"/>
              <w:rPr>
                <w:rFonts w:ascii="Times New Roman" w:hAnsi="Times New Roman" w:eastAsia="仿宋_GB2312" w:cs="Times New Roman"/>
                <w:color w:val="auto"/>
                <w:kern w:val="0"/>
                <w:szCs w:val="20"/>
              </w:rPr>
            </w:pPr>
          </w:p>
        </w:tc>
      </w:tr>
      <w:tr w14:paraId="73855B5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BB655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3BE8F86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0455A26C">
            <w:pPr>
              <w:widowControl/>
              <w:jc w:val="center"/>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27.56</w:t>
            </w:r>
          </w:p>
        </w:tc>
        <w:tc>
          <w:tcPr>
            <w:tcW w:w="1116" w:type="dxa"/>
            <w:tcBorders>
              <w:top w:val="nil"/>
              <w:left w:val="nil"/>
              <w:bottom w:val="single" w:color="auto" w:sz="4" w:space="0"/>
              <w:right w:val="single" w:color="auto" w:sz="4" w:space="0"/>
            </w:tcBorders>
            <w:shd w:val="clear" w:color="auto" w:fill="auto"/>
            <w:noWrap/>
            <w:vAlign w:val="center"/>
          </w:tcPr>
          <w:p w14:paraId="187E6C0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427937E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6E131B5F">
            <w:pPr>
              <w:widowControl/>
              <w:jc w:val="center"/>
              <w:rPr>
                <w:rFonts w:ascii="Times New Roman" w:hAnsi="Times New Roman" w:eastAsia="仿宋_GB2312" w:cs="Times New Roman"/>
                <w:color w:val="auto"/>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17EE0F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2968128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7978E7CD">
            <w:pPr>
              <w:widowControl/>
              <w:jc w:val="center"/>
              <w:rPr>
                <w:rFonts w:ascii="Times New Roman" w:hAnsi="Times New Roman" w:eastAsia="仿宋_GB2312" w:cs="Times New Roman"/>
                <w:color w:val="auto"/>
                <w:kern w:val="0"/>
                <w:szCs w:val="20"/>
              </w:rPr>
            </w:pPr>
          </w:p>
        </w:tc>
      </w:tr>
      <w:tr w14:paraId="2C2E4C2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298310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36A83BF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58BA10DF">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9783FB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3C24A2C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465D95D7">
            <w:pPr>
              <w:widowControl/>
              <w:jc w:val="center"/>
              <w:rPr>
                <w:rFonts w:ascii="Times New Roman" w:hAnsi="Times New Roman" w:eastAsia="仿宋_GB2312" w:cs="Times New Roman"/>
                <w:color w:val="auto"/>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2258F1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76D0E5E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3B62A3B5">
            <w:pPr>
              <w:widowControl/>
              <w:jc w:val="center"/>
              <w:rPr>
                <w:rFonts w:ascii="Times New Roman" w:hAnsi="Times New Roman" w:eastAsia="仿宋_GB2312" w:cs="Times New Roman"/>
                <w:color w:val="auto"/>
                <w:kern w:val="0"/>
                <w:szCs w:val="20"/>
              </w:rPr>
            </w:pPr>
          </w:p>
        </w:tc>
      </w:tr>
      <w:tr w14:paraId="1E50874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B792F8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603BFCE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249B8E30">
            <w:pPr>
              <w:widowControl/>
              <w:jc w:val="center"/>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7.82</w:t>
            </w:r>
          </w:p>
        </w:tc>
        <w:tc>
          <w:tcPr>
            <w:tcW w:w="1116" w:type="dxa"/>
            <w:tcBorders>
              <w:top w:val="nil"/>
              <w:left w:val="nil"/>
              <w:bottom w:val="single" w:color="auto" w:sz="4" w:space="0"/>
              <w:right w:val="single" w:color="auto" w:sz="4" w:space="0"/>
            </w:tcBorders>
            <w:shd w:val="clear" w:color="auto" w:fill="auto"/>
            <w:noWrap/>
            <w:vAlign w:val="center"/>
          </w:tcPr>
          <w:p w14:paraId="3DB850B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75E0589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316640DB">
            <w:pPr>
              <w:widowControl/>
              <w:jc w:val="center"/>
              <w:rPr>
                <w:rFonts w:ascii="Times New Roman" w:hAnsi="Times New Roman" w:eastAsia="仿宋_GB2312" w:cs="Times New Roman"/>
                <w:color w:val="auto"/>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72D6CC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329957D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38961158">
            <w:pPr>
              <w:widowControl/>
              <w:jc w:val="center"/>
              <w:rPr>
                <w:rFonts w:ascii="Times New Roman" w:hAnsi="Times New Roman" w:eastAsia="仿宋_GB2312" w:cs="Times New Roman"/>
                <w:color w:val="auto"/>
                <w:kern w:val="0"/>
                <w:szCs w:val="20"/>
              </w:rPr>
            </w:pPr>
          </w:p>
        </w:tc>
      </w:tr>
      <w:tr w14:paraId="654A0B8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40957C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2D9107A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41465E94">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69DF8B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10C876D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47371AE3">
            <w:pPr>
              <w:widowControl/>
              <w:jc w:val="center"/>
              <w:rPr>
                <w:rFonts w:ascii="Times New Roman" w:hAnsi="Times New Roman" w:eastAsia="仿宋_GB2312" w:cs="Times New Roman"/>
                <w:color w:val="auto"/>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1C7E7A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27EB62B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1A9CF52D">
            <w:pPr>
              <w:widowControl/>
              <w:jc w:val="center"/>
              <w:rPr>
                <w:rFonts w:ascii="Times New Roman" w:hAnsi="Times New Roman" w:eastAsia="仿宋_GB2312" w:cs="Times New Roman"/>
                <w:color w:val="auto"/>
                <w:kern w:val="0"/>
                <w:szCs w:val="20"/>
              </w:rPr>
            </w:pPr>
          </w:p>
        </w:tc>
      </w:tr>
      <w:tr w14:paraId="3C0FD85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BAC82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431B8B5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61982800">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D96CD0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29474D7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57C6F16D">
            <w:pPr>
              <w:widowControl/>
              <w:jc w:val="center"/>
              <w:rPr>
                <w:rFonts w:ascii="Times New Roman" w:hAnsi="Times New Roman" w:eastAsia="仿宋_GB2312" w:cs="Times New Roman"/>
                <w:color w:val="auto"/>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EA1D61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43FCB02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6DCF6E4A">
            <w:pPr>
              <w:widowControl/>
              <w:jc w:val="center"/>
              <w:rPr>
                <w:rFonts w:ascii="Times New Roman" w:hAnsi="Times New Roman" w:eastAsia="仿宋_GB2312" w:cs="Times New Roman"/>
                <w:color w:val="auto"/>
                <w:kern w:val="0"/>
                <w:szCs w:val="20"/>
              </w:rPr>
            </w:pPr>
          </w:p>
        </w:tc>
      </w:tr>
      <w:tr w14:paraId="1602EF5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5F594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7930D75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036C6CD3">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3A838E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0D99F8D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1FA55C64">
            <w:pPr>
              <w:widowControl/>
              <w:jc w:val="center"/>
              <w:rPr>
                <w:rFonts w:ascii="Times New Roman" w:hAnsi="Times New Roman" w:eastAsia="仿宋_GB2312" w:cs="Times New Roman"/>
                <w:color w:val="auto"/>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490B31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2CDD8A9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5799F7F1">
            <w:pPr>
              <w:widowControl/>
              <w:jc w:val="center"/>
              <w:rPr>
                <w:rFonts w:ascii="Times New Roman" w:hAnsi="Times New Roman" w:eastAsia="仿宋_GB2312" w:cs="Times New Roman"/>
                <w:color w:val="auto"/>
                <w:kern w:val="0"/>
                <w:szCs w:val="20"/>
              </w:rPr>
            </w:pPr>
          </w:p>
        </w:tc>
      </w:tr>
      <w:tr w14:paraId="31D3F3D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476ACC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441CC6F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00F05D1B">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7A4591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3BA8534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2A3E686E">
            <w:pPr>
              <w:widowControl/>
              <w:jc w:val="center"/>
              <w:rPr>
                <w:rFonts w:ascii="Times New Roman" w:hAnsi="Times New Roman" w:eastAsia="仿宋_GB2312" w:cs="Times New Roman"/>
                <w:color w:val="auto"/>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1C896F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2DFDAAB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65A4FA4D">
            <w:pPr>
              <w:widowControl/>
              <w:jc w:val="center"/>
              <w:rPr>
                <w:rFonts w:ascii="Times New Roman" w:hAnsi="Times New Roman" w:eastAsia="仿宋_GB2312" w:cs="Times New Roman"/>
                <w:color w:val="auto"/>
                <w:kern w:val="0"/>
                <w:szCs w:val="20"/>
              </w:rPr>
            </w:pPr>
          </w:p>
        </w:tc>
      </w:tr>
      <w:tr w14:paraId="65A1DF5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2031A8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621B1B3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28AE7D45">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2B889A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06FDCD1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133657B6">
            <w:pPr>
              <w:widowControl/>
              <w:jc w:val="center"/>
              <w:rPr>
                <w:rFonts w:ascii="Times New Roman" w:hAnsi="Times New Roman" w:eastAsia="仿宋_GB2312" w:cs="Times New Roman"/>
                <w:color w:val="auto"/>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A42161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09270A3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7C338009">
            <w:pPr>
              <w:widowControl/>
              <w:jc w:val="center"/>
              <w:rPr>
                <w:rFonts w:ascii="Times New Roman" w:hAnsi="Times New Roman" w:eastAsia="仿宋_GB2312" w:cs="Times New Roman"/>
                <w:color w:val="auto"/>
                <w:kern w:val="0"/>
                <w:szCs w:val="20"/>
              </w:rPr>
            </w:pPr>
          </w:p>
        </w:tc>
      </w:tr>
      <w:tr w14:paraId="4999090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B20F9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52111AD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73898A68">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C2F56F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00D90FD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1D3D68D4">
            <w:pPr>
              <w:widowControl/>
              <w:jc w:val="center"/>
              <w:rPr>
                <w:rFonts w:ascii="Times New Roman" w:hAnsi="Times New Roman" w:eastAsia="仿宋_GB2312" w:cs="Times New Roman"/>
                <w:color w:val="auto"/>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B638B4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2C83AD1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564B0D26">
            <w:pPr>
              <w:widowControl/>
              <w:jc w:val="center"/>
              <w:rPr>
                <w:rFonts w:ascii="Times New Roman" w:hAnsi="Times New Roman" w:eastAsia="仿宋_GB2312" w:cs="Times New Roman"/>
                <w:color w:val="auto"/>
                <w:kern w:val="0"/>
                <w:szCs w:val="20"/>
              </w:rPr>
            </w:pPr>
          </w:p>
        </w:tc>
      </w:tr>
      <w:tr w14:paraId="38D8130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B0D184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290083B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2E5FBBD3">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F87EE0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163F9B2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604CDAB6">
            <w:pPr>
              <w:widowControl/>
              <w:jc w:val="center"/>
              <w:rPr>
                <w:rFonts w:ascii="Times New Roman" w:hAnsi="Times New Roman" w:eastAsia="仿宋_GB2312" w:cs="Times New Roman"/>
                <w:color w:val="auto"/>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1B7E02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248112E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24ED19BF">
            <w:pPr>
              <w:widowControl/>
              <w:jc w:val="center"/>
              <w:rPr>
                <w:rFonts w:ascii="Times New Roman" w:hAnsi="Times New Roman" w:eastAsia="仿宋_GB2312" w:cs="Times New Roman"/>
                <w:color w:val="auto"/>
                <w:kern w:val="0"/>
                <w:szCs w:val="20"/>
              </w:rPr>
            </w:pPr>
          </w:p>
        </w:tc>
      </w:tr>
      <w:tr w14:paraId="79C435E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58B41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2E6E415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705A8919">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5C8DC8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2A433A5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0B6FB561">
            <w:pPr>
              <w:widowControl/>
              <w:jc w:val="center"/>
              <w:rPr>
                <w:rFonts w:ascii="Times New Roman" w:hAnsi="Times New Roman" w:eastAsia="仿宋_GB2312" w:cs="Times New Roman"/>
                <w:color w:val="auto"/>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B7C489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12AD9A9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74089BC5">
            <w:pPr>
              <w:widowControl/>
              <w:jc w:val="center"/>
              <w:rPr>
                <w:rFonts w:ascii="Times New Roman" w:hAnsi="Times New Roman" w:eastAsia="仿宋_GB2312" w:cs="Times New Roman"/>
                <w:color w:val="auto"/>
                <w:kern w:val="0"/>
                <w:szCs w:val="20"/>
              </w:rPr>
            </w:pPr>
          </w:p>
        </w:tc>
      </w:tr>
      <w:tr w14:paraId="6BB5CDF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689DD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20472A9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14F17BFE">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AA1B56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498C703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60FDBFAA">
            <w:pPr>
              <w:widowControl/>
              <w:jc w:val="center"/>
              <w:rPr>
                <w:rFonts w:ascii="Times New Roman" w:hAnsi="Times New Roman" w:eastAsia="仿宋_GB2312" w:cs="Times New Roman"/>
                <w:color w:val="auto"/>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03C963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1FEF671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26738D80">
            <w:pPr>
              <w:widowControl/>
              <w:jc w:val="center"/>
              <w:rPr>
                <w:rFonts w:ascii="Times New Roman" w:hAnsi="Times New Roman" w:eastAsia="仿宋_GB2312" w:cs="Times New Roman"/>
                <w:color w:val="auto"/>
                <w:kern w:val="0"/>
                <w:szCs w:val="20"/>
              </w:rPr>
            </w:pPr>
          </w:p>
        </w:tc>
      </w:tr>
      <w:tr w14:paraId="587A62D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C2C004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7C5D22B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0ED371CD">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9AFC97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5A5230A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25A8A8D2">
            <w:pPr>
              <w:widowControl/>
              <w:jc w:val="center"/>
              <w:rPr>
                <w:rFonts w:ascii="Times New Roman" w:hAnsi="Times New Roman" w:eastAsia="仿宋_GB2312" w:cs="Times New Roman"/>
                <w:color w:val="auto"/>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3A4B0D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5C544CC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4E152A9B">
            <w:pPr>
              <w:widowControl/>
              <w:jc w:val="center"/>
              <w:rPr>
                <w:rFonts w:ascii="Times New Roman" w:hAnsi="Times New Roman" w:eastAsia="仿宋_GB2312" w:cs="Times New Roman"/>
                <w:color w:val="auto"/>
                <w:kern w:val="0"/>
                <w:szCs w:val="20"/>
              </w:rPr>
            </w:pPr>
          </w:p>
        </w:tc>
      </w:tr>
      <w:tr w14:paraId="046C1B5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1F9C0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7DE1DF2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77CAF862">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7FF2D6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388CE1A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0F7696A8">
            <w:pPr>
              <w:widowControl/>
              <w:jc w:val="center"/>
              <w:rPr>
                <w:rFonts w:ascii="Times New Roman" w:hAnsi="Times New Roman" w:eastAsia="仿宋_GB2312" w:cs="Times New Roman"/>
                <w:color w:val="auto"/>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4D57D3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7555625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1B75B6DC">
            <w:pPr>
              <w:widowControl/>
              <w:jc w:val="center"/>
              <w:rPr>
                <w:rFonts w:ascii="Times New Roman" w:hAnsi="Times New Roman" w:eastAsia="仿宋_GB2312" w:cs="Times New Roman"/>
                <w:color w:val="auto"/>
                <w:kern w:val="0"/>
                <w:szCs w:val="20"/>
              </w:rPr>
            </w:pPr>
          </w:p>
        </w:tc>
      </w:tr>
      <w:tr w14:paraId="69EC716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AD7E48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1A91397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67D24973">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14ABD1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7B0B79C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63816556">
            <w:pPr>
              <w:widowControl/>
              <w:jc w:val="center"/>
              <w:rPr>
                <w:rFonts w:ascii="Times New Roman" w:hAnsi="Times New Roman" w:eastAsia="仿宋_GB2312" w:cs="Times New Roman"/>
                <w:color w:val="auto"/>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47FC90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0F2489A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6118C47A">
            <w:pPr>
              <w:widowControl/>
              <w:jc w:val="center"/>
              <w:rPr>
                <w:rFonts w:ascii="Times New Roman" w:hAnsi="Times New Roman" w:eastAsia="仿宋_GB2312" w:cs="Times New Roman"/>
                <w:color w:val="auto"/>
                <w:kern w:val="0"/>
                <w:szCs w:val="20"/>
              </w:rPr>
            </w:pPr>
          </w:p>
        </w:tc>
      </w:tr>
      <w:tr w14:paraId="4CBA3B0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37F93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5A3CF33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503C6B79">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F22174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11833E7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27D530BB">
            <w:pPr>
              <w:widowControl/>
              <w:jc w:val="center"/>
              <w:rPr>
                <w:rFonts w:ascii="Times New Roman" w:hAnsi="Times New Roman" w:eastAsia="仿宋_GB2312" w:cs="Times New Roman"/>
                <w:color w:val="auto"/>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A4D97A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0150813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0C9188CF">
            <w:pPr>
              <w:widowControl/>
              <w:jc w:val="center"/>
              <w:rPr>
                <w:rFonts w:ascii="Times New Roman" w:hAnsi="Times New Roman" w:eastAsia="仿宋_GB2312" w:cs="Times New Roman"/>
                <w:color w:val="auto"/>
                <w:kern w:val="0"/>
                <w:szCs w:val="20"/>
              </w:rPr>
            </w:pPr>
          </w:p>
        </w:tc>
      </w:tr>
      <w:tr w14:paraId="41621C3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20E27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20D787E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33BFB1E1">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F87E68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6EC37B8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0CBF5F55">
            <w:pPr>
              <w:widowControl/>
              <w:jc w:val="center"/>
              <w:rPr>
                <w:rFonts w:ascii="Times New Roman" w:hAnsi="Times New Roman" w:eastAsia="仿宋_GB2312" w:cs="Times New Roman"/>
                <w:color w:val="auto"/>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EE2E3C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3369360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0035FBB6">
            <w:pPr>
              <w:widowControl/>
              <w:jc w:val="center"/>
              <w:rPr>
                <w:rFonts w:ascii="Times New Roman" w:hAnsi="Times New Roman" w:eastAsia="仿宋_GB2312" w:cs="Times New Roman"/>
                <w:color w:val="auto"/>
                <w:kern w:val="0"/>
                <w:szCs w:val="20"/>
              </w:rPr>
            </w:pPr>
          </w:p>
        </w:tc>
      </w:tr>
      <w:tr w14:paraId="7D59A2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0D7E6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0D22D38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252C0602">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222B5C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2821ACA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088959A9">
            <w:pPr>
              <w:widowControl/>
              <w:jc w:val="center"/>
              <w:rPr>
                <w:rFonts w:ascii="Times New Roman" w:hAnsi="Times New Roman" w:eastAsia="仿宋_GB2312" w:cs="Times New Roman"/>
                <w:color w:val="auto"/>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BB379A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575DCF5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经常性赠与</w:t>
            </w:r>
          </w:p>
          <w:p w14:paraId="2A61EF6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资本性赠与</w:t>
            </w:r>
          </w:p>
          <w:p w14:paraId="7427F959">
            <w:pPr>
              <w:widowControl/>
              <w:jc w:val="left"/>
              <w:rPr>
                <w:rFonts w:ascii="Times New Roman" w:hAnsi="Times New Roman" w:eastAsia="仿宋_GB2312" w:cs="Times New Roman"/>
                <w:color w:val="auto"/>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23F6B448">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E7C4">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经常性赠与</w:t>
                  </w:r>
                </w:p>
              </w:tc>
            </w:tr>
            <w:tr w14:paraId="228ED6BD">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857B">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资本性赠与</w:t>
                  </w:r>
                </w:p>
              </w:tc>
            </w:tr>
          </w:tbl>
          <w:p w14:paraId="3665007B">
            <w:pPr>
              <w:widowControl/>
              <w:jc w:val="left"/>
              <w:rPr>
                <w:rFonts w:ascii="Times New Roman" w:hAnsi="Times New Roman" w:eastAsia="仿宋_GB2312" w:cs="Times New Roman"/>
                <w:color w:val="auto"/>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3B713E15">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78DF">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经常性赠与</w:t>
                  </w:r>
                </w:p>
              </w:tc>
            </w:tr>
            <w:tr w14:paraId="4748E63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67A3">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资本性赠与</w:t>
                  </w:r>
                </w:p>
              </w:tc>
            </w:tr>
          </w:tbl>
          <w:p w14:paraId="27B93364">
            <w:pPr>
              <w:widowControl/>
              <w:jc w:val="left"/>
              <w:rPr>
                <w:rFonts w:ascii="Times New Roman" w:hAnsi="Times New Roman" w:eastAsia="仿宋_GB2312" w:cs="Times New Roman"/>
                <w:color w:val="auto"/>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75921AC7">
            <w:pPr>
              <w:widowControl/>
              <w:jc w:val="center"/>
              <w:rPr>
                <w:rFonts w:ascii="Times New Roman" w:hAnsi="Times New Roman" w:eastAsia="仿宋_GB2312" w:cs="Times New Roman"/>
                <w:color w:val="auto"/>
                <w:kern w:val="0"/>
                <w:szCs w:val="20"/>
              </w:rPr>
            </w:pPr>
          </w:p>
        </w:tc>
      </w:tr>
      <w:tr w14:paraId="798CDA9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8D957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7CAE942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20B887CB">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501A99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3CC047E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3F1FCF6C">
            <w:pPr>
              <w:widowControl/>
              <w:jc w:val="center"/>
              <w:rPr>
                <w:rFonts w:ascii="Times New Roman" w:hAnsi="Times New Roman" w:eastAsia="仿宋_GB2312" w:cs="Times New Roman"/>
                <w:color w:val="auto"/>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AFF028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446E61E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447F9B98">
            <w:pPr>
              <w:widowControl/>
              <w:jc w:val="center"/>
              <w:rPr>
                <w:rFonts w:ascii="Times New Roman" w:hAnsi="Times New Roman" w:eastAsia="仿宋_GB2312" w:cs="Times New Roman"/>
                <w:color w:val="auto"/>
                <w:kern w:val="0"/>
                <w:szCs w:val="20"/>
              </w:rPr>
            </w:pPr>
          </w:p>
        </w:tc>
      </w:tr>
      <w:tr w14:paraId="3320EB6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9B5C7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08313D9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1B7A1151">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36BB97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00062DC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1B76B3CB">
            <w:pPr>
              <w:widowControl/>
              <w:jc w:val="center"/>
              <w:rPr>
                <w:rFonts w:ascii="Times New Roman" w:hAnsi="Times New Roman" w:eastAsia="仿宋_GB2312" w:cs="Times New Roman"/>
                <w:color w:val="auto"/>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94946B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346C923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7D45AF12">
            <w:pPr>
              <w:widowControl/>
              <w:jc w:val="center"/>
              <w:rPr>
                <w:rFonts w:ascii="Times New Roman" w:hAnsi="Times New Roman" w:eastAsia="仿宋_GB2312" w:cs="Times New Roman"/>
                <w:color w:val="auto"/>
                <w:kern w:val="0"/>
                <w:szCs w:val="20"/>
              </w:rPr>
            </w:pPr>
          </w:p>
        </w:tc>
      </w:tr>
      <w:tr w14:paraId="053A9EF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3A3CE4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61B830D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910ECA3">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56C279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3DA3CD9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1D6256C4">
            <w:pPr>
              <w:widowControl/>
              <w:jc w:val="center"/>
              <w:rPr>
                <w:rFonts w:ascii="Times New Roman" w:hAnsi="Times New Roman" w:eastAsia="仿宋_GB2312" w:cs="Times New Roman"/>
                <w:color w:val="auto"/>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582C8D1">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253F2EE7">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A9004F6">
            <w:pPr>
              <w:widowControl/>
              <w:jc w:val="center"/>
              <w:rPr>
                <w:rFonts w:ascii="Times New Roman" w:hAnsi="Times New Roman" w:eastAsia="仿宋_GB2312" w:cs="Times New Roman"/>
                <w:color w:val="auto"/>
                <w:kern w:val="0"/>
                <w:szCs w:val="20"/>
              </w:rPr>
            </w:pPr>
          </w:p>
        </w:tc>
      </w:tr>
      <w:tr w14:paraId="2B111A1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049C2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38FD9B3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6DA96F8B">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C6EBF1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0D3FC18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0D9C5624">
            <w:pPr>
              <w:widowControl/>
              <w:jc w:val="center"/>
              <w:rPr>
                <w:rFonts w:ascii="Times New Roman" w:hAnsi="Times New Roman" w:eastAsia="仿宋_GB2312" w:cs="Times New Roman"/>
                <w:color w:val="auto"/>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B0D086F">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25A62667">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6618681D">
            <w:pPr>
              <w:widowControl/>
              <w:jc w:val="center"/>
              <w:rPr>
                <w:rFonts w:ascii="Times New Roman" w:hAnsi="Times New Roman" w:eastAsia="仿宋_GB2312" w:cs="Times New Roman"/>
                <w:color w:val="auto"/>
                <w:kern w:val="0"/>
                <w:szCs w:val="20"/>
              </w:rPr>
            </w:pPr>
          </w:p>
        </w:tc>
      </w:tr>
      <w:tr w14:paraId="791C8328">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82995A">
            <w:pPr>
              <w:widowControl/>
              <w:jc w:val="center"/>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5ABCA269">
            <w:pPr>
              <w:widowControl/>
              <w:jc w:val="center"/>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184.62</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0F557458">
            <w:pPr>
              <w:widowControl/>
              <w:jc w:val="center"/>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68E74377">
            <w:pPr>
              <w:widowControl/>
              <w:jc w:val="center"/>
              <w:rPr>
                <w:rFonts w:ascii="Times New Roman" w:hAnsi="Times New Roman" w:eastAsia="仿宋_GB2312" w:cs="Times New Roman"/>
                <w:color w:val="auto"/>
                <w:kern w:val="0"/>
                <w:szCs w:val="18"/>
              </w:rPr>
            </w:pPr>
          </w:p>
        </w:tc>
      </w:tr>
    </w:tbl>
    <w:p w14:paraId="514E0136">
      <w:pPr>
        <w:widowControl/>
        <w:jc w:val="left"/>
        <w:rPr>
          <w:rFonts w:ascii="Times New Roman" w:hAnsi="Times New Roman" w:eastAsia="仿宋_GB2312" w:cs="Times New Roman"/>
          <w:color w:val="auto"/>
          <w:kern w:val="0"/>
          <w:szCs w:val="24"/>
        </w:rPr>
      </w:pPr>
      <w:r>
        <w:rPr>
          <w:rFonts w:ascii="Times New Roman" w:hAnsi="Times New Roman" w:eastAsia="仿宋_GB2312" w:cs="Times New Roman"/>
          <w:color w:val="auto"/>
          <w:kern w:val="0"/>
          <w:szCs w:val="24"/>
        </w:rPr>
        <w:t>注：本表反映部门本年度一般公共预算财政拨款基本支出明细情况。</w:t>
      </w:r>
    </w:p>
    <w:p w14:paraId="2D22B94B">
      <w:pPr>
        <w:widowControl/>
        <w:spacing w:line="400" w:lineRule="exact"/>
        <w:jc w:val="center"/>
        <w:textAlignment w:val="center"/>
        <w:rPr>
          <w:rFonts w:ascii="Times New Roman" w:hAnsi="Times New Roman" w:eastAsia="仿宋_GB2312" w:cs="Times New Roman"/>
          <w:color w:val="auto"/>
          <w:kern w:val="0"/>
          <w:sz w:val="32"/>
          <w:szCs w:val="32"/>
          <w:lang w:bidi="ar"/>
        </w:rPr>
      </w:pPr>
    </w:p>
    <w:p w14:paraId="3585EF3A">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政府性基金预算财政拨款收入支出决算表</w:t>
      </w:r>
    </w:p>
    <w:p w14:paraId="459FCBB4">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kern w:val="0"/>
          <w:sz w:val="20"/>
          <w:szCs w:val="20"/>
          <w:lang w:bidi="ar"/>
        </w:rPr>
        <w:t>公开07表</w:t>
      </w:r>
    </w:p>
    <w:p w14:paraId="4912F764">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部门：</w:t>
      </w:r>
      <w:r>
        <w:rPr>
          <w:rFonts w:hint="eastAsia" w:ascii="Times New Roman" w:hAnsi="Times New Roman" w:eastAsia="仿宋_GB2312" w:cs="Times New Roman"/>
          <w:color w:val="auto"/>
          <w:kern w:val="0"/>
          <w:sz w:val="20"/>
          <w:szCs w:val="20"/>
          <w:lang w:eastAsia="zh-CN" w:bidi="ar"/>
        </w:rPr>
        <w:t>蓝山县毛俊镇中心卫生院</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1A458016">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34A24">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 xml:space="preserve">项 </w:t>
            </w:r>
            <w:r>
              <w:rPr>
                <w:rStyle w:val="15"/>
                <w:rFonts w:hint="default" w:ascii="Times New Roman" w:hAnsi="Times New Roman" w:eastAsia="仿宋_GB2312" w:cs="Times New Roman"/>
                <w:b/>
                <w:bCs/>
                <w:color w:val="auto"/>
                <w:lang w:bidi="ar"/>
              </w:rPr>
              <w:t xml:space="preserve">   </w:t>
            </w:r>
            <w:r>
              <w:rPr>
                <w:rStyle w:val="16"/>
                <w:rFonts w:hint="default" w:ascii="Times New Roman" w:hAnsi="Times New Roman" w:eastAsia="仿宋_GB2312" w:cs="Times New Roman"/>
                <w:b/>
                <w:bCs/>
                <w:color w:val="auto"/>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83DB7">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EE8B4">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43D3CE">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D55AC">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年末结转和结余</w:t>
            </w:r>
          </w:p>
        </w:tc>
      </w:tr>
      <w:tr w14:paraId="004A116D">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0FB4E">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80900">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008DF">
            <w:pPr>
              <w:widowControl/>
              <w:jc w:val="center"/>
              <w:rPr>
                <w:rFonts w:ascii="Times New Roman" w:hAnsi="Times New Roman" w:eastAsia="仿宋_GB2312" w:cs="Times New Roman"/>
                <w:b/>
                <w:bCs/>
                <w:color w:val="auto"/>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64F70">
            <w:pPr>
              <w:widowControl/>
              <w:jc w:val="center"/>
              <w:rPr>
                <w:rFonts w:ascii="Times New Roman" w:hAnsi="Times New Roman" w:eastAsia="仿宋_GB2312" w:cs="Times New Roman"/>
                <w:b/>
                <w:bCs/>
                <w:color w:val="auto"/>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B1DB0">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8B354">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F4A88">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32238">
            <w:pPr>
              <w:widowControl/>
              <w:jc w:val="center"/>
              <w:rPr>
                <w:rFonts w:ascii="Times New Roman" w:hAnsi="Times New Roman" w:eastAsia="仿宋_GB2312" w:cs="Times New Roman"/>
                <w:color w:val="auto"/>
                <w:sz w:val="24"/>
                <w:szCs w:val="24"/>
              </w:rPr>
            </w:pPr>
          </w:p>
        </w:tc>
      </w:tr>
      <w:tr w14:paraId="28CB010A">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EB87E">
            <w:pPr>
              <w:jc w:val="center"/>
              <w:rPr>
                <w:rFonts w:ascii="Times New Roman" w:hAnsi="Times New Roman" w:eastAsia="仿宋_GB2312" w:cs="Times New Roman"/>
                <w:color w:val="auto"/>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2C30B">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39DAC">
            <w:pPr>
              <w:jc w:val="center"/>
              <w:rPr>
                <w:rFonts w:ascii="Times New Roman" w:hAnsi="Times New Roman" w:eastAsia="仿宋_GB2312" w:cs="Times New Roman"/>
                <w:color w:val="auto"/>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9A58B">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DC589">
            <w:pPr>
              <w:jc w:val="center"/>
              <w:rPr>
                <w:rFonts w:ascii="Times New Roman" w:hAnsi="Times New Roman" w:eastAsia="仿宋_GB2312" w:cs="Times New Roman"/>
                <w:color w:val="auto"/>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1B403">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76757">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B2BC6">
            <w:pPr>
              <w:jc w:val="center"/>
              <w:rPr>
                <w:rFonts w:ascii="Times New Roman" w:hAnsi="Times New Roman" w:eastAsia="仿宋_GB2312" w:cs="Times New Roman"/>
                <w:color w:val="auto"/>
                <w:sz w:val="24"/>
                <w:szCs w:val="24"/>
              </w:rPr>
            </w:pPr>
          </w:p>
        </w:tc>
      </w:tr>
      <w:tr w14:paraId="1AF97D91">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E4D67">
            <w:pPr>
              <w:jc w:val="center"/>
              <w:rPr>
                <w:rFonts w:ascii="Times New Roman" w:hAnsi="Times New Roman" w:eastAsia="仿宋_GB2312" w:cs="Times New Roman"/>
                <w:color w:val="auto"/>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86CD5">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4BA69">
            <w:pPr>
              <w:jc w:val="center"/>
              <w:rPr>
                <w:rFonts w:ascii="Times New Roman" w:hAnsi="Times New Roman" w:eastAsia="仿宋_GB2312" w:cs="Times New Roman"/>
                <w:color w:val="auto"/>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4A005">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04CEF">
            <w:pPr>
              <w:jc w:val="center"/>
              <w:rPr>
                <w:rFonts w:ascii="Times New Roman" w:hAnsi="Times New Roman" w:eastAsia="仿宋_GB2312" w:cs="Times New Roman"/>
                <w:color w:val="auto"/>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2F552">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5B5C1">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D3690">
            <w:pPr>
              <w:jc w:val="center"/>
              <w:rPr>
                <w:rFonts w:ascii="Times New Roman" w:hAnsi="Times New Roman" w:eastAsia="仿宋_GB2312" w:cs="Times New Roman"/>
                <w:color w:val="auto"/>
                <w:sz w:val="24"/>
                <w:szCs w:val="24"/>
              </w:rPr>
            </w:pPr>
          </w:p>
        </w:tc>
      </w:tr>
      <w:tr w14:paraId="689E52A3">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CA662">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0A47">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D329">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EA29">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E446">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C058">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3FA7">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6</w:t>
            </w:r>
          </w:p>
        </w:tc>
      </w:tr>
      <w:tr w14:paraId="534AADDD">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12950">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CFB4">
            <w:pPr>
              <w:jc w:val="cente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7E64">
            <w:pPr>
              <w:jc w:val="cente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80AD">
            <w:pPr>
              <w:jc w:val="cente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1DDF">
            <w:pPr>
              <w:jc w:val="cente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B70E">
            <w:pPr>
              <w:jc w:val="cente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6E4E">
            <w:pPr>
              <w:jc w:val="center"/>
              <w:rPr>
                <w:rFonts w:ascii="Times New Roman" w:hAnsi="Times New Roman" w:eastAsia="仿宋_GB2312" w:cs="Times New Roman"/>
                <w:color w:val="auto"/>
                <w:sz w:val="24"/>
                <w:szCs w:val="24"/>
              </w:rPr>
            </w:pPr>
          </w:p>
        </w:tc>
      </w:tr>
      <w:tr w14:paraId="14C438B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4494">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58EB">
            <w:pPr>
              <w:rPr>
                <w:rFonts w:ascii="Times New Roman" w:hAnsi="Times New Roman" w:eastAsia="仿宋_GB2312" w:cs="Times New Roman"/>
                <w:color w:val="auto"/>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024C">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7D30">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A816">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7245">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6E45">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BE69">
            <w:pPr>
              <w:rPr>
                <w:rFonts w:ascii="Times New Roman" w:hAnsi="Times New Roman" w:eastAsia="仿宋_GB2312" w:cs="Times New Roman"/>
                <w:color w:val="auto"/>
                <w:sz w:val="24"/>
                <w:szCs w:val="24"/>
              </w:rPr>
            </w:pPr>
          </w:p>
        </w:tc>
      </w:tr>
      <w:tr w14:paraId="09DD6CE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2B62">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4012">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058F">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F5F3">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91F2">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0877">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B255">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4488">
            <w:pPr>
              <w:rPr>
                <w:rFonts w:ascii="Times New Roman" w:hAnsi="Times New Roman" w:eastAsia="仿宋_GB2312" w:cs="Times New Roman"/>
                <w:color w:val="auto"/>
                <w:sz w:val="24"/>
                <w:szCs w:val="24"/>
              </w:rPr>
            </w:pPr>
          </w:p>
        </w:tc>
      </w:tr>
      <w:tr w14:paraId="76F6C5B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1A4A">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9684">
            <w:pPr>
              <w:rPr>
                <w:rFonts w:ascii="Times New Roman" w:hAnsi="Times New Roman" w:eastAsia="仿宋_GB2312" w:cs="Times New Roman"/>
                <w:color w:val="auto"/>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4FB0">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F387">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2484">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0355">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C11E">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6CF5">
            <w:pPr>
              <w:rPr>
                <w:rFonts w:ascii="Times New Roman" w:hAnsi="Times New Roman" w:eastAsia="仿宋_GB2312" w:cs="Times New Roman"/>
                <w:color w:val="auto"/>
                <w:sz w:val="24"/>
                <w:szCs w:val="24"/>
              </w:rPr>
            </w:pPr>
          </w:p>
        </w:tc>
      </w:tr>
      <w:tr w14:paraId="48819B7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E983">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C1C6">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4B89">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4D18">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B1B3">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7D3D">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FFAD">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5F57">
            <w:pPr>
              <w:rPr>
                <w:rFonts w:ascii="Times New Roman" w:hAnsi="Times New Roman" w:eastAsia="仿宋_GB2312" w:cs="Times New Roman"/>
                <w:color w:val="auto"/>
                <w:sz w:val="24"/>
                <w:szCs w:val="24"/>
              </w:rPr>
            </w:pPr>
          </w:p>
        </w:tc>
      </w:tr>
      <w:tr w14:paraId="5228026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B89C">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C589">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07BE">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E5D3">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40AC">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7403">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3AFD">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018D">
            <w:pPr>
              <w:rPr>
                <w:rFonts w:ascii="Times New Roman" w:hAnsi="Times New Roman" w:eastAsia="仿宋_GB2312" w:cs="Times New Roman"/>
                <w:color w:val="auto"/>
                <w:sz w:val="24"/>
                <w:szCs w:val="24"/>
              </w:rPr>
            </w:pPr>
          </w:p>
        </w:tc>
      </w:tr>
      <w:tr w14:paraId="486853B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1992">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A4CA">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A956">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DB8D">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AB2C">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2D8B">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F2B3">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46A5">
            <w:pPr>
              <w:rPr>
                <w:rFonts w:ascii="Times New Roman" w:hAnsi="Times New Roman" w:eastAsia="仿宋_GB2312" w:cs="Times New Roman"/>
                <w:color w:val="auto"/>
                <w:sz w:val="24"/>
                <w:szCs w:val="24"/>
              </w:rPr>
            </w:pPr>
          </w:p>
        </w:tc>
      </w:tr>
    </w:tbl>
    <w:p w14:paraId="56AC7572">
      <w:pPr>
        <w:widowControl/>
        <w:spacing w:before="120"/>
        <w:jc w:val="left"/>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color w:val="auto"/>
          <w:kern w:val="0"/>
          <w:sz w:val="24"/>
          <w:szCs w:val="24"/>
          <w:lang w:bidi="ar"/>
        </w:rPr>
        <w:t>注：本表反映部门本年度政府性基金预算财政拨款收入、支出及结转和结余情况。</w:t>
      </w:r>
    </w:p>
    <w:p w14:paraId="7A75FD72">
      <w:pPr>
        <w:widowControl/>
        <w:jc w:val="left"/>
        <w:textAlignment w:val="center"/>
        <w:rPr>
          <w:rFonts w:ascii="Times New Roman" w:hAnsi="Times New Roman" w:eastAsia="仿宋_GB2312" w:cs="Times New Roman"/>
          <w:color w:val="auto"/>
          <w:kern w:val="0"/>
          <w:sz w:val="24"/>
          <w:szCs w:val="24"/>
          <w:lang w:bidi="ar"/>
        </w:rPr>
      </w:pPr>
    </w:p>
    <w:p w14:paraId="7144A337">
      <w:pPr>
        <w:widowControl/>
        <w:jc w:val="left"/>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b/>
          <w:bCs/>
          <w:color w:val="auto"/>
          <w:kern w:val="0"/>
          <w:sz w:val="24"/>
          <w:szCs w:val="24"/>
          <w:lang w:bidi="ar"/>
        </w:rPr>
        <w:t>说明：我单位没有政府性基金收入，也没有使用政府性基金安排的支出，故本表无数据。</w:t>
      </w:r>
    </w:p>
    <w:p w14:paraId="7F514D45">
      <w:pPr>
        <w:widowControl/>
        <w:jc w:val="center"/>
        <w:rPr>
          <w:rFonts w:ascii="Times New Roman" w:hAnsi="Times New Roman" w:eastAsia="方正小标宋_GBK" w:cs="Times New Roman"/>
          <w:color w:val="auto"/>
          <w:kern w:val="0"/>
          <w:sz w:val="36"/>
          <w:szCs w:val="36"/>
        </w:rPr>
      </w:pPr>
    </w:p>
    <w:p w14:paraId="76D4D32F">
      <w:pPr>
        <w:widowControl/>
        <w:spacing w:line="400" w:lineRule="exact"/>
        <w:textAlignment w:val="center"/>
        <w:rPr>
          <w:rFonts w:ascii="Times New Roman" w:hAnsi="Times New Roman" w:eastAsia="黑体" w:cs="Times New Roman"/>
          <w:color w:val="auto"/>
          <w:kern w:val="0"/>
          <w:sz w:val="36"/>
          <w:szCs w:val="36"/>
          <w:lang w:bidi="ar"/>
        </w:rPr>
      </w:pPr>
    </w:p>
    <w:p w14:paraId="06845DAD">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国有资本经营预算财政拨款支出决算表</w:t>
      </w:r>
    </w:p>
    <w:p w14:paraId="5F3023BE">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w:t>
      </w:r>
      <w:r>
        <w:rPr>
          <w:rFonts w:hint="eastAsia" w:ascii="Times New Roman" w:hAnsi="Times New Roman" w:eastAsia="仿宋_GB2312" w:cs="Times New Roman"/>
          <w:color w:val="auto"/>
          <w:kern w:val="0"/>
          <w:sz w:val="20"/>
          <w:szCs w:val="20"/>
          <w:lang w:val="en-US" w:eastAsia="zh-CN" w:bidi="ar"/>
        </w:rPr>
        <w:t xml:space="preserve">         </w:t>
      </w:r>
      <w:r>
        <w:rPr>
          <w:rFonts w:ascii="Times New Roman" w:hAnsi="Times New Roman" w:eastAsia="仿宋_GB2312" w:cs="Times New Roman"/>
          <w:color w:val="auto"/>
          <w:kern w:val="0"/>
          <w:sz w:val="20"/>
          <w:szCs w:val="20"/>
          <w:lang w:bidi="ar"/>
        </w:rPr>
        <w:t xml:space="preserve"> 公开08表</w:t>
      </w:r>
    </w:p>
    <w:p w14:paraId="54945DDE">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部门：</w:t>
      </w:r>
      <w:r>
        <w:rPr>
          <w:rFonts w:hint="eastAsia" w:ascii="Times New Roman" w:hAnsi="Times New Roman" w:eastAsia="仿宋_GB2312" w:cs="Times New Roman"/>
          <w:color w:val="auto"/>
          <w:kern w:val="0"/>
          <w:sz w:val="20"/>
          <w:szCs w:val="20"/>
          <w:lang w:eastAsia="zh-CN" w:bidi="ar"/>
        </w:rPr>
        <w:t>蓝山县毛俊镇中心卫生院</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kern w:val="0"/>
          <w:sz w:val="20"/>
          <w:szCs w:val="20"/>
          <w:lang w:bidi="ar"/>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7C6F277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A1419">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 xml:space="preserve">项 </w:t>
            </w:r>
            <w:r>
              <w:rPr>
                <w:rFonts w:ascii="Times New Roman" w:hAnsi="Times New Roman" w:eastAsia="仿宋_GB2312" w:cs="Times New Roman"/>
                <w:b/>
                <w:bCs/>
                <w:color w:val="auto"/>
                <w:kern w:val="0"/>
                <w:sz w:val="22"/>
                <w:lang w:bidi="ar"/>
              </w:rPr>
              <w:t xml:space="preserve">   </w:t>
            </w:r>
            <w:r>
              <w:rPr>
                <w:rStyle w:val="17"/>
                <w:rFonts w:hint="default" w:ascii="Times New Roman" w:hAnsi="Times New Roman" w:eastAsia="仿宋_GB2312" w:cs="Times New Roman"/>
                <w:b/>
                <w:bCs/>
                <w:color w:val="auto"/>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D31C0">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本年支出</w:t>
            </w:r>
          </w:p>
        </w:tc>
      </w:tr>
      <w:tr w14:paraId="27DD0941">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517C4">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4B08B">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E0F36">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394C8">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F3A06">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项目支出</w:t>
            </w:r>
          </w:p>
        </w:tc>
      </w:tr>
      <w:tr w14:paraId="3964F62C">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6029E">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8A779">
            <w:pPr>
              <w:jc w:val="center"/>
              <w:rPr>
                <w:rFonts w:ascii="Times New Roman" w:hAnsi="Times New Roman" w:eastAsia="仿宋_GB2312" w:cs="Times New Roman"/>
                <w:color w:val="auto"/>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A745B">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F4328">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96E45">
            <w:pPr>
              <w:jc w:val="center"/>
              <w:rPr>
                <w:rFonts w:ascii="Times New Roman" w:hAnsi="Times New Roman" w:eastAsia="仿宋_GB2312" w:cs="Times New Roman"/>
                <w:color w:val="auto"/>
                <w:sz w:val="24"/>
                <w:szCs w:val="24"/>
              </w:rPr>
            </w:pPr>
          </w:p>
        </w:tc>
      </w:tr>
      <w:tr w14:paraId="0D2631A3">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953B4">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5F40A">
            <w:pPr>
              <w:jc w:val="center"/>
              <w:rPr>
                <w:rFonts w:ascii="Times New Roman" w:hAnsi="Times New Roman" w:eastAsia="仿宋_GB2312" w:cs="Times New Roman"/>
                <w:color w:val="auto"/>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FB6FD">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FDD2B">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5346D">
            <w:pPr>
              <w:jc w:val="center"/>
              <w:rPr>
                <w:rFonts w:ascii="Times New Roman" w:hAnsi="Times New Roman" w:eastAsia="仿宋_GB2312" w:cs="Times New Roman"/>
                <w:color w:val="auto"/>
                <w:sz w:val="24"/>
                <w:szCs w:val="24"/>
              </w:rPr>
            </w:pPr>
          </w:p>
        </w:tc>
      </w:tr>
      <w:tr w14:paraId="4DC248E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0737C">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F7842">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BA8DC">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6906D">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3</w:t>
            </w:r>
          </w:p>
        </w:tc>
      </w:tr>
      <w:tr w14:paraId="350D5BE9">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EF835">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3BB3A">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B6A98">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E64E1">
            <w:pPr>
              <w:jc w:val="center"/>
              <w:rPr>
                <w:rFonts w:ascii="Times New Roman" w:hAnsi="Times New Roman" w:eastAsia="仿宋_GB2312" w:cs="Times New Roman"/>
                <w:color w:val="auto"/>
                <w:sz w:val="24"/>
                <w:szCs w:val="24"/>
              </w:rPr>
            </w:pPr>
          </w:p>
        </w:tc>
      </w:tr>
      <w:tr w14:paraId="5AA50B5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5E2AE">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67204">
            <w:pPr>
              <w:rPr>
                <w:rFonts w:ascii="Times New Roman" w:hAnsi="Times New Roman" w:eastAsia="仿宋_GB2312" w:cs="Times New Roman"/>
                <w:color w:val="auto"/>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D0DE6">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E7197">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AEAAD">
            <w:pPr>
              <w:rPr>
                <w:rFonts w:ascii="Times New Roman" w:hAnsi="Times New Roman" w:eastAsia="仿宋_GB2312" w:cs="Times New Roman"/>
                <w:color w:val="auto"/>
                <w:sz w:val="24"/>
                <w:szCs w:val="24"/>
              </w:rPr>
            </w:pPr>
          </w:p>
        </w:tc>
      </w:tr>
      <w:tr w14:paraId="766D2BD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4C25D">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CEEB1">
            <w:pPr>
              <w:rPr>
                <w:rFonts w:ascii="Times New Roman" w:hAnsi="Times New Roman" w:eastAsia="仿宋_GB2312"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FD26F">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04B62">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C7DB9">
            <w:pPr>
              <w:rPr>
                <w:rFonts w:ascii="Times New Roman" w:hAnsi="Times New Roman" w:eastAsia="仿宋_GB2312" w:cs="Times New Roman"/>
                <w:color w:val="auto"/>
                <w:sz w:val="24"/>
                <w:szCs w:val="24"/>
              </w:rPr>
            </w:pPr>
          </w:p>
        </w:tc>
      </w:tr>
      <w:tr w14:paraId="6254C65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8EE2A">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06789">
            <w:pPr>
              <w:rPr>
                <w:rFonts w:ascii="Times New Roman" w:hAnsi="Times New Roman" w:eastAsia="宋体" w:cs="Times New Roman"/>
                <w:color w:val="auto"/>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507F">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76C20">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0CF4">
            <w:pPr>
              <w:rPr>
                <w:rFonts w:ascii="Times New Roman" w:hAnsi="Times New Roman" w:eastAsia="宋体" w:cs="Times New Roman"/>
                <w:color w:val="auto"/>
                <w:sz w:val="24"/>
                <w:szCs w:val="24"/>
              </w:rPr>
            </w:pPr>
          </w:p>
        </w:tc>
      </w:tr>
      <w:tr w14:paraId="1C89F01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5B4C1">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69687">
            <w:pPr>
              <w:rPr>
                <w:rFonts w:ascii="Times New Roman" w:hAnsi="Times New Roman" w:eastAsia="宋体"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380CD">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DCE32">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CDF3B">
            <w:pPr>
              <w:rPr>
                <w:rFonts w:ascii="Times New Roman" w:hAnsi="Times New Roman" w:eastAsia="宋体" w:cs="Times New Roman"/>
                <w:color w:val="auto"/>
                <w:sz w:val="24"/>
                <w:szCs w:val="24"/>
              </w:rPr>
            </w:pPr>
          </w:p>
        </w:tc>
      </w:tr>
      <w:tr w14:paraId="6029189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04AFA">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80BA1">
            <w:pPr>
              <w:rPr>
                <w:rFonts w:ascii="Times New Roman" w:hAnsi="Times New Roman" w:eastAsia="宋体"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4E674">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3067">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45E28">
            <w:pPr>
              <w:rPr>
                <w:rFonts w:ascii="Times New Roman" w:hAnsi="Times New Roman" w:eastAsia="宋体" w:cs="Times New Roman"/>
                <w:color w:val="auto"/>
                <w:sz w:val="24"/>
                <w:szCs w:val="24"/>
              </w:rPr>
            </w:pPr>
          </w:p>
        </w:tc>
      </w:tr>
      <w:tr w14:paraId="72957EC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CACCD">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55629">
            <w:pPr>
              <w:rPr>
                <w:rFonts w:ascii="Times New Roman" w:hAnsi="Times New Roman" w:eastAsia="宋体"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C9F2F">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59F2D">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C4AB8">
            <w:pPr>
              <w:rPr>
                <w:rFonts w:ascii="Times New Roman" w:hAnsi="Times New Roman" w:eastAsia="宋体" w:cs="Times New Roman"/>
                <w:color w:val="auto"/>
                <w:sz w:val="24"/>
                <w:szCs w:val="24"/>
              </w:rPr>
            </w:pPr>
          </w:p>
        </w:tc>
      </w:tr>
    </w:tbl>
    <w:p w14:paraId="63C40730">
      <w:pPr>
        <w:widowControl/>
        <w:spacing w:before="120"/>
        <w:jc w:val="left"/>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color w:val="auto"/>
          <w:kern w:val="0"/>
          <w:sz w:val="24"/>
          <w:szCs w:val="24"/>
          <w:lang w:bidi="ar"/>
        </w:rPr>
        <w:t>注：本表反映部门本年度国有资本经营预算财政拨款支出情况。</w:t>
      </w:r>
    </w:p>
    <w:p w14:paraId="08E10FC3">
      <w:pPr>
        <w:widowControl/>
        <w:jc w:val="left"/>
        <w:textAlignment w:val="center"/>
        <w:rPr>
          <w:rFonts w:ascii="Times New Roman" w:hAnsi="Times New Roman" w:eastAsia="宋体" w:cs="Times New Roman"/>
          <w:color w:val="auto"/>
          <w:kern w:val="0"/>
          <w:sz w:val="24"/>
          <w:szCs w:val="24"/>
          <w:lang w:bidi="ar"/>
        </w:rPr>
      </w:pPr>
    </w:p>
    <w:p w14:paraId="028F82C0">
      <w:pPr>
        <w:widowControl/>
        <w:jc w:val="left"/>
        <w:textAlignment w:val="center"/>
        <w:rPr>
          <w:rFonts w:ascii="Times New Roman" w:hAnsi="Times New Roman" w:eastAsia="楷体_GB2312" w:cs="Times New Roman"/>
          <w:color w:val="auto"/>
          <w:kern w:val="0"/>
          <w:sz w:val="24"/>
          <w:szCs w:val="24"/>
          <w:lang w:bidi="ar"/>
        </w:rPr>
      </w:pPr>
      <w:r>
        <w:rPr>
          <w:rFonts w:ascii="Times New Roman" w:hAnsi="Times New Roman" w:eastAsia="楷体_GB2312" w:cs="Times New Roman"/>
          <w:b/>
          <w:bCs/>
          <w:color w:val="auto"/>
          <w:kern w:val="0"/>
          <w:sz w:val="24"/>
          <w:szCs w:val="24"/>
          <w:lang w:bidi="ar"/>
        </w:rPr>
        <w:t>说明：我单位没有使用国有资本经营预算安排的支出，故本表无数据。</w:t>
      </w:r>
    </w:p>
    <w:p w14:paraId="4AFAEEBB">
      <w:pPr>
        <w:widowControl/>
        <w:jc w:val="center"/>
        <w:rPr>
          <w:rFonts w:ascii="Times New Roman" w:hAnsi="Times New Roman" w:eastAsia="方正小标宋_GBK" w:cs="Times New Roman"/>
          <w:color w:val="auto"/>
          <w:kern w:val="0"/>
          <w:sz w:val="36"/>
          <w:szCs w:val="36"/>
        </w:rPr>
      </w:pPr>
    </w:p>
    <w:p w14:paraId="70A25362">
      <w:pPr>
        <w:pStyle w:val="6"/>
        <w:spacing w:line="400" w:lineRule="exact"/>
        <w:rPr>
          <w:rFonts w:ascii="Times New Roman" w:hAnsi="Times New Roman" w:eastAsia="华文中宋" w:cs="Times New Roman"/>
          <w:color w:val="auto"/>
          <w:kern w:val="0"/>
          <w:sz w:val="32"/>
          <w:szCs w:val="32"/>
          <w:lang w:bidi="ar"/>
        </w:rPr>
      </w:pPr>
    </w:p>
    <w:p w14:paraId="7BBBA57E">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财政拨款“三公”经费支出决算表</w:t>
      </w:r>
    </w:p>
    <w:p w14:paraId="09AA9ADB">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auto"/>
          <w:sz w:val="20"/>
          <w:szCs w:val="20"/>
        </w:rPr>
      </w:pP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kern w:val="0"/>
          <w:sz w:val="20"/>
          <w:szCs w:val="20"/>
          <w:lang w:bidi="ar"/>
        </w:rPr>
        <w:t>公开09表</w:t>
      </w:r>
    </w:p>
    <w:p w14:paraId="2FA679E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center"/>
        <w:textAlignment w:val="center"/>
        <w:rPr>
          <w:rFonts w:ascii="Times New Roman" w:hAnsi="Times New Roman" w:eastAsia="楷体_GB2312" w:cs="Times New Roman"/>
          <w:color w:val="auto"/>
          <w:sz w:val="20"/>
          <w:szCs w:val="20"/>
        </w:rPr>
      </w:pPr>
      <w:r>
        <w:rPr>
          <w:rFonts w:ascii="Times New Roman" w:hAnsi="Times New Roman" w:eastAsia="楷体_GB2312" w:cs="Times New Roman"/>
          <w:color w:val="auto"/>
          <w:kern w:val="0"/>
          <w:sz w:val="20"/>
          <w:szCs w:val="20"/>
          <w:lang w:bidi="ar"/>
        </w:rPr>
        <w:t>部门：</w:t>
      </w:r>
      <w:r>
        <w:rPr>
          <w:rFonts w:hint="eastAsia" w:ascii="Times New Roman" w:hAnsi="Times New Roman" w:eastAsia="楷体_GB2312" w:cs="Times New Roman"/>
          <w:color w:val="auto"/>
          <w:kern w:val="0"/>
          <w:sz w:val="20"/>
          <w:szCs w:val="20"/>
          <w:lang w:eastAsia="zh-CN" w:bidi="ar"/>
        </w:rPr>
        <w:t>蓝山县毛俊镇中心卫生院</w:t>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hint="eastAsia" w:ascii="Times New Roman" w:hAnsi="Times New Roman" w:eastAsia="楷体_GB2312" w:cs="Times New Roman"/>
          <w:color w:val="auto"/>
          <w:sz w:val="20"/>
          <w:szCs w:val="20"/>
          <w:lang w:val="en-US" w:eastAsia="zh-CN"/>
        </w:rPr>
        <w:t xml:space="preserve">   </w:t>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hint="eastAsia" w:ascii="Times New Roman" w:hAnsi="Times New Roman" w:eastAsia="楷体_GB2312" w:cs="Times New Roman"/>
          <w:color w:val="auto"/>
          <w:sz w:val="20"/>
          <w:szCs w:val="20"/>
          <w:lang w:val="en-US" w:eastAsia="zh-CN"/>
        </w:rPr>
        <w:t xml:space="preserve">               </w:t>
      </w:r>
      <w:r>
        <w:rPr>
          <w:rFonts w:ascii="Times New Roman" w:hAnsi="Times New Roman" w:eastAsia="楷体_GB2312" w:cs="Times New Roman"/>
          <w:color w:val="auto"/>
          <w:kern w:val="0"/>
          <w:sz w:val="20"/>
          <w:szCs w:val="20"/>
          <w:lang w:bidi="ar"/>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2D9A1F13">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436A6B">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B53B46">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决算数</w:t>
            </w:r>
          </w:p>
        </w:tc>
      </w:tr>
      <w:tr w14:paraId="2AFA546C">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C0DB2">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AFC2E">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9D8B0B">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EEA00">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3051A">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59BA7">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2BF24A">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783AC">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公务接待费</w:t>
            </w:r>
          </w:p>
        </w:tc>
      </w:tr>
      <w:tr w14:paraId="39044C70">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1E54C">
            <w:pPr>
              <w:jc w:val="center"/>
              <w:rPr>
                <w:rFonts w:ascii="Times New Roman" w:hAnsi="Times New Roman" w:eastAsia="仿宋_GB2312" w:cs="Times New Roman"/>
                <w:color w:val="auto"/>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8F58E">
            <w:pPr>
              <w:jc w:val="center"/>
              <w:rPr>
                <w:rFonts w:ascii="Times New Roman" w:hAnsi="Times New Roman" w:eastAsia="仿宋_GB2312" w:cs="Times New Roman"/>
                <w:color w:val="auto"/>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11824">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3CA19">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w:t>
            </w:r>
            <w:r>
              <w:rPr>
                <w:rFonts w:ascii="Times New Roman" w:hAnsi="Times New Roman" w:eastAsia="仿宋_GB2312" w:cs="Times New Roman"/>
                <w:b/>
                <w:bCs/>
                <w:color w:val="auto"/>
                <w:kern w:val="0"/>
                <w:sz w:val="22"/>
                <w:lang w:bidi="ar"/>
              </w:rPr>
              <w:br w:type="textWrapping"/>
            </w:r>
            <w:r>
              <w:rPr>
                <w:rFonts w:ascii="Times New Roman" w:hAnsi="Times New Roman" w:eastAsia="仿宋_GB2312" w:cs="Times New Roman"/>
                <w:b/>
                <w:bCs/>
                <w:color w:val="auto"/>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C82ED">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w:t>
            </w:r>
            <w:r>
              <w:rPr>
                <w:rFonts w:ascii="Times New Roman" w:hAnsi="Times New Roman" w:eastAsia="仿宋_GB2312" w:cs="Times New Roman"/>
                <w:b/>
                <w:bCs/>
                <w:color w:val="auto"/>
                <w:kern w:val="0"/>
                <w:sz w:val="22"/>
                <w:lang w:bidi="ar"/>
              </w:rPr>
              <w:br w:type="textWrapping"/>
            </w:r>
            <w:r>
              <w:rPr>
                <w:rFonts w:ascii="Times New Roman" w:hAnsi="Times New Roman" w:eastAsia="仿宋_GB2312" w:cs="Times New Roman"/>
                <w:b/>
                <w:bCs/>
                <w:color w:val="auto"/>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B53E7">
            <w:pPr>
              <w:jc w:val="center"/>
              <w:rPr>
                <w:rFonts w:ascii="Times New Roman" w:hAnsi="Times New Roman" w:eastAsia="仿宋_GB2312" w:cs="Times New Roman"/>
                <w:color w:val="auto"/>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F2183">
            <w:pPr>
              <w:jc w:val="center"/>
              <w:rPr>
                <w:rFonts w:ascii="Times New Roman" w:hAnsi="Times New Roman" w:eastAsia="仿宋_GB2312" w:cs="Times New Roman"/>
                <w:color w:val="auto"/>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789F3">
            <w:pPr>
              <w:jc w:val="center"/>
              <w:rPr>
                <w:rFonts w:ascii="Times New Roman" w:hAnsi="Times New Roman" w:eastAsia="仿宋_GB2312" w:cs="Times New Roman"/>
                <w:color w:val="auto"/>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A1FAC">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FFBF4">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w:t>
            </w:r>
            <w:r>
              <w:rPr>
                <w:rFonts w:ascii="Times New Roman" w:hAnsi="Times New Roman" w:eastAsia="仿宋_GB2312" w:cs="Times New Roman"/>
                <w:b/>
                <w:bCs/>
                <w:color w:val="auto"/>
                <w:kern w:val="0"/>
                <w:sz w:val="22"/>
                <w:lang w:bidi="ar"/>
              </w:rPr>
              <w:br w:type="textWrapping"/>
            </w:r>
            <w:r>
              <w:rPr>
                <w:rFonts w:ascii="Times New Roman" w:hAnsi="Times New Roman" w:eastAsia="仿宋_GB2312" w:cs="Times New Roman"/>
                <w:b/>
                <w:bCs/>
                <w:color w:val="auto"/>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B0C26">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w:t>
            </w:r>
            <w:r>
              <w:rPr>
                <w:rFonts w:ascii="Times New Roman" w:hAnsi="Times New Roman" w:eastAsia="仿宋_GB2312" w:cs="Times New Roman"/>
                <w:b/>
                <w:bCs/>
                <w:color w:val="auto"/>
                <w:kern w:val="0"/>
                <w:sz w:val="22"/>
                <w:lang w:bidi="ar"/>
              </w:rPr>
              <w:br w:type="textWrapping"/>
            </w:r>
            <w:r>
              <w:rPr>
                <w:rFonts w:ascii="Times New Roman" w:hAnsi="Times New Roman" w:eastAsia="仿宋_GB2312" w:cs="Times New Roman"/>
                <w:b/>
                <w:bCs/>
                <w:color w:val="auto"/>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F7EE2">
            <w:pPr>
              <w:jc w:val="center"/>
              <w:rPr>
                <w:rFonts w:ascii="Times New Roman" w:hAnsi="Times New Roman" w:eastAsia="仿宋_GB2312" w:cs="Times New Roman"/>
                <w:color w:val="auto"/>
                <w:sz w:val="22"/>
              </w:rPr>
            </w:pPr>
          </w:p>
        </w:tc>
      </w:tr>
      <w:tr w14:paraId="646D9F6E">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FE6ED">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AAFFC">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5F785">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83FB0">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1A4EB">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A98E6">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AD393">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EBC05">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25D56">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FC085">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16806">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02CD8">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12</w:t>
            </w:r>
          </w:p>
        </w:tc>
      </w:tr>
      <w:tr w14:paraId="3BCCF839">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1F292">
            <w:pPr>
              <w:rPr>
                <w:rFonts w:hint="default" w:ascii="Times New Roman" w:hAnsi="Times New Roman" w:eastAsia="仿宋_GB2312" w:cs="Times New Roman"/>
                <w:color w:val="auto"/>
                <w:sz w:val="22"/>
                <w:lang w:val="en-US" w:eastAsia="zh-CN"/>
              </w:rPr>
            </w:pPr>
            <w:r>
              <w:rPr>
                <w:rFonts w:hint="eastAsia" w:ascii="Times New Roman" w:hAnsi="Times New Roman" w:eastAsia="仿宋_GB2312" w:cs="Times New Roman"/>
                <w:color w:val="auto"/>
                <w:sz w:val="22"/>
                <w:lang w:val="en-US" w:eastAsia="zh-CN"/>
              </w:rPr>
              <w:t>0.19</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65B70">
            <w:pPr>
              <w:rPr>
                <w:rFonts w:ascii="Times New Roman" w:hAnsi="Times New Roman" w:eastAsia="仿宋_GB2312" w:cs="Times New Roman"/>
                <w:color w:val="auto"/>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80AB5">
            <w:pPr>
              <w:rPr>
                <w:rFonts w:ascii="Times New Roman" w:hAnsi="Times New Roman" w:eastAsia="仿宋_GB2312" w:cs="Times New Roman"/>
                <w:color w:val="auto"/>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07898">
            <w:pPr>
              <w:rPr>
                <w:rFonts w:ascii="Times New Roman" w:hAnsi="Times New Roman" w:eastAsia="仿宋_GB2312" w:cs="Times New Roman"/>
                <w:color w:val="auto"/>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9A958">
            <w:pPr>
              <w:rPr>
                <w:rFonts w:ascii="Times New Roman" w:hAnsi="Times New Roman" w:eastAsia="仿宋_GB2312" w:cs="Times New Roman"/>
                <w:color w:val="auto"/>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B1DB2">
            <w:pPr>
              <w:rPr>
                <w:rFonts w:ascii="Times New Roman" w:hAnsi="Times New Roman" w:eastAsia="仿宋_GB2312" w:cs="Times New Roman"/>
                <w:color w:val="auto"/>
                <w:sz w:val="22"/>
              </w:rPr>
            </w:pPr>
            <w:r>
              <w:rPr>
                <w:rFonts w:hint="eastAsia" w:ascii="Times New Roman" w:hAnsi="Times New Roman" w:eastAsia="仿宋_GB2312" w:cs="Times New Roman"/>
                <w:color w:val="auto"/>
                <w:sz w:val="22"/>
                <w:lang w:val="en-US" w:eastAsia="zh-CN"/>
              </w:rPr>
              <w:t>0.19</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59540">
            <w:pPr>
              <w:rPr>
                <w:rFonts w:ascii="Times New Roman" w:hAnsi="Times New Roman" w:eastAsia="仿宋_GB2312" w:cs="Times New Roman"/>
                <w:color w:val="auto"/>
                <w:sz w:val="22"/>
              </w:rPr>
            </w:pPr>
            <w:r>
              <w:rPr>
                <w:rFonts w:hint="eastAsia" w:ascii="Times New Roman" w:hAnsi="Times New Roman" w:eastAsia="仿宋_GB2312" w:cs="Times New Roman"/>
                <w:color w:val="auto"/>
                <w:sz w:val="22"/>
                <w:lang w:val="en-US" w:eastAsia="zh-CN"/>
              </w:rPr>
              <w:t>0.19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D6B54">
            <w:pPr>
              <w:rPr>
                <w:rFonts w:ascii="Times New Roman" w:hAnsi="Times New Roman" w:eastAsia="仿宋_GB2312" w:cs="Times New Roman"/>
                <w:color w:val="auto"/>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A0FAE">
            <w:pPr>
              <w:rPr>
                <w:rFonts w:ascii="Times New Roman" w:hAnsi="Times New Roman" w:eastAsia="仿宋_GB2312" w:cs="Times New Roman"/>
                <w:color w:val="auto"/>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64A6D">
            <w:pPr>
              <w:rPr>
                <w:rFonts w:ascii="Times New Roman" w:hAnsi="Times New Roman" w:eastAsia="仿宋_GB2312" w:cs="Times New Roman"/>
                <w:color w:val="auto"/>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EE11">
            <w:pPr>
              <w:rPr>
                <w:rFonts w:ascii="Times New Roman" w:hAnsi="Times New Roman" w:eastAsia="仿宋_GB2312" w:cs="Times New Roman"/>
                <w:color w:val="auto"/>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54AEC">
            <w:pPr>
              <w:rPr>
                <w:rFonts w:ascii="Times New Roman" w:hAnsi="Times New Roman" w:eastAsia="仿宋_GB2312" w:cs="Times New Roman"/>
                <w:color w:val="auto"/>
                <w:sz w:val="22"/>
              </w:rPr>
            </w:pPr>
            <w:r>
              <w:rPr>
                <w:rFonts w:hint="eastAsia" w:ascii="Times New Roman" w:hAnsi="Times New Roman" w:eastAsia="仿宋_GB2312" w:cs="Times New Roman"/>
                <w:color w:val="auto"/>
                <w:sz w:val="22"/>
                <w:lang w:val="en-US" w:eastAsia="zh-CN"/>
              </w:rPr>
              <w:t>0.19</w:t>
            </w:r>
          </w:p>
        </w:tc>
      </w:tr>
    </w:tbl>
    <w:p w14:paraId="677BE4A3">
      <w:pPr>
        <w:widowControl/>
        <w:spacing w:before="120"/>
        <w:jc w:val="left"/>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2E27239A">
      <w:pPr>
        <w:autoSpaceDE w:val="0"/>
        <w:autoSpaceDN w:val="0"/>
        <w:adjustRightInd w:val="0"/>
        <w:ind w:left="315" w:leftChars="150"/>
        <w:jc w:val="left"/>
        <w:rPr>
          <w:rFonts w:ascii="Times New Roman" w:hAnsi="Times New Roman" w:eastAsia="宋体" w:cs="Times New Roman"/>
          <w:color w:val="auto"/>
          <w:kern w:val="0"/>
          <w:sz w:val="24"/>
          <w:szCs w:val="24"/>
        </w:rPr>
      </w:pPr>
    </w:p>
    <w:p w14:paraId="51606CF2">
      <w:pPr>
        <w:autoSpaceDE w:val="0"/>
        <w:autoSpaceDN w:val="0"/>
        <w:adjustRightInd w:val="0"/>
        <w:ind w:left="315" w:leftChars="150"/>
        <w:jc w:val="left"/>
        <w:rPr>
          <w:rFonts w:ascii="Times New Roman" w:hAnsi="Times New Roman" w:eastAsia="宋体" w:cs="Times New Roman"/>
          <w:color w:val="auto"/>
          <w:kern w:val="0"/>
          <w:sz w:val="24"/>
          <w:szCs w:val="24"/>
        </w:rPr>
      </w:pPr>
    </w:p>
    <w:p w14:paraId="18735286">
      <w:pPr>
        <w:autoSpaceDE w:val="0"/>
        <w:autoSpaceDN w:val="0"/>
        <w:adjustRightInd w:val="0"/>
        <w:ind w:left="315" w:leftChars="150"/>
        <w:jc w:val="left"/>
        <w:rPr>
          <w:rFonts w:ascii="Times New Roman" w:hAnsi="Times New Roman" w:eastAsia="宋体" w:cs="Times New Roman"/>
          <w:color w:val="auto"/>
          <w:kern w:val="0"/>
          <w:sz w:val="24"/>
          <w:szCs w:val="24"/>
        </w:rPr>
      </w:pPr>
    </w:p>
    <w:p w14:paraId="6AE5E450">
      <w:pPr>
        <w:autoSpaceDE w:val="0"/>
        <w:autoSpaceDN w:val="0"/>
        <w:adjustRightInd w:val="0"/>
        <w:ind w:left="315" w:leftChars="150"/>
        <w:jc w:val="left"/>
        <w:rPr>
          <w:rFonts w:ascii="Times New Roman" w:hAnsi="Times New Roman" w:eastAsia="宋体" w:cs="Times New Roman"/>
          <w:color w:val="auto"/>
          <w:kern w:val="0"/>
          <w:sz w:val="24"/>
          <w:szCs w:val="24"/>
        </w:rPr>
      </w:pPr>
    </w:p>
    <w:p w14:paraId="685B6134">
      <w:pPr>
        <w:autoSpaceDE w:val="0"/>
        <w:autoSpaceDN w:val="0"/>
        <w:adjustRightInd w:val="0"/>
        <w:ind w:left="315" w:leftChars="150"/>
        <w:jc w:val="left"/>
        <w:rPr>
          <w:rFonts w:ascii="Times New Roman" w:hAnsi="Times New Roman" w:eastAsia="宋体" w:cs="Times New Roman"/>
          <w:color w:val="auto"/>
          <w:kern w:val="0"/>
          <w:sz w:val="24"/>
          <w:szCs w:val="24"/>
        </w:rPr>
      </w:pPr>
    </w:p>
    <w:p w14:paraId="50DB7D80">
      <w:pPr>
        <w:widowControl/>
        <w:rPr>
          <w:rFonts w:ascii="Times New Roman" w:hAnsi="Times New Roman" w:cs="Times New Roman"/>
          <w:color w:val="auto"/>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color w:val="auto"/>
          <w:szCs w:val="21"/>
        </w:rPr>
        <w:br w:type="page"/>
      </w:r>
    </w:p>
    <w:p w14:paraId="665B2A29">
      <w:pPr>
        <w:pStyle w:val="12"/>
        <w:rPr>
          <w:rFonts w:ascii="Times New Roman" w:hAnsi="Times New Roman" w:cs="Times New Roman"/>
          <w:color w:val="auto"/>
          <w:sz w:val="72"/>
          <w:szCs w:val="72"/>
        </w:rPr>
      </w:pPr>
    </w:p>
    <w:p w14:paraId="4F153465">
      <w:pPr>
        <w:pStyle w:val="12"/>
        <w:rPr>
          <w:rFonts w:ascii="Times New Roman" w:hAnsi="Times New Roman" w:cs="Times New Roman"/>
          <w:color w:val="auto"/>
          <w:sz w:val="72"/>
          <w:szCs w:val="72"/>
        </w:rPr>
      </w:pPr>
    </w:p>
    <w:p w14:paraId="1570AA9B">
      <w:pPr>
        <w:pStyle w:val="12"/>
        <w:rPr>
          <w:rFonts w:ascii="Times New Roman" w:hAnsi="Times New Roman" w:cs="Times New Roman"/>
          <w:color w:val="auto"/>
          <w:sz w:val="72"/>
          <w:szCs w:val="72"/>
        </w:rPr>
      </w:pPr>
    </w:p>
    <w:p w14:paraId="7C145306">
      <w:pPr>
        <w:pStyle w:val="12"/>
        <w:jc w:val="center"/>
        <w:rPr>
          <w:rFonts w:ascii="Times New Roman" w:hAnsi="Times New Roman" w:cs="Times New Roman"/>
          <w:color w:val="auto"/>
          <w:sz w:val="72"/>
          <w:szCs w:val="72"/>
        </w:rPr>
      </w:pPr>
    </w:p>
    <w:p w14:paraId="2B6E5D51">
      <w:pPr>
        <w:pStyle w:val="12"/>
        <w:jc w:val="center"/>
        <w:rPr>
          <w:rFonts w:ascii="Times New Roman" w:hAnsi="Times New Roman" w:eastAsia="方正小标宋_GBK" w:cs="Times New Roman"/>
          <w:color w:val="auto"/>
          <w:sz w:val="72"/>
          <w:szCs w:val="72"/>
        </w:rPr>
      </w:pPr>
    </w:p>
    <w:p w14:paraId="35B0144A">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第三部分</w:t>
      </w:r>
    </w:p>
    <w:p w14:paraId="0AAE79A6">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2024年度部门决算情况说明</w:t>
      </w:r>
    </w:p>
    <w:p w14:paraId="15F502D2">
      <w:pPr>
        <w:widowControl/>
        <w:jc w:val="left"/>
        <w:rPr>
          <w:rFonts w:ascii="Times New Roman" w:hAnsi="Times New Roman" w:cs="Times New Roman"/>
          <w:color w:val="auto"/>
          <w:sz w:val="32"/>
          <w:szCs w:val="32"/>
        </w:rPr>
      </w:pPr>
      <w:r>
        <w:rPr>
          <w:color w:val="auto"/>
        </w:rPr>
        <w:br w:type="page"/>
      </w:r>
    </w:p>
    <w:p w14:paraId="4B980281">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一、收入支出决算总体情况说明</w:t>
      </w:r>
    </w:p>
    <w:p w14:paraId="7A5A0029">
      <w:pPr>
        <w:spacing w:line="560" w:lineRule="exact"/>
        <w:ind w:firstLine="640" w:firstLineChars="200"/>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2024年度收、支总计</w:t>
      </w:r>
      <w:r>
        <w:rPr>
          <w:rFonts w:hint="eastAsia" w:ascii="Times New Roman" w:hAnsi="Times New Roman" w:eastAsia="仿宋_GB2312" w:cs="Times New Roman"/>
          <w:color w:val="auto"/>
          <w:sz w:val="32"/>
          <w:szCs w:val="32"/>
          <w:lang w:val="en-US" w:eastAsia="zh-CN"/>
        </w:rPr>
        <w:t>655.77</w:t>
      </w:r>
      <w:r>
        <w:rPr>
          <w:rFonts w:ascii="Times New Roman" w:hAnsi="Times New Roman" w:eastAsia="仿宋_GB2312" w:cs="Times New Roman"/>
          <w:color w:val="auto"/>
          <w:sz w:val="32"/>
          <w:szCs w:val="32"/>
        </w:rPr>
        <w:t>万元。与上年相比，增加</w:t>
      </w:r>
      <w:r>
        <w:rPr>
          <w:rFonts w:hint="eastAsia" w:ascii="Times New Roman" w:hAnsi="Times New Roman" w:eastAsia="仿宋_GB2312" w:cs="Times New Roman"/>
          <w:color w:val="auto"/>
          <w:sz w:val="32"/>
          <w:szCs w:val="32"/>
          <w:lang w:val="en-US" w:eastAsia="zh-CN"/>
        </w:rPr>
        <w:t>78.41</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13.58</w:t>
      </w:r>
      <w:r>
        <w:rPr>
          <w:rFonts w:ascii="Times New Roman" w:hAnsi="Times New Roman" w:eastAsia="仿宋_GB2312" w:cs="Times New Roman"/>
          <w:color w:val="auto"/>
          <w:sz w:val="32"/>
          <w:szCs w:val="32"/>
        </w:rPr>
        <w:t>%，主要是因为</w:t>
      </w:r>
      <w:r>
        <w:rPr>
          <w:rFonts w:hint="eastAsia" w:ascii="仿宋_GB2312" w:hAnsi="仿宋_GB2312" w:eastAsia="仿宋_GB2312" w:cs="仿宋_GB2312"/>
          <w:color w:val="auto"/>
          <w:kern w:val="2"/>
          <w:sz w:val="32"/>
          <w:szCs w:val="32"/>
          <w:u w:val="none"/>
        </w:rPr>
        <w:t>公共卫生工作全面提升</w:t>
      </w:r>
      <w:r>
        <w:rPr>
          <w:rFonts w:hint="eastAsia" w:ascii="仿宋_GB2312" w:hAnsi="仿宋_GB2312" w:eastAsia="仿宋_GB2312" w:cs="仿宋_GB2312"/>
          <w:color w:val="auto"/>
          <w:kern w:val="2"/>
          <w:sz w:val="32"/>
          <w:szCs w:val="32"/>
          <w:u w:val="none"/>
          <w:lang w:val="en-US" w:eastAsia="zh-CN"/>
        </w:rPr>
        <w:t>;</w:t>
      </w:r>
      <w:r>
        <w:rPr>
          <w:rFonts w:hint="eastAsia" w:ascii="仿宋_GB2312" w:hAnsi="仿宋_GB2312" w:eastAsia="仿宋_GB2312" w:cs="仿宋_GB2312"/>
          <w:color w:val="auto"/>
          <w:sz w:val="32"/>
          <w:szCs w:val="32"/>
          <w:u w:val="none"/>
        </w:rPr>
        <w:t>为提升全乡公共卫生服务水平，严抓基本公共卫生服务项目工作，充分调动全院职工的工作积极性和主动性，取得了较好效果。医疗护理工作满意度不断提高</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医疗方面，本院本着“一切以病人为中心”“一切为了病人”的服务宗旨，全体同志齐心协力，按照医院部署，围绕“以病人为中心，努力提高医疗服务质量”为主线，根据门诊年初工作计划，严格管理，求真务实，踏实苦干，在医德医风、医疗质量、基层建设等方面取得了较好的成绩。</w:t>
      </w:r>
    </w:p>
    <w:p w14:paraId="3046AF16">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二、收入决算情况说明</w:t>
      </w:r>
    </w:p>
    <w:p w14:paraId="3FA45AC7">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2024年度收入合计</w:t>
      </w:r>
      <w:r>
        <w:rPr>
          <w:rFonts w:hint="eastAsia" w:ascii="Times New Roman" w:hAnsi="Times New Roman" w:eastAsia="仿宋_GB2312" w:cs="Times New Roman"/>
          <w:color w:val="auto"/>
          <w:sz w:val="32"/>
          <w:szCs w:val="32"/>
          <w:lang w:val="en-US" w:eastAsia="zh-CN"/>
        </w:rPr>
        <w:t>655.77</w:t>
      </w:r>
      <w:r>
        <w:rPr>
          <w:rFonts w:ascii="Times New Roman" w:hAnsi="Times New Roman" w:eastAsia="仿宋_GB2312" w:cs="Times New Roman"/>
          <w:color w:val="auto"/>
          <w:sz w:val="32"/>
          <w:szCs w:val="32"/>
        </w:rPr>
        <w:t>万元，其中：财政拨款收入</w:t>
      </w:r>
      <w:r>
        <w:rPr>
          <w:rFonts w:hint="eastAsia" w:ascii="Times New Roman" w:hAnsi="Times New Roman" w:eastAsia="仿宋_GB2312" w:cs="Times New Roman"/>
          <w:color w:val="auto"/>
          <w:sz w:val="32"/>
          <w:szCs w:val="32"/>
          <w:lang w:val="en-US" w:eastAsia="zh-CN"/>
        </w:rPr>
        <w:t>397.5</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60.62</w:t>
      </w:r>
      <w:r>
        <w:rPr>
          <w:rFonts w:ascii="Times New Roman" w:hAnsi="Times New Roman" w:eastAsia="仿宋_GB2312" w:cs="Times New Roman"/>
          <w:color w:val="auto"/>
          <w:sz w:val="32"/>
          <w:szCs w:val="32"/>
        </w:rPr>
        <w:t>%；事业收入</w:t>
      </w:r>
      <w:r>
        <w:rPr>
          <w:rFonts w:hint="eastAsia" w:ascii="Times New Roman" w:hAnsi="Times New Roman" w:eastAsia="仿宋_GB2312" w:cs="Times New Roman"/>
          <w:color w:val="auto"/>
          <w:sz w:val="32"/>
          <w:szCs w:val="32"/>
          <w:lang w:val="en-US" w:eastAsia="zh-CN"/>
        </w:rPr>
        <w:t>258.28</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39.38</w:t>
      </w:r>
      <w:r>
        <w:rPr>
          <w:rFonts w:ascii="Times New Roman" w:hAnsi="Times New Roman" w:eastAsia="仿宋_GB2312" w:cs="Times New Roman"/>
          <w:color w:val="auto"/>
          <w:sz w:val="32"/>
          <w:szCs w:val="32"/>
        </w:rPr>
        <w:t>%。</w:t>
      </w:r>
    </w:p>
    <w:p w14:paraId="08B295C3">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三、支出决算情况说明</w:t>
      </w:r>
    </w:p>
    <w:p w14:paraId="260DD8EC">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2024年度支出合计</w:t>
      </w:r>
      <w:r>
        <w:rPr>
          <w:rFonts w:hint="eastAsia" w:ascii="Times New Roman" w:hAnsi="Times New Roman" w:eastAsia="仿宋_GB2312" w:cs="Times New Roman"/>
          <w:color w:val="auto"/>
          <w:sz w:val="32"/>
          <w:szCs w:val="32"/>
          <w:lang w:val="en-US" w:eastAsia="zh-CN"/>
        </w:rPr>
        <w:t>655.77</w:t>
      </w:r>
      <w:r>
        <w:rPr>
          <w:rFonts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442.89</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67.54</w:t>
      </w:r>
      <w:r>
        <w:rPr>
          <w:rFonts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212.88</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32.46</w:t>
      </w:r>
      <w:r>
        <w:rPr>
          <w:rFonts w:ascii="Times New Roman" w:hAnsi="Times New Roman" w:eastAsia="仿宋_GB2312" w:cs="Times New Roman"/>
          <w:color w:val="auto"/>
          <w:sz w:val="32"/>
          <w:szCs w:val="32"/>
        </w:rPr>
        <w:t>%。</w:t>
      </w:r>
    </w:p>
    <w:p w14:paraId="282B4CDA">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四、财政拨款收入支出决算总体情况说明</w:t>
      </w:r>
    </w:p>
    <w:p w14:paraId="049FE45E">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2024年度财政拨款收、支总计</w:t>
      </w:r>
      <w:r>
        <w:rPr>
          <w:rFonts w:hint="eastAsia" w:ascii="Times New Roman" w:hAnsi="Times New Roman" w:eastAsia="仿宋_GB2312" w:cs="Times New Roman"/>
          <w:color w:val="auto"/>
          <w:sz w:val="32"/>
          <w:szCs w:val="32"/>
          <w:lang w:val="en-US" w:eastAsia="zh-CN"/>
        </w:rPr>
        <w:t>397.5</w:t>
      </w:r>
      <w:r>
        <w:rPr>
          <w:rFonts w:ascii="Times New Roman" w:hAnsi="Times New Roman" w:eastAsia="仿宋_GB2312" w:cs="Times New Roman"/>
          <w:color w:val="auto"/>
          <w:sz w:val="32"/>
          <w:szCs w:val="32"/>
        </w:rPr>
        <w:t>万元，与上年相比，增加</w:t>
      </w:r>
      <w:r>
        <w:rPr>
          <w:rFonts w:hint="eastAsia" w:ascii="Times New Roman" w:hAnsi="Times New Roman" w:eastAsia="仿宋_GB2312" w:cs="Times New Roman"/>
          <w:color w:val="auto"/>
          <w:sz w:val="32"/>
          <w:szCs w:val="32"/>
          <w:lang w:val="en-US" w:eastAsia="zh-CN"/>
        </w:rPr>
        <w:t>79.21</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24.89</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eastAsia="zh-CN"/>
        </w:rPr>
        <w:t>人员成本上升，医疗保险单位部分由财政拨付。</w:t>
      </w:r>
    </w:p>
    <w:p w14:paraId="6EE6EA2A">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五、一般公共预算财政拨款支出决算情况说明</w:t>
      </w:r>
    </w:p>
    <w:p w14:paraId="0203A2E9">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（一）一般公共预算财政拨款支出决算总体情况</w:t>
      </w:r>
    </w:p>
    <w:p w14:paraId="7324384F">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2024年度财政拨款支出</w:t>
      </w:r>
      <w:r>
        <w:rPr>
          <w:rFonts w:hint="eastAsia" w:ascii="Times New Roman" w:hAnsi="Times New Roman" w:eastAsia="仿宋_GB2312" w:cs="Times New Roman"/>
          <w:color w:val="auto"/>
          <w:sz w:val="32"/>
          <w:szCs w:val="32"/>
          <w:lang w:val="en-US" w:eastAsia="zh-CN"/>
        </w:rPr>
        <w:t>397.5</w:t>
      </w:r>
      <w:r>
        <w:rPr>
          <w:rFonts w:ascii="Times New Roman" w:hAnsi="Times New Roman" w:eastAsia="仿宋_GB2312" w:cs="Times New Roman"/>
          <w:color w:val="auto"/>
          <w:sz w:val="32"/>
          <w:szCs w:val="32"/>
        </w:rPr>
        <w:t>万元，占本年支出合计的</w:t>
      </w:r>
      <w:r>
        <w:rPr>
          <w:rFonts w:hint="eastAsia" w:ascii="Times New Roman" w:hAnsi="Times New Roman" w:eastAsia="仿宋_GB2312" w:cs="Times New Roman"/>
          <w:color w:val="auto"/>
          <w:sz w:val="32"/>
          <w:szCs w:val="32"/>
          <w:lang w:val="en-US" w:eastAsia="zh-CN"/>
        </w:rPr>
        <w:t>60.62</w:t>
      </w:r>
      <w:r>
        <w:rPr>
          <w:rFonts w:ascii="Times New Roman" w:hAnsi="Times New Roman" w:eastAsia="仿宋_GB2312" w:cs="Times New Roman"/>
          <w:color w:val="auto"/>
          <w:sz w:val="32"/>
          <w:szCs w:val="32"/>
        </w:rPr>
        <w:t>%，与上年相比，财政拨款支出增加</w:t>
      </w:r>
      <w:r>
        <w:rPr>
          <w:rFonts w:hint="eastAsia" w:ascii="Times New Roman" w:hAnsi="Times New Roman" w:eastAsia="仿宋_GB2312" w:cs="Times New Roman"/>
          <w:color w:val="auto"/>
          <w:sz w:val="32"/>
          <w:szCs w:val="32"/>
          <w:lang w:val="en-US" w:eastAsia="zh-CN"/>
        </w:rPr>
        <w:t>79.21</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24.89</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eastAsia="zh-CN"/>
        </w:rPr>
        <w:t>人员成本上升，医疗保险单位部分由财政拨付。</w:t>
      </w:r>
    </w:p>
    <w:p w14:paraId="48E7D574">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（二）一般公共预算财政拨款支出决算结构情况</w:t>
      </w:r>
    </w:p>
    <w:p w14:paraId="6A8DE6D8">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2024年度财政拨款支出</w:t>
      </w:r>
      <w:r>
        <w:rPr>
          <w:rFonts w:hint="eastAsia" w:ascii="Times New Roman" w:hAnsi="Times New Roman" w:eastAsia="仿宋_GB2312" w:cs="Times New Roman"/>
          <w:color w:val="auto"/>
          <w:sz w:val="32"/>
          <w:szCs w:val="32"/>
          <w:lang w:val="en-US" w:eastAsia="zh-CN"/>
        </w:rPr>
        <w:t>397.5</w:t>
      </w:r>
      <w:r>
        <w:rPr>
          <w:rFonts w:ascii="Times New Roman" w:hAnsi="Times New Roman" w:eastAsia="仿宋_GB2312" w:cs="Times New Roman"/>
          <w:color w:val="auto"/>
          <w:sz w:val="32"/>
          <w:szCs w:val="32"/>
        </w:rPr>
        <w:t>万元，主要用于以下方面：</w:t>
      </w:r>
      <w:r>
        <w:rPr>
          <w:rFonts w:hint="eastAsia" w:ascii="Times New Roman" w:hAnsi="Times New Roman" w:eastAsia="仿宋_GB2312" w:cs="Times New Roman"/>
          <w:color w:val="auto"/>
          <w:sz w:val="32"/>
          <w:szCs w:val="32"/>
          <w:lang w:val="en-US" w:eastAsia="zh-CN"/>
        </w:rPr>
        <w:t>社会保障和就业</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val="en-US" w:eastAsia="zh-CN"/>
        </w:rPr>
        <w:t>27.66</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6.96</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卫生健康</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val="en-US" w:eastAsia="zh-CN"/>
        </w:rPr>
        <w:t>369.84</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93.04</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657CF78A">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（三）一般公共预算财政拨款支出决算具体情况</w:t>
      </w:r>
    </w:p>
    <w:p w14:paraId="258B7736">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2024年度财政拨款支出年初预算数为</w:t>
      </w:r>
      <w:r>
        <w:rPr>
          <w:rFonts w:hint="eastAsia" w:ascii="Times New Roman" w:hAnsi="Times New Roman" w:eastAsia="仿宋_GB2312" w:cs="Times New Roman"/>
          <w:color w:val="auto"/>
          <w:sz w:val="32"/>
          <w:szCs w:val="32"/>
          <w:lang w:val="en-US" w:eastAsia="zh-CN"/>
        </w:rPr>
        <w:t>495.42</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lang w:val="en-US" w:eastAsia="zh-CN"/>
        </w:rPr>
        <w:t>397.5</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80.23</w:t>
      </w:r>
      <w:r>
        <w:rPr>
          <w:rFonts w:ascii="Times New Roman" w:hAnsi="Times New Roman" w:eastAsia="仿宋_GB2312" w:cs="Times New Roman"/>
          <w:color w:val="auto"/>
          <w:sz w:val="32"/>
          <w:szCs w:val="32"/>
        </w:rPr>
        <w:t>%，其中：</w:t>
      </w:r>
    </w:p>
    <w:p w14:paraId="4A0AFC4F">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社会保障和就业支出</w:t>
      </w:r>
      <w:r>
        <w:rPr>
          <w:rFonts w:hint="eastAsia" w:ascii="Times New Roman" w:hAnsi="Times New Roman" w:eastAsia="仿宋_GB2312" w:cs="Times New Roman"/>
          <w:color w:val="auto"/>
          <w:sz w:val="32"/>
          <w:szCs w:val="32"/>
          <w:lang w:val="en-US" w:eastAsia="zh-CN"/>
        </w:rPr>
        <w:t>208（类）行政事业单位养老支出20805（款）机关事业单位基本养老保险缴费支出2080505（项）</w:t>
      </w:r>
      <w:r>
        <w:rPr>
          <w:rFonts w:ascii="Times New Roman" w:hAnsi="Times New Roman" w:eastAsia="仿宋_GB2312" w:cs="Times New Roman"/>
          <w:color w:val="auto"/>
          <w:sz w:val="32"/>
          <w:szCs w:val="32"/>
        </w:rPr>
        <w:t>。</w:t>
      </w:r>
    </w:p>
    <w:p w14:paraId="6206836E">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26.84</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24.06</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89.64</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00A1BC64">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社会保障和就业支出</w:t>
      </w:r>
      <w:r>
        <w:rPr>
          <w:rFonts w:hint="eastAsia" w:ascii="Times New Roman" w:hAnsi="Times New Roman" w:eastAsia="仿宋_GB2312" w:cs="Times New Roman"/>
          <w:color w:val="auto"/>
          <w:sz w:val="32"/>
          <w:szCs w:val="32"/>
          <w:lang w:val="en-US" w:eastAsia="zh-CN"/>
        </w:rPr>
        <w:t>208（类）行政事业单位养老支出20805（款）其他行政事业单位养老支出2080599（项）</w:t>
      </w:r>
      <w:r>
        <w:rPr>
          <w:rFonts w:ascii="Times New Roman" w:hAnsi="Times New Roman" w:eastAsia="仿宋_GB2312" w:cs="Times New Roman"/>
          <w:color w:val="auto"/>
          <w:sz w:val="32"/>
          <w:szCs w:val="32"/>
        </w:rPr>
        <w:t>。</w:t>
      </w:r>
    </w:p>
    <w:p w14:paraId="3341B51E">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3.6</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p>
    <w:p w14:paraId="0CB71286">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210（类）基层医疗卫生机构21003（款）乡镇卫生院2100302（项）</w:t>
      </w:r>
      <w:r>
        <w:rPr>
          <w:rFonts w:ascii="Times New Roman" w:hAnsi="Times New Roman" w:eastAsia="仿宋_GB2312" w:cs="Times New Roman"/>
          <w:color w:val="auto"/>
          <w:sz w:val="32"/>
          <w:szCs w:val="32"/>
        </w:rPr>
        <w:t>。</w:t>
      </w:r>
    </w:p>
    <w:p w14:paraId="084AADB6">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240.40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152.74</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63.53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446A80FE">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210（类）基层医疗卫生机构21003（款）其他基层医疗卫生机构支出2100399（项）</w:t>
      </w:r>
    </w:p>
    <w:p w14:paraId="1A815259">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33.57</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56.37</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167.92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7A31B533">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210（类）公共卫生21004（款）基本公共卫生服务2100408（项）</w:t>
      </w:r>
      <w:r>
        <w:rPr>
          <w:rFonts w:ascii="Times New Roman" w:hAnsi="Times New Roman" w:eastAsia="仿宋_GB2312" w:cs="Times New Roman"/>
          <w:color w:val="auto"/>
          <w:sz w:val="32"/>
          <w:szCs w:val="32"/>
        </w:rPr>
        <w:t>。</w:t>
      </w:r>
    </w:p>
    <w:p w14:paraId="738CBE05">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166.1</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152.91</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92.06</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5C5A3968">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210（类）行政事业单位医疗21011（款）事业单位医疗2101102（项）</w:t>
      </w:r>
      <w:r>
        <w:rPr>
          <w:rFonts w:ascii="Times New Roman" w:hAnsi="Times New Roman" w:eastAsia="仿宋_GB2312" w:cs="Times New Roman"/>
          <w:color w:val="auto"/>
          <w:sz w:val="32"/>
          <w:szCs w:val="32"/>
        </w:rPr>
        <w:t>。</w:t>
      </w:r>
    </w:p>
    <w:p w14:paraId="27DAEBB0">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8.39</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7.82</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93.21</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4A2075AF">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7</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住房保障支出</w:t>
      </w:r>
      <w:r>
        <w:rPr>
          <w:rFonts w:hint="eastAsia" w:ascii="Times New Roman" w:hAnsi="Times New Roman" w:eastAsia="仿宋_GB2312" w:cs="Times New Roman"/>
          <w:color w:val="auto"/>
          <w:sz w:val="32"/>
          <w:szCs w:val="32"/>
          <w:lang w:val="en-US" w:eastAsia="zh-CN"/>
        </w:rPr>
        <w:t>221（类）住房改革支出22102（款）住房公积金2210201（项）</w:t>
      </w:r>
      <w:r>
        <w:rPr>
          <w:rFonts w:ascii="Times New Roman" w:hAnsi="Times New Roman" w:eastAsia="仿宋_GB2312" w:cs="Times New Roman"/>
          <w:color w:val="auto"/>
          <w:sz w:val="32"/>
          <w:szCs w:val="32"/>
        </w:rPr>
        <w:t>。</w:t>
      </w:r>
    </w:p>
    <w:p w14:paraId="246E5A59">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20.13</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6027FF87">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六、一般公共预算财政拨款基本支出决算情况说明</w:t>
      </w:r>
    </w:p>
    <w:p w14:paraId="415F7BF0">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2024年度一般公共预算财政拨款基本支出</w:t>
      </w:r>
      <w:r>
        <w:rPr>
          <w:rFonts w:hint="eastAsia" w:ascii="Times New Roman" w:hAnsi="Times New Roman" w:eastAsia="仿宋_GB2312" w:cs="Times New Roman"/>
          <w:color w:val="auto"/>
          <w:sz w:val="32"/>
          <w:szCs w:val="32"/>
          <w:lang w:val="en-US" w:eastAsia="zh-CN"/>
        </w:rPr>
        <w:t>184.62</w:t>
      </w:r>
      <w:r>
        <w:rPr>
          <w:rFonts w:ascii="Times New Roman" w:hAnsi="Times New Roman" w:eastAsia="仿宋_GB2312" w:cs="Times New Roman"/>
          <w:color w:val="auto"/>
          <w:sz w:val="32"/>
          <w:szCs w:val="32"/>
        </w:rPr>
        <w:t>万元，其中：</w:t>
      </w:r>
    </w:p>
    <w:p w14:paraId="4BDEFB35">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人员经费</w:t>
      </w:r>
      <w:r>
        <w:rPr>
          <w:rFonts w:hint="eastAsia" w:ascii="Times New Roman" w:hAnsi="Times New Roman" w:eastAsia="仿宋_GB2312" w:cs="Times New Roman"/>
          <w:color w:val="auto"/>
          <w:sz w:val="32"/>
          <w:szCs w:val="32"/>
          <w:lang w:val="en-US" w:eastAsia="zh-CN"/>
        </w:rPr>
        <w:t>184.62</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%,主要包括基本工资、津贴补贴、</w:t>
      </w:r>
      <w:r>
        <w:rPr>
          <w:rFonts w:hint="eastAsia" w:ascii="Times New Roman" w:hAnsi="Times New Roman" w:eastAsia="仿宋_GB2312" w:cs="Times New Roman"/>
          <w:color w:val="auto"/>
          <w:sz w:val="32"/>
          <w:szCs w:val="32"/>
          <w:lang w:eastAsia="zh-CN"/>
        </w:rPr>
        <w:t>绩效工资、机关事业单位基本养老保险缴费、职工基本医疗保险缴费。</w:t>
      </w:r>
    </w:p>
    <w:p w14:paraId="24BE46B1">
      <w:pPr>
        <w:pStyle w:val="12"/>
        <w:overflowPunct w:val="0"/>
        <w:autoSpaceDE/>
        <w:autoSpaceDN/>
        <w:spacing w:line="600" w:lineRule="exact"/>
        <w:ind w:firstLine="640" w:firstLineChars="200"/>
        <w:jc w:val="both"/>
        <w:rPr>
          <w:rFonts w:ascii="Times New Roman" w:hAnsi="Times New Roman" w:eastAsia="仿宋_GB2312" w:cs="Times New Roman"/>
          <w:b/>
          <w:color w:val="auto"/>
          <w:sz w:val="32"/>
          <w:szCs w:val="32"/>
        </w:rPr>
      </w:pPr>
      <w:r>
        <w:rPr>
          <w:rFonts w:ascii="Times New Roman" w:hAnsi="Times New Roman" w:eastAsia="仿宋_GB2312" w:cs="Times New Roman"/>
          <w:b/>
          <w:bCs/>
          <w:color w:val="auto"/>
          <w:sz w:val="32"/>
          <w:szCs w:val="32"/>
        </w:rPr>
        <w:t>公用经费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2DB70AC4">
      <w:pPr>
        <w:pStyle w:val="12"/>
        <w:overflowPunct w:val="0"/>
        <w:autoSpaceDE/>
        <w:autoSpaceDN/>
        <w:spacing w:line="600" w:lineRule="exact"/>
        <w:ind w:firstLine="640" w:firstLineChars="200"/>
        <w:jc w:val="both"/>
        <w:rPr>
          <w:rFonts w:ascii="Times New Roman" w:hAnsi="Times New Roman" w:eastAsia="仿宋_GB2312" w:cs="Times New Roman"/>
          <w:b/>
          <w:color w:val="auto"/>
          <w:sz w:val="32"/>
          <w:szCs w:val="32"/>
        </w:rPr>
      </w:pPr>
      <w:r>
        <w:rPr>
          <w:rFonts w:ascii="Times New Roman" w:hAnsi="Times New Roman" w:cs="Times New Roman"/>
          <w:bCs/>
          <w:color w:val="auto"/>
          <w:sz w:val="32"/>
          <w:szCs w:val="32"/>
        </w:rPr>
        <w:t>七、财政拨款“三公”经费支出决算情况说明</w:t>
      </w:r>
    </w:p>
    <w:p w14:paraId="276F98A7">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（一）“三公”经费财政拨款支出决算总体情况说明</w:t>
      </w:r>
    </w:p>
    <w:p w14:paraId="6FEA9B6B">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yellow"/>
        </w:rPr>
      </w:pPr>
      <w:r>
        <w:rPr>
          <w:rFonts w:ascii="Times New Roman" w:hAnsi="Times New Roman" w:eastAsia="仿宋_GB2312" w:cs="Times New Roman"/>
          <w:color w:val="auto"/>
          <w:sz w:val="32"/>
          <w:szCs w:val="32"/>
        </w:rPr>
        <w:t>2024年度“三公”经费财政拨款支出预算为</w:t>
      </w:r>
      <w:r>
        <w:rPr>
          <w:rFonts w:hint="eastAsia" w:ascii="Times New Roman" w:hAnsi="Times New Roman" w:eastAsia="仿宋_GB2312" w:cs="Times New Roman"/>
          <w:color w:val="auto"/>
          <w:sz w:val="32"/>
          <w:szCs w:val="32"/>
          <w:lang w:val="en-US" w:eastAsia="zh-CN"/>
        </w:rPr>
        <w:t>0.19</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0.19</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%；与上年相比</w:t>
      </w:r>
      <w:r>
        <w:rPr>
          <w:rFonts w:hint="eastAsia" w:ascii="Times New Roman" w:hAnsi="Times New Roman" w:eastAsia="仿宋_GB2312" w:cs="Times New Roman"/>
          <w:color w:val="auto"/>
          <w:sz w:val="32"/>
          <w:szCs w:val="32"/>
          <w:lang w:eastAsia="zh-CN"/>
        </w:rPr>
        <w:t>持平</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eastAsia="zh-CN"/>
        </w:rPr>
        <w:t>等于</w:t>
      </w:r>
      <w:r>
        <w:rPr>
          <w:rFonts w:ascii="Times New Roman" w:hAnsi="Times New Roman" w:eastAsia="仿宋_GB2312" w:cs="Times New Roman"/>
          <w:color w:val="auto"/>
          <w:sz w:val="32"/>
          <w:szCs w:val="32"/>
        </w:rPr>
        <w:t>预算数的主要原因是</w:t>
      </w:r>
      <w:r>
        <w:rPr>
          <w:rFonts w:hint="eastAsia" w:ascii="Times New Roman" w:hAnsi="Times New Roman" w:eastAsia="仿宋_GB2312" w:cs="Times New Roman"/>
          <w:color w:val="auto"/>
          <w:sz w:val="32"/>
          <w:szCs w:val="32"/>
          <w:lang w:eastAsia="zh-CN"/>
        </w:rPr>
        <w:t>严格执行预算数。</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eastAsia="zh-CN"/>
        </w:rPr>
        <w:t>等于</w:t>
      </w:r>
      <w:r>
        <w:rPr>
          <w:rFonts w:ascii="Times New Roman" w:hAnsi="Times New Roman" w:eastAsia="仿宋_GB2312" w:cs="Times New Roman"/>
          <w:color w:val="auto"/>
          <w:sz w:val="32"/>
          <w:szCs w:val="32"/>
        </w:rPr>
        <w:t>上年数的主要原因是</w:t>
      </w:r>
      <w:r>
        <w:rPr>
          <w:rFonts w:hint="eastAsia" w:ascii="Times New Roman" w:hAnsi="Times New Roman" w:eastAsia="仿宋_GB2312" w:cs="Times New Roman"/>
          <w:color w:val="auto"/>
          <w:sz w:val="32"/>
          <w:szCs w:val="32"/>
        </w:rPr>
        <w:t>政策刚性约束</w:t>
      </w:r>
      <w:r>
        <w:rPr>
          <w:rFonts w:hint="eastAsia" w:ascii="Times New Roman" w:hAnsi="Times New Roman" w:eastAsia="仿宋_GB2312" w:cs="Times New Roman"/>
          <w:color w:val="auto"/>
          <w:sz w:val="32"/>
          <w:szCs w:val="32"/>
          <w:lang w:eastAsia="zh-CN"/>
        </w:rPr>
        <w:t>，湖南省2024年升级“三公经费”清理行动，明确要求基层单位公务支出“只降不增”。乡镇卫生院被纳入重点监控名单，超历史支出行为直接触发财政预警系统</w:t>
      </w:r>
      <w:r>
        <w:rPr>
          <w:rFonts w:ascii="Times New Roman" w:hAnsi="Times New Roman" w:eastAsia="仿宋_GB2312" w:cs="Times New Roman"/>
          <w:color w:val="auto"/>
          <w:sz w:val="32"/>
          <w:szCs w:val="32"/>
        </w:rPr>
        <w:t>。</w:t>
      </w:r>
    </w:p>
    <w:p w14:paraId="1DB7EB9B">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14:paraId="74C2BDD5">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67AFDC31">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449E870E">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yellow"/>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0.19</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0.19</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%；与上年相比</w:t>
      </w:r>
      <w:r>
        <w:rPr>
          <w:rFonts w:hint="eastAsia" w:ascii="Times New Roman" w:hAnsi="Times New Roman" w:eastAsia="仿宋_GB2312" w:cs="Times New Roman"/>
          <w:color w:val="auto"/>
          <w:sz w:val="32"/>
          <w:szCs w:val="32"/>
          <w:lang w:eastAsia="zh-CN"/>
        </w:rPr>
        <w:t>持平</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eastAsia="zh-CN"/>
        </w:rPr>
        <w:t>等于</w:t>
      </w:r>
      <w:r>
        <w:rPr>
          <w:rFonts w:ascii="Times New Roman" w:hAnsi="Times New Roman" w:eastAsia="仿宋_GB2312" w:cs="Times New Roman"/>
          <w:color w:val="auto"/>
          <w:sz w:val="32"/>
          <w:szCs w:val="32"/>
        </w:rPr>
        <w:t>预算数的主要原因是</w:t>
      </w:r>
      <w:r>
        <w:rPr>
          <w:rFonts w:hint="eastAsia" w:ascii="Times New Roman" w:hAnsi="Times New Roman" w:eastAsia="仿宋_GB2312" w:cs="Times New Roman"/>
          <w:color w:val="auto"/>
          <w:sz w:val="32"/>
          <w:szCs w:val="32"/>
          <w:lang w:eastAsia="zh-CN"/>
        </w:rPr>
        <w:t>严格执行预算数。</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eastAsia="zh-CN"/>
        </w:rPr>
        <w:t>等于</w:t>
      </w:r>
      <w:r>
        <w:rPr>
          <w:rFonts w:ascii="Times New Roman" w:hAnsi="Times New Roman" w:eastAsia="仿宋_GB2312" w:cs="Times New Roman"/>
          <w:color w:val="auto"/>
          <w:sz w:val="32"/>
          <w:szCs w:val="32"/>
        </w:rPr>
        <w:t>上年数的主要原因是</w:t>
      </w:r>
      <w:r>
        <w:rPr>
          <w:rFonts w:hint="eastAsia" w:ascii="Times New Roman" w:hAnsi="Times New Roman" w:eastAsia="仿宋_GB2312" w:cs="Times New Roman"/>
          <w:color w:val="auto"/>
          <w:sz w:val="32"/>
          <w:szCs w:val="32"/>
        </w:rPr>
        <w:t>政策刚性约束</w:t>
      </w:r>
      <w:r>
        <w:rPr>
          <w:rFonts w:hint="eastAsia" w:ascii="Times New Roman" w:hAnsi="Times New Roman" w:eastAsia="仿宋_GB2312" w:cs="Times New Roman"/>
          <w:color w:val="auto"/>
          <w:sz w:val="32"/>
          <w:szCs w:val="32"/>
          <w:lang w:eastAsia="zh-CN"/>
        </w:rPr>
        <w:t>，湖南省2024年升级“三公经费”清理行动，明确要求基层单位公务支出“只降不增”。乡镇卫生院被纳入重点监控名单，超历史支出行为直接触发财政预警系统</w:t>
      </w:r>
      <w:r>
        <w:rPr>
          <w:rFonts w:ascii="Times New Roman" w:hAnsi="Times New Roman" w:eastAsia="仿宋_GB2312" w:cs="Times New Roman"/>
          <w:color w:val="auto"/>
          <w:sz w:val="32"/>
          <w:szCs w:val="32"/>
        </w:rPr>
        <w:t>。</w:t>
      </w:r>
    </w:p>
    <w:p w14:paraId="325C7FEE">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八、政府性基金预算收入支出决算情况</w:t>
      </w:r>
    </w:p>
    <w:p w14:paraId="4E433F53">
      <w:pPr>
        <w:pStyle w:val="12"/>
        <w:overflowPunct w:val="0"/>
        <w:autoSpaceDE/>
        <w:autoSpaceDN/>
        <w:spacing w:line="600" w:lineRule="exact"/>
        <w:ind w:firstLine="640" w:firstLineChars="200"/>
        <w:jc w:val="both"/>
        <w:rPr>
          <w:rFonts w:ascii="Times New Roman" w:hAnsi="Times New Roman" w:eastAsia="仿宋_GB2312" w:cs="Times New Roman"/>
          <w:b w:val="0"/>
          <w:bCs w:val="0"/>
          <w:i w:val="0"/>
          <w:iCs/>
          <w:color w:val="auto"/>
          <w:sz w:val="32"/>
          <w:szCs w:val="32"/>
        </w:rPr>
      </w:pPr>
      <w:r>
        <w:rPr>
          <w:rFonts w:ascii="Times New Roman" w:hAnsi="Times New Roman" w:eastAsia="楷体_GB2312" w:cs="Times New Roman"/>
          <w:b w:val="0"/>
          <w:bCs w:val="0"/>
          <w:i w:val="0"/>
          <w:iCs/>
          <w:color w:val="auto"/>
          <w:sz w:val="32"/>
          <w:szCs w:val="32"/>
        </w:rPr>
        <w:t>本单位无政府性基金收支</w:t>
      </w:r>
    </w:p>
    <w:p w14:paraId="00A8D60B">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九、关于机关运行经费支出说明</w:t>
      </w:r>
    </w:p>
    <w:p w14:paraId="2876FB28">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本部门2024年度机关运行经费支出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，与</w:t>
      </w:r>
      <w:r>
        <w:rPr>
          <w:rFonts w:ascii="Times New Roman" w:hAnsi="Times New Roman" w:eastAsia="仿宋_GB2312" w:cs="Times New Roman"/>
          <w:color w:val="auto"/>
          <w:sz w:val="32"/>
          <w:szCs w:val="32"/>
        </w:rPr>
        <w:t>年初预算数</w:t>
      </w:r>
      <w:r>
        <w:rPr>
          <w:rFonts w:hint="eastAsia" w:ascii="Times New Roman" w:hAnsi="Times New Roman" w:eastAsia="仿宋_GB2312" w:cs="Times New Roman"/>
          <w:color w:val="auto"/>
          <w:sz w:val="32"/>
          <w:szCs w:val="32"/>
          <w:lang w:eastAsia="zh-CN"/>
        </w:rPr>
        <w:t>持平。</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eastAsia="zh-CN"/>
        </w:rPr>
        <w:t>按照预算标准执行经费开支</w:t>
      </w:r>
      <w:r>
        <w:rPr>
          <w:rFonts w:ascii="Times New Roman" w:hAnsi="Times New Roman" w:eastAsia="仿宋_GB2312" w:cs="Times New Roman"/>
          <w:color w:val="auto"/>
          <w:sz w:val="32"/>
          <w:szCs w:val="32"/>
        </w:rPr>
        <w:t>。</w:t>
      </w:r>
    </w:p>
    <w:p w14:paraId="7F4737AC">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十、一般性支出情况说明</w:t>
      </w:r>
    </w:p>
    <w:p w14:paraId="7E515F7D">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2024年本部门开支会议费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万元，人数</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人；开支培训费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人；举办节庆、晚会、论坛、赛事活动，开支</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p>
    <w:p w14:paraId="276842CA">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十一、关于政府采购支出说明</w:t>
      </w:r>
    </w:p>
    <w:p w14:paraId="6D4E58EC">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本部门2024年度政府采购支出总额</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万元，其中：政府采购货物支出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万元、政府采购工程支出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万元、政府采购服务支出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万元。授予中小企业合同金额</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万元，占政府采购支出总额的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%，其中：授予小微企业合同金额</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5B49F1BA">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4376723">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（为救护车）</w:t>
      </w:r>
      <w:r>
        <w:rPr>
          <w:rFonts w:ascii="Times New Roman" w:hAnsi="Times New Roman" w:eastAsia="仿宋_GB2312" w:cs="Times New Roman"/>
          <w:color w:val="auto"/>
          <w:sz w:val="32"/>
          <w:szCs w:val="32"/>
        </w:rPr>
        <w:t>、离退休干部服务用车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0A1BA20F">
      <w:pPr>
        <w:pStyle w:val="12"/>
        <w:numPr>
          <w:ilvl w:val="0"/>
          <w:numId w:val="1"/>
        </w:numPr>
        <w:overflowPunct w:val="0"/>
        <w:autoSpaceDE/>
        <w:autoSpaceDN/>
        <w:spacing w:line="600" w:lineRule="exact"/>
        <w:ind w:firstLine="640" w:firstLineChars="200"/>
        <w:jc w:val="both"/>
        <w:rPr>
          <w:rFonts w:hint="default" w:ascii="Times New Roman" w:hAnsi="Times New Roman" w:eastAsia="黑体" w:cs="Times New Roman"/>
          <w:bCs/>
          <w:color w:val="auto"/>
          <w:sz w:val="32"/>
          <w:szCs w:val="32"/>
          <w:lang w:val="en-US" w:eastAsia="zh-CN"/>
        </w:rPr>
      </w:pP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C67BE46">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详情见附件一</w:t>
      </w:r>
    </w:p>
    <w:p w14:paraId="66A80A01">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p>
    <w:p w14:paraId="044178B9">
      <w:pPr>
        <w:pStyle w:val="12"/>
        <w:spacing w:line="360" w:lineRule="auto"/>
        <w:jc w:val="center"/>
        <w:rPr>
          <w:rFonts w:ascii="Times New Roman" w:hAnsi="Times New Roman" w:cs="Times New Roman"/>
          <w:color w:val="auto"/>
          <w:kern w:val="0"/>
          <w:sz w:val="32"/>
          <w:szCs w:val="32"/>
        </w:rPr>
      </w:pPr>
      <w:r>
        <w:rPr>
          <w:rFonts w:ascii="Times New Roman" w:hAnsi="Times New Roman" w:eastAsia="方正小标宋_GBK" w:cs="Times New Roman"/>
          <w:color w:val="auto"/>
          <w:sz w:val="52"/>
          <w:szCs w:val="52"/>
        </w:rPr>
        <w:t>第四部分    名词解释</w:t>
      </w:r>
    </w:p>
    <w:p w14:paraId="4034B6A9">
      <w:pPr>
        <w:spacing w:line="560" w:lineRule="atLeas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一、</w:t>
      </w:r>
      <w:r>
        <w:rPr>
          <w:rFonts w:hint="eastAsia" w:ascii="楷体_GB2312" w:hAnsi="楷体_GB2312" w:eastAsia="楷体_GB2312" w:cs="楷体_GB2312"/>
          <w:b w:val="0"/>
          <w:bCs w:val="0"/>
          <w:color w:val="auto"/>
          <w:sz w:val="32"/>
          <w:szCs w:val="32"/>
          <w:shd w:val="clear" w:color="auto" w:fill="FFFFFF"/>
        </w:rPr>
        <w:t>机关运行经费</w:t>
      </w:r>
      <w:r>
        <w:rPr>
          <w:rFonts w:hint="eastAsia" w:ascii="仿宋_GB2312" w:hAnsi="仿宋_GB2312" w:eastAsia="仿宋_GB2312" w:cs="仿宋_GB2312"/>
          <w:color w:val="auto"/>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4A8B61AF">
      <w:pPr>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二、</w:t>
      </w:r>
      <w:r>
        <w:rPr>
          <w:rFonts w:hint="eastAsia" w:ascii="楷体_GB2312" w:hAnsi="楷体_GB2312" w:eastAsia="楷体_GB2312" w:cs="楷体_GB2312"/>
          <w:b w:val="0"/>
          <w:bCs w:val="0"/>
          <w:color w:val="auto"/>
          <w:sz w:val="32"/>
          <w:szCs w:val="32"/>
          <w:shd w:val="clear" w:color="auto" w:fill="FFFFFF"/>
        </w:rPr>
        <w:t>“三公”经费。</w:t>
      </w:r>
      <w:r>
        <w:rPr>
          <w:rFonts w:hint="eastAsia" w:ascii="仿宋_GB2312" w:hAnsi="仿宋_GB2312" w:eastAsia="仿宋_GB2312" w:cs="仿宋_GB2312"/>
          <w:color w:val="auto"/>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ascii="Calibri" w:hAnsi="Calibri" w:eastAsia="仿宋_GB2312" w:cs="Calibri"/>
          <w:color w:val="auto"/>
          <w:sz w:val="32"/>
          <w:szCs w:val="32"/>
          <w:shd w:val="clear" w:color="auto" w:fill="FFFFFF"/>
        </w:rPr>
        <w:t> </w:t>
      </w:r>
    </w:p>
    <w:p w14:paraId="260E9BA5">
      <w:pPr>
        <w:spacing w:line="560" w:lineRule="atLeast"/>
        <w:ind w:firstLine="640" w:firstLineChars="200"/>
        <w:rPr>
          <w:rFonts w:ascii="仿宋_GB2312" w:hAnsi="仿宋_GB2312" w:eastAsia="仿宋_GB2312" w:cs="仿宋_GB2312"/>
          <w:color w:val="auto"/>
          <w:sz w:val="32"/>
          <w:szCs w:val="32"/>
          <w:shd w:val="clear" w:color="auto" w:fill="FFFFFF"/>
        </w:rPr>
      </w:pPr>
      <w:r>
        <w:rPr>
          <w:rFonts w:ascii="Times New Roman" w:hAnsi="Times New Roman" w:eastAsia="仿宋_GB2312" w:cs="Times New Roman"/>
          <w:color w:val="auto"/>
          <w:kern w:val="0"/>
          <w:sz w:val="32"/>
          <w:szCs w:val="32"/>
        </w:rPr>
        <w:t>三、</w:t>
      </w:r>
      <w:r>
        <w:rPr>
          <w:rFonts w:hint="eastAsia" w:ascii="楷体_GB2312" w:hAnsi="楷体_GB2312" w:eastAsia="楷体_GB2312" w:cs="楷体_GB2312"/>
          <w:b w:val="0"/>
          <w:bCs w:val="0"/>
          <w:color w:val="auto"/>
          <w:sz w:val="32"/>
          <w:szCs w:val="32"/>
          <w:shd w:val="clear" w:color="auto" w:fill="FFFFFF"/>
        </w:rPr>
        <w:t>基本支出。</w:t>
      </w:r>
      <w:r>
        <w:rPr>
          <w:rFonts w:hint="eastAsia" w:ascii="仿宋_GB2312" w:hAnsi="仿宋_GB2312" w:eastAsia="仿宋_GB2312" w:cs="仿宋_GB2312"/>
          <w:color w:val="auto"/>
          <w:sz w:val="32"/>
          <w:szCs w:val="32"/>
          <w:shd w:val="clear" w:color="auto" w:fill="FFFFFF"/>
        </w:rPr>
        <w:t>指为保障机构正常运转、完成日常工作任务而发生的人员支出和公用支出。</w:t>
      </w:r>
    </w:p>
    <w:p w14:paraId="3B8675A5">
      <w:pPr>
        <w:spacing w:line="560" w:lineRule="atLeast"/>
        <w:ind w:firstLine="640" w:firstLineChars="200"/>
        <w:rPr>
          <w:rFonts w:hint="eastAsia" w:ascii="仿宋_GB2312" w:hAnsi="仿宋_GB2312" w:eastAsia="仿宋_GB2312" w:cs="仿宋_GB2312"/>
          <w:color w:val="auto"/>
          <w:sz w:val="32"/>
          <w:szCs w:val="32"/>
          <w:shd w:val="clear" w:color="auto" w:fill="FFFFFF"/>
        </w:rPr>
      </w:pPr>
      <w:r>
        <w:rPr>
          <w:rFonts w:hint="eastAsia" w:ascii="Times New Roman" w:hAnsi="Times New Roman" w:eastAsia="仿宋_GB2312" w:cs="Times New Roman"/>
          <w:color w:val="auto"/>
          <w:kern w:val="0"/>
          <w:sz w:val="32"/>
          <w:szCs w:val="32"/>
          <w:lang w:eastAsia="zh-CN"/>
        </w:rPr>
        <w:t>四、</w:t>
      </w:r>
      <w:r>
        <w:rPr>
          <w:rFonts w:hint="eastAsia" w:ascii="楷体_GB2312" w:hAnsi="楷体_GB2312" w:eastAsia="楷体_GB2312" w:cs="楷体_GB2312"/>
          <w:b w:val="0"/>
          <w:bCs w:val="0"/>
          <w:color w:val="auto"/>
          <w:sz w:val="32"/>
          <w:szCs w:val="32"/>
          <w:shd w:val="clear" w:color="auto" w:fill="FFFFFF"/>
        </w:rPr>
        <w:t>项目支出。</w:t>
      </w:r>
      <w:r>
        <w:rPr>
          <w:rFonts w:hint="eastAsia" w:ascii="仿宋_GB2312" w:hAnsi="仿宋_GB2312" w:eastAsia="仿宋_GB2312" w:cs="仿宋_GB2312"/>
          <w:color w:val="auto"/>
          <w:sz w:val="32"/>
          <w:szCs w:val="32"/>
          <w:shd w:val="clear" w:color="auto" w:fill="FFFFFF"/>
        </w:rPr>
        <w:t>指在基本支出之外为完成特定行政任务和事业发展目标所发生的支出。</w:t>
      </w:r>
    </w:p>
    <w:p w14:paraId="046CBFCB">
      <w:pPr>
        <w:spacing w:line="560" w:lineRule="atLeast"/>
        <w:ind w:firstLine="640" w:firstLineChars="200"/>
        <w:rPr>
          <w:rFonts w:hint="eastAsia" w:ascii="仿宋_GB2312" w:hAnsi="仿宋_GB2312" w:eastAsia="仿宋_GB2312" w:cs="仿宋_GB2312"/>
          <w:color w:val="auto"/>
          <w:sz w:val="32"/>
          <w:szCs w:val="32"/>
          <w:shd w:val="clear" w:color="auto" w:fill="FFFFFF"/>
        </w:rPr>
      </w:pPr>
    </w:p>
    <w:p w14:paraId="74123504">
      <w:pPr>
        <w:spacing w:line="560" w:lineRule="atLeast"/>
        <w:ind w:firstLine="640" w:firstLineChars="200"/>
        <w:rPr>
          <w:rFonts w:hint="eastAsia" w:ascii="仿宋_GB2312" w:hAnsi="仿宋_GB2312" w:eastAsia="仿宋_GB2312" w:cs="仿宋_GB2312"/>
          <w:color w:val="auto"/>
          <w:sz w:val="32"/>
          <w:szCs w:val="32"/>
          <w:shd w:val="clear" w:color="auto" w:fill="FFFFFF"/>
        </w:rPr>
      </w:pPr>
    </w:p>
    <w:p w14:paraId="737AD58E">
      <w:pPr>
        <w:spacing w:line="560" w:lineRule="atLeast"/>
        <w:ind w:firstLine="640" w:firstLineChars="200"/>
        <w:rPr>
          <w:rFonts w:hint="eastAsia" w:ascii="仿宋_GB2312" w:hAnsi="仿宋_GB2312" w:eastAsia="仿宋_GB2312" w:cs="仿宋_GB2312"/>
          <w:color w:val="auto"/>
          <w:sz w:val="32"/>
          <w:szCs w:val="32"/>
          <w:shd w:val="clear" w:color="auto" w:fill="FFFFFF"/>
        </w:rPr>
      </w:pPr>
    </w:p>
    <w:p w14:paraId="78F12445">
      <w:pPr>
        <w:spacing w:line="560" w:lineRule="atLeast"/>
        <w:ind w:firstLine="640" w:firstLineChars="200"/>
        <w:rPr>
          <w:rFonts w:hint="eastAsia" w:ascii="仿宋_GB2312" w:hAnsi="仿宋_GB2312" w:eastAsia="仿宋_GB2312" w:cs="仿宋_GB2312"/>
          <w:color w:val="auto"/>
          <w:sz w:val="32"/>
          <w:szCs w:val="32"/>
          <w:shd w:val="clear" w:color="auto" w:fill="FFFFFF"/>
        </w:rPr>
      </w:pPr>
    </w:p>
    <w:p w14:paraId="4A170B07">
      <w:pPr>
        <w:spacing w:line="560" w:lineRule="atLeast"/>
        <w:ind w:firstLine="640" w:firstLineChars="200"/>
        <w:rPr>
          <w:rFonts w:hint="eastAsia" w:ascii="仿宋_GB2312" w:hAnsi="仿宋_GB2312" w:eastAsia="仿宋_GB2312" w:cs="仿宋_GB2312"/>
          <w:color w:val="auto"/>
          <w:sz w:val="32"/>
          <w:szCs w:val="32"/>
          <w:shd w:val="clear" w:color="auto" w:fill="FFFFFF"/>
        </w:rPr>
      </w:pPr>
    </w:p>
    <w:p w14:paraId="0DD94DE2">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第五部分   附 件</w:t>
      </w:r>
    </w:p>
    <w:p w14:paraId="7CEDB3BB">
      <w:pPr>
        <w:rPr>
          <w:rFonts w:ascii="Times New Roman" w:hAnsi="Times New Roman" w:cs="Times New Roman"/>
          <w:color w:val="auto"/>
          <w:sz w:val="72"/>
          <w:szCs w:val="72"/>
        </w:rPr>
      </w:pPr>
    </w:p>
    <w:p w14:paraId="58DA0E11">
      <w:pPr>
        <w:pStyle w:val="12"/>
        <w:spacing w:line="600" w:lineRule="exact"/>
        <w:rPr>
          <w:rFonts w:ascii="Times New Roman" w:hAnsi="Times New Roman" w:eastAsia="仿宋_GB2312" w:cs="Times New Roman"/>
          <w:color w:val="auto"/>
          <w:sz w:val="32"/>
          <w:szCs w:val="32"/>
        </w:rPr>
      </w:pPr>
      <w:bookmarkStart w:id="3" w:name="_GoBack"/>
      <w:bookmarkEnd w:id="3"/>
      <w:r>
        <w:rPr>
          <w:rFonts w:ascii="Times New Roman" w:hAnsi="Times New Roman" w:eastAsia="仿宋_GB2312" w:cs="Times New Roman"/>
          <w:b/>
          <w:bCs/>
          <w:color w:val="auto"/>
          <w:sz w:val="32"/>
          <w:szCs w:val="32"/>
        </w:rPr>
        <w:t>一、</w:t>
      </w:r>
      <w:r>
        <w:rPr>
          <w:rFonts w:ascii="Times New Roman" w:hAnsi="Times New Roman" w:eastAsia="仿宋_GB2312" w:cs="Times New Roman"/>
          <w:color w:val="auto"/>
          <w:sz w:val="32"/>
          <w:szCs w:val="32"/>
        </w:rPr>
        <w:t>2024年</w:t>
      </w:r>
      <w:r>
        <w:rPr>
          <w:rFonts w:hint="eastAsia" w:ascii="Times New Roman" w:hAnsi="Times New Roman" w:eastAsia="仿宋_GB2312" w:cs="Times New Roman"/>
          <w:color w:val="auto"/>
          <w:sz w:val="32"/>
          <w:szCs w:val="32"/>
          <w:lang w:eastAsia="zh-CN"/>
        </w:rPr>
        <w:t>蓝山县毛俊镇中心卫生院</w:t>
      </w:r>
      <w:r>
        <w:rPr>
          <w:rFonts w:ascii="Times New Roman" w:hAnsi="Times New Roman" w:eastAsia="仿宋_GB2312" w:cs="Times New Roman"/>
          <w:color w:val="auto"/>
          <w:sz w:val="32"/>
          <w:szCs w:val="32"/>
        </w:rPr>
        <w:t>整体支出绩效自评报告。</w:t>
      </w:r>
    </w:p>
    <w:p w14:paraId="689C1442">
      <w:pPr>
        <w:jc w:val="center"/>
        <w:rPr>
          <w:rFonts w:hint="eastAsia"/>
          <w:color w:val="auto"/>
        </w:rPr>
      </w:pPr>
      <w:r>
        <w:rPr>
          <w:rFonts w:hint="eastAsia"/>
          <w:color w:val="auto"/>
          <w:sz w:val="32"/>
          <w:szCs w:val="40"/>
          <w:lang w:eastAsia="zh-CN"/>
        </w:rPr>
        <w:t>蓝山县毛俊镇中心</w:t>
      </w:r>
      <w:r>
        <w:rPr>
          <w:rFonts w:hint="eastAsia"/>
          <w:color w:val="auto"/>
          <w:sz w:val="32"/>
          <w:szCs w:val="40"/>
        </w:rPr>
        <w:t>卫生院20</w:t>
      </w:r>
      <w:r>
        <w:rPr>
          <w:rFonts w:hint="eastAsia"/>
          <w:color w:val="auto"/>
          <w:sz w:val="32"/>
          <w:szCs w:val="40"/>
          <w:lang w:val="en-US" w:eastAsia="zh-CN"/>
        </w:rPr>
        <w:t>24</w:t>
      </w:r>
      <w:r>
        <w:rPr>
          <w:rFonts w:hint="eastAsia"/>
          <w:color w:val="auto"/>
          <w:sz w:val="32"/>
          <w:szCs w:val="40"/>
        </w:rPr>
        <w:t>年绩效自评报告</w:t>
      </w:r>
    </w:p>
    <w:p w14:paraId="7BAE7F5A">
      <w:pPr>
        <w:rPr>
          <w:rFonts w:hint="eastAsia"/>
          <w:color w:val="auto"/>
        </w:rPr>
      </w:pPr>
    </w:p>
    <w:p w14:paraId="75BA7875">
      <w:pPr>
        <w:rPr>
          <w:rFonts w:hint="eastAsia"/>
          <w:color w:val="auto"/>
          <w:sz w:val="24"/>
          <w:szCs w:val="32"/>
        </w:rPr>
      </w:pPr>
      <w:r>
        <w:rPr>
          <w:rFonts w:hint="eastAsia"/>
          <w:color w:val="auto"/>
          <w:sz w:val="24"/>
          <w:szCs w:val="32"/>
          <w:lang w:eastAsia="zh-CN"/>
        </w:rPr>
        <w:t>一</w:t>
      </w:r>
      <w:r>
        <w:rPr>
          <w:rFonts w:hint="eastAsia"/>
          <w:color w:val="auto"/>
          <w:sz w:val="24"/>
          <w:szCs w:val="32"/>
        </w:rPr>
        <w:t>、基本情况</w:t>
      </w:r>
    </w:p>
    <w:p w14:paraId="65379CF8">
      <w:pPr>
        <w:rPr>
          <w:rFonts w:hint="eastAsia"/>
          <w:color w:val="auto"/>
          <w:sz w:val="24"/>
          <w:szCs w:val="32"/>
        </w:rPr>
      </w:pPr>
      <w:r>
        <w:rPr>
          <w:rFonts w:hint="eastAsia"/>
          <w:color w:val="auto"/>
          <w:sz w:val="24"/>
          <w:szCs w:val="32"/>
        </w:rPr>
        <w:t xml:space="preserve">1. 单位概况  </w:t>
      </w:r>
    </w:p>
    <w:p w14:paraId="347F5806">
      <w:pPr>
        <w:rPr>
          <w:rFonts w:hint="eastAsia"/>
          <w:color w:val="auto"/>
          <w:sz w:val="24"/>
          <w:szCs w:val="32"/>
        </w:rPr>
      </w:pPr>
      <w:r>
        <w:rPr>
          <w:rFonts w:hint="eastAsia"/>
          <w:color w:val="auto"/>
          <w:sz w:val="24"/>
          <w:szCs w:val="32"/>
        </w:rPr>
        <w:t xml:space="preserve">   卫生院基本情况：</w:t>
      </w:r>
      <w:r>
        <w:rPr>
          <w:rFonts w:hint="eastAsia"/>
          <w:color w:val="auto"/>
          <w:sz w:val="24"/>
          <w:szCs w:val="32"/>
          <w:lang w:eastAsia="zh-CN"/>
        </w:rPr>
        <w:t>毛俊镇中心</w:t>
      </w:r>
      <w:r>
        <w:rPr>
          <w:rFonts w:hint="eastAsia"/>
          <w:color w:val="auto"/>
          <w:sz w:val="24"/>
          <w:szCs w:val="32"/>
        </w:rPr>
        <w:t>卫生院</w:t>
      </w:r>
      <w:r>
        <w:rPr>
          <w:rFonts w:hint="eastAsia"/>
          <w:color w:val="auto"/>
          <w:sz w:val="24"/>
          <w:szCs w:val="32"/>
          <w:lang w:eastAsia="zh-CN"/>
        </w:rPr>
        <w:t>位于毛俊村</w:t>
      </w:r>
      <w:r>
        <w:rPr>
          <w:rFonts w:hint="eastAsia"/>
          <w:color w:val="auto"/>
          <w:sz w:val="24"/>
          <w:szCs w:val="32"/>
        </w:rPr>
        <w:t>、</w:t>
      </w:r>
      <w:r>
        <w:rPr>
          <w:rFonts w:hint="eastAsia"/>
          <w:color w:val="auto"/>
          <w:sz w:val="24"/>
          <w:szCs w:val="32"/>
          <w:lang w:eastAsia="zh-CN"/>
        </w:rPr>
        <w:t>服务辖区内</w:t>
      </w:r>
      <w:r>
        <w:rPr>
          <w:rFonts w:hint="eastAsia"/>
          <w:color w:val="auto"/>
          <w:sz w:val="24"/>
          <w:szCs w:val="32"/>
          <w:lang w:val="en-US" w:eastAsia="zh-CN"/>
        </w:rPr>
        <w:t>2万余人口</w:t>
      </w:r>
      <w:r>
        <w:rPr>
          <w:rFonts w:hint="eastAsia"/>
          <w:color w:val="auto"/>
          <w:sz w:val="24"/>
          <w:szCs w:val="32"/>
        </w:rPr>
        <w:t>、</w:t>
      </w:r>
      <w:r>
        <w:rPr>
          <w:rFonts w:hint="eastAsia"/>
          <w:color w:val="auto"/>
          <w:sz w:val="24"/>
          <w:szCs w:val="32"/>
          <w:lang w:val="en-US" w:eastAsia="zh-CN"/>
        </w:rPr>
        <w:t>2024年</w:t>
      </w:r>
      <w:r>
        <w:rPr>
          <w:rFonts w:hint="eastAsia"/>
          <w:color w:val="auto"/>
          <w:sz w:val="24"/>
          <w:szCs w:val="32"/>
        </w:rPr>
        <w:t>人员编制</w:t>
      </w:r>
      <w:r>
        <w:rPr>
          <w:rFonts w:hint="eastAsia"/>
          <w:color w:val="auto"/>
          <w:sz w:val="24"/>
          <w:szCs w:val="32"/>
          <w:lang w:eastAsia="zh-CN"/>
        </w:rPr>
        <w:t>数</w:t>
      </w:r>
      <w:r>
        <w:rPr>
          <w:rFonts w:hint="eastAsia"/>
          <w:color w:val="auto"/>
          <w:sz w:val="24"/>
          <w:szCs w:val="32"/>
          <w:lang w:val="en-US" w:eastAsia="zh-CN"/>
        </w:rPr>
        <w:t>25人</w:t>
      </w:r>
      <w:r>
        <w:rPr>
          <w:rFonts w:hint="eastAsia"/>
          <w:color w:val="auto"/>
          <w:sz w:val="24"/>
          <w:szCs w:val="32"/>
        </w:rPr>
        <w:t>、</w:t>
      </w:r>
      <w:r>
        <w:rPr>
          <w:rFonts w:hint="eastAsia"/>
          <w:color w:val="auto"/>
          <w:sz w:val="24"/>
          <w:szCs w:val="32"/>
          <w:lang w:eastAsia="zh-CN"/>
        </w:rPr>
        <w:t>实际开放</w:t>
      </w:r>
      <w:r>
        <w:rPr>
          <w:rFonts w:hint="eastAsia"/>
          <w:color w:val="auto"/>
          <w:sz w:val="24"/>
          <w:szCs w:val="32"/>
        </w:rPr>
        <w:t>床位数</w:t>
      </w:r>
      <w:r>
        <w:rPr>
          <w:rFonts w:hint="eastAsia"/>
          <w:color w:val="auto"/>
          <w:sz w:val="24"/>
          <w:szCs w:val="32"/>
          <w:lang w:val="en-US" w:eastAsia="zh-CN"/>
        </w:rPr>
        <w:t>50张</w:t>
      </w:r>
      <w:r>
        <w:rPr>
          <w:rFonts w:hint="eastAsia"/>
          <w:color w:val="auto"/>
          <w:sz w:val="24"/>
          <w:szCs w:val="32"/>
        </w:rPr>
        <w:t>、科室设置</w:t>
      </w:r>
      <w:r>
        <w:rPr>
          <w:rFonts w:hint="eastAsia"/>
          <w:color w:val="auto"/>
          <w:sz w:val="24"/>
          <w:szCs w:val="32"/>
          <w:lang w:eastAsia="zh-CN"/>
        </w:rPr>
        <w:t>：</w:t>
      </w:r>
      <w:r>
        <w:rPr>
          <w:rFonts w:hint="eastAsia"/>
          <w:color w:val="auto"/>
          <w:sz w:val="24"/>
          <w:szCs w:val="32"/>
        </w:rPr>
        <w:t>全科医疗科、预防保健科、门急诊科、妇产科、中医科、医学检验、医学影</w:t>
      </w:r>
      <w:r>
        <w:rPr>
          <w:rFonts w:hint="eastAsia"/>
          <w:color w:val="auto"/>
          <w:sz w:val="24"/>
          <w:szCs w:val="32"/>
          <w:lang w:eastAsia="zh-CN"/>
        </w:rPr>
        <w:t>像</w:t>
      </w:r>
      <w:r>
        <w:rPr>
          <w:rFonts w:hint="eastAsia"/>
          <w:color w:val="auto"/>
          <w:sz w:val="24"/>
          <w:szCs w:val="32"/>
        </w:rPr>
        <w:t>医技科、预防接种科、药房、高血压门诊</w:t>
      </w:r>
      <w:r>
        <w:rPr>
          <w:rFonts w:hint="eastAsia"/>
          <w:color w:val="auto"/>
          <w:sz w:val="24"/>
          <w:szCs w:val="32"/>
          <w:lang w:eastAsia="zh-CN"/>
        </w:rPr>
        <w:t>。</w:t>
      </w:r>
      <w:r>
        <w:rPr>
          <w:rFonts w:hint="eastAsia"/>
          <w:color w:val="auto"/>
          <w:sz w:val="24"/>
          <w:szCs w:val="32"/>
        </w:rPr>
        <w:t xml:space="preserve">  </w:t>
      </w:r>
    </w:p>
    <w:p w14:paraId="0E644276">
      <w:pPr>
        <w:rPr>
          <w:rFonts w:hint="eastAsia" w:eastAsia="宋体"/>
          <w:color w:val="auto"/>
          <w:sz w:val="24"/>
          <w:szCs w:val="32"/>
          <w:lang w:eastAsia="zh-CN"/>
        </w:rPr>
      </w:pPr>
      <w:r>
        <w:rPr>
          <w:rFonts w:hint="eastAsia"/>
          <w:color w:val="auto"/>
          <w:sz w:val="24"/>
          <w:szCs w:val="32"/>
        </w:rPr>
        <w:t xml:space="preserve">   年度重点工作目标：如基本医疗、公共卫生服务、家庭医生签约</w:t>
      </w:r>
      <w:r>
        <w:rPr>
          <w:rFonts w:hint="eastAsia"/>
          <w:color w:val="auto"/>
          <w:sz w:val="24"/>
          <w:szCs w:val="32"/>
          <w:lang w:eastAsia="zh-CN"/>
        </w:rPr>
        <w:t>、疫情防控等。</w:t>
      </w:r>
    </w:p>
    <w:p w14:paraId="0F44E9EC">
      <w:pPr>
        <w:rPr>
          <w:rFonts w:hint="eastAsia"/>
          <w:color w:val="auto"/>
          <w:sz w:val="24"/>
          <w:szCs w:val="32"/>
        </w:rPr>
      </w:pPr>
      <w:r>
        <w:rPr>
          <w:rFonts w:hint="eastAsia"/>
          <w:color w:val="auto"/>
          <w:sz w:val="24"/>
          <w:szCs w:val="32"/>
        </w:rPr>
        <w:t xml:space="preserve">2. 年度整体支出绩效目标  </w:t>
      </w:r>
    </w:p>
    <w:p w14:paraId="65C71F85">
      <w:pPr>
        <w:rPr>
          <w:rFonts w:hint="eastAsia"/>
          <w:color w:val="auto"/>
          <w:sz w:val="24"/>
          <w:szCs w:val="32"/>
        </w:rPr>
      </w:pPr>
      <w:r>
        <w:rPr>
          <w:rFonts w:hint="eastAsia"/>
          <w:color w:val="auto"/>
          <w:sz w:val="24"/>
          <w:szCs w:val="32"/>
        </w:rPr>
        <w:t xml:space="preserve">  总预算金额</w:t>
      </w:r>
      <w:r>
        <w:rPr>
          <w:rFonts w:hint="eastAsia"/>
          <w:color w:val="auto"/>
          <w:sz w:val="24"/>
          <w:szCs w:val="32"/>
          <w:lang w:eastAsia="zh-CN"/>
        </w:rPr>
        <w:t>：其中：</w:t>
      </w:r>
      <w:r>
        <w:rPr>
          <w:rFonts w:hint="eastAsia"/>
          <w:color w:val="auto"/>
          <w:sz w:val="24"/>
          <w:szCs w:val="32"/>
        </w:rPr>
        <w:t>财政拨款</w:t>
      </w:r>
      <w:r>
        <w:rPr>
          <w:rFonts w:hint="eastAsia"/>
          <w:color w:val="auto"/>
          <w:sz w:val="24"/>
          <w:szCs w:val="32"/>
          <w:lang w:val="en-US" w:eastAsia="zh-CN"/>
        </w:rPr>
        <w:t>397.50万元；</w:t>
      </w:r>
      <w:r>
        <w:rPr>
          <w:rFonts w:hint="eastAsia"/>
          <w:color w:val="auto"/>
          <w:sz w:val="24"/>
          <w:szCs w:val="32"/>
        </w:rPr>
        <w:t>自有资金</w:t>
      </w:r>
      <w:r>
        <w:rPr>
          <w:rFonts w:hint="eastAsia"/>
          <w:color w:val="auto"/>
          <w:sz w:val="24"/>
          <w:szCs w:val="32"/>
          <w:lang w:eastAsia="zh-CN"/>
        </w:rPr>
        <w:t>：</w:t>
      </w:r>
      <w:r>
        <w:rPr>
          <w:rFonts w:hint="eastAsia"/>
          <w:color w:val="auto"/>
          <w:sz w:val="24"/>
          <w:szCs w:val="32"/>
          <w:lang w:val="en-US" w:eastAsia="zh-CN"/>
        </w:rPr>
        <w:t>258.27万元</w:t>
      </w:r>
      <w:r>
        <w:rPr>
          <w:rFonts w:hint="eastAsia"/>
          <w:color w:val="auto"/>
          <w:sz w:val="24"/>
          <w:szCs w:val="32"/>
        </w:rPr>
        <w:t xml:space="preserve">。  </w:t>
      </w:r>
    </w:p>
    <w:p w14:paraId="7487BC37">
      <w:pPr>
        <w:rPr>
          <w:rFonts w:hint="eastAsia"/>
          <w:color w:val="auto"/>
          <w:sz w:val="24"/>
          <w:szCs w:val="32"/>
        </w:rPr>
      </w:pPr>
      <w:r>
        <w:rPr>
          <w:rFonts w:hint="eastAsia"/>
          <w:color w:val="auto"/>
          <w:sz w:val="24"/>
          <w:szCs w:val="32"/>
        </w:rPr>
        <w:t xml:space="preserve">   核心目标：提升诊疗人次、规范慢性病管理率≥</w:t>
      </w:r>
      <w:r>
        <w:rPr>
          <w:rFonts w:hint="eastAsia"/>
          <w:color w:val="auto"/>
          <w:sz w:val="24"/>
          <w:szCs w:val="32"/>
          <w:lang w:val="en-US" w:eastAsia="zh-CN"/>
        </w:rPr>
        <w:t>85</w:t>
      </w:r>
      <w:r>
        <w:rPr>
          <w:rFonts w:hint="eastAsia"/>
          <w:color w:val="auto"/>
          <w:sz w:val="24"/>
          <w:szCs w:val="32"/>
        </w:rPr>
        <w:t>%、患者满意度≥</w:t>
      </w:r>
      <w:r>
        <w:rPr>
          <w:rFonts w:hint="eastAsia"/>
          <w:color w:val="auto"/>
          <w:sz w:val="24"/>
          <w:szCs w:val="32"/>
          <w:lang w:val="en-US" w:eastAsia="zh-CN"/>
        </w:rPr>
        <w:t>85</w:t>
      </w:r>
      <w:r>
        <w:rPr>
          <w:rFonts w:hint="eastAsia"/>
          <w:color w:val="auto"/>
          <w:sz w:val="24"/>
          <w:szCs w:val="32"/>
        </w:rPr>
        <w:t>%、预算执行率≥</w:t>
      </w:r>
      <w:r>
        <w:rPr>
          <w:rFonts w:hint="eastAsia"/>
          <w:color w:val="auto"/>
          <w:sz w:val="24"/>
          <w:szCs w:val="32"/>
          <w:lang w:val="en-US" w:eastAsia="zh-CN"/>
        </w:rPr>
        <w:t>96</w:t>
      </w:r>
      <w:r>
        <w:rPr>
          <w:rFonts w:hint="eastAsia"/>
          <w:color w:val="auto"/>
          <w:sz w:val="24"/>
          <w:szCs w:val="32"/>
        </w:rPr>
        <w:t xml:space="preserve">%等。  </w:t>
      </w:r>
    </w:p>
    <w:p w14:paraId="54C8CB37">
      <w:pPr>
        <w:rPr>
          <w:rFonts w:hint="eastAsia"/>
          <w:color w:val="auto"/>
          <w:sz w:val="24"/>
          <w:szCs w:val="32"/>
        </w:rPr>
      </w:pPr>
    </w:p>
    <w:p w14:paraId="339F63C9">
      <w:pPr>
        <w:rPr>
          <w:rFonts w:hint="eastAsia"/>
          <w:color w:val="auto"/>
          <w:sz w:val="24"/>
          <w:szCs w:val="32"/>
        </w:rPr>
      </w:pPr>
      <w:r>
        <w:rPr>
          <w:rFonts w:hint="eastAsia"/>
          <w:color w:val="auto"/>
          <w:sz w:val="24"/>
          <w:szCs w:val="32"/>
        </w:rPr>
        <w:t xml:space="preserve">二、一般公共预算支出情况  </w:t>
      </w:r>
    </w:p>
    <w:p w14:paraId="3B537D7B">
      <w:pPr>
        <w:rPr>
          <w:rFonts w:hint="eastAsia"/>
          <w:color w:val="auto"/>
          <w:sz w:val="24"/>
          <w:szCs w:val="32"/>
        </w:rPr>
      </w:pPr>
      <w:r>
        <w:rPr>
          <w:rFonts w:hint="eastAsia"/>
          <w:color w:val="auto"/>
          <w:sz w:val="24"/>
          <w:szCs w:val="32"/>
        </w:rPr>
        <w:t xml:space="preserve">1. 基本支出情况  </w:t>
      </w:r>
    </w:p>
    <w:p w14:paraId="41040670">
      <w:pPr>
        <w:rPr>
          <w:rFonts w:hint="eastAsia"/>
          <w:color w:val="auto"/>
          <w:sz w:val="24"/>
          <w:szCs w:val="32"/>
        </w:rPr>
      </w:pPr>
      <w:r>
        <w:rPr>
          <w:rFonts w:hint="eastAsia"/>
          <w:color w:val="auto"/>
          <w:sz w:val="24"/>
          <w:szCs w:val="32"/>
        </w:rPr>
        <w:t xml:space="preserve">   人员经费：</w:t>
      </w:r>
      <w:r>
        <w:rPr>
          <w:rFonts w:hint="eastAsia"/>
          <w:color w:val="auto"/>
          <w:sz w:val="24"/>
          <w:szCs w:val="32"/>
          <w:lang w:eastAsia="zh-CN"/>
        </w:rPr>
        <w:t>其中：</w:t>
      </w:r>
      <w:r>
        <w:rPr>
          <w:rFonts w:hint="eastAsia"/>
          <w:color w:val="auto"/>
          <w:sz w:val="24"/>
          <w:szCs w:val="32"/>
        </w:rPr>
        <w:t>工资、社保、公积金等</w:t>
      </w:r>
      <w:r>
        <w:rPr>
          <w:rFonts w:hint="eastAsia"/>
          <w:color w:val="auto"/>
          <w:sz w:val="24"/>
          <w:szCs w:val="32"/>
          <w:lang w:eastAsia="zh-CN"/>
        </w:rPr>
        <w:t>支出金额：</w:t>
      </w:r>
      <w:r>
        <w:rPr>
          <w:rFonts w:hint="eastAsia"/>
          <w:color w:val="auto"/>
          <w:sz w:val="24"/>
          <w:szCs w:val="32"/>
          <w:lang w:val="en-US" w:eastAsia="zh-CN"/>
        </w:rPr>
        <w:t>333.96万元</w:t>
      </w:r>
      <w:r>
        <w:rPr>
          <w:rFonts w:hint="eastAsia"/>
          <w:color w:val="auto"/>
          <w:sz w:val="24"/>
          <w:szCs w:val="32"/>
        </w:rPr>
        <w:t>（占比</w:t>
      </w:r>
      <w:r>
        <w:rPr>
          <w:rFonts w:hint="eastAsia"/>
          <w:color w:val="auto"/>
          <w:sz w:val="24"/>
          <w:szCs w:val="32"/>
          <w:lang w:val="en-US" w:eastAsia="zh-CN"/>
        </w:rPr>
        <w:t>75.40</w:t>
      </w:r>
      <w:r>
        <w:rPr>
          <w:rFonts w:hint="eastAsia"/>
          <w:color w:val="auto"/>
          <w:sz w:val="24"/>
          <w:szCs w:val="32"/>
        </w:rPr>
        <w:t xml:space="preserve">%）。  </w:t>
      </w:r>
    </w:p>
    <w:p w14:paraId="48CAC40B">
      <w:pPr>
        <w:rPr>
          <w:rFonts w:hint="eastAsia"/>
          <w:color w:val="auto"/>
          <w:sz w:val="24"/>
          <w:szCs w:val="32"/>
        </w:rPr>
      </w:pPr>
      <w:r>
        <w:rPr>
          <w:rFonts w:hint="eastAsia"/>
          <w:color w:val="auto"/>
          <w:sz w:val="24"/>
          <w:szCs w:val="32"/>
        </w:rPr>
        <w:t xml:space="preserve">   公用经费：</w:t>
      </w:r>
      <w:r>
        <w:rPr>
          <w:rFonts w:hint="eastAsia"/>
          <w:color w:val="auto"/>
          <w:sz w:val="24"/>
          <w:szCs w:val="32"/>
          <w:lang w:eastAsia="zh-CN"/>
        </w:rPr>
        <w:t>其他资金支出金额</w:t>
      </w:r>
      <w:r>
        <w:rPr>
          <w:rFonts w:hint="eastAsia"/>
          <w:color w:val="auto"/>
          <w:sz w:val="24"/>
          <w:szCs w:val="32"/>
          <w:lang w:val="en-US" w:eastAsia="zh-CN"/>
        </w:rPr>
        <w:t>108.93万元</w:t>
      </w:r>
      <w:r>
        <w:rPr>
          <w:rFonts w:hint="eastAsia"/>
          <w:color w:val="auto"/>
          <w:sz w:val="24"/>
          <w:szCs w:val="32"/>
        </w:rPr>
        <w:t>（占比</w:t>
      </w:r>
      <w:r>
        <w:rPr>
          <w:rFonts w:hint="eastAsia"/>
          <w:color w:val="auto"/>
          <w:sz w:val="24"/>
          <w:szCs w:val="32"/>
          <w:lang w:val="en-US" w:eastAsia="zh-CN"/>
        </w:rPr>
        <w:t>24.60</w:t>
      </w:r>
      <w:r>
        <w:rPr>
          <w:rFonts w:hint="eastAsia"/>
          <w:color w:val="auto"/>
          <w:sz w:val="24"/>
          <w:szCs w:val="32"/>
        </w:rPr>
        <w:t xml:space="preserve">%）。  </w:t>
      </w:r>
    </w:p>
    <w:p w14:paraId="2A9DE61B">
      <w:pPr>
        <w:rPr>
          <w:rFonts w:hint="eastAsia"/>
          <w:color w:val="auto"/>
          <w:sz w:val="24"/>
          <w:szCs w:val="32"/>
        </w:rPr>
      </w:pPr>
      <w:r>
        <w:rPr>
          <w:rFonts w:hint="eastAsia"/>
          <w:color w:val="auto"/>
          <w:sz w:val="24"/>
          <w:szCs w:val="32"/>
        </w:rPr>
        <w:t xml:space="preserve">2. 项目支出情况  </w:t>
      </w:r>
    </w:p>
    <w:p w14:paraId="3FA34FB9">
      <w:pPr>
        <w:rPr>
          <w:rFonts w:hint="eastAsia"/>
          <w:color w:val="auto"/>
          <w:sz w:val="24"/>
          <w:szCs w:val="32"/>
        </w:rPr>
      </w:pPr>
      <w:r>
        <w:rPr>
          <w:rFonts w:hint="eastAsia"/>
          <w:color w:val="auto"/>
          <w:sz w:val="24"/>
          <w:szCs w:val="32"/>
        </w:rPr>
        <w:t xml:space="preserve">   专项资金</w:t>
      </w:r>
      <w:r>
        <w:rPr>
          <w:rFonts w:hint="eastAsia"/>
          <w:color w:val="auto"/>
          <w:sz w:val="24"/>
          <w:szCs w:val="32"/>
          <w:lang w:val="en-US" w:eastAsia="zh-CN"/>
        </w:rPr>
        <w:t>1</w:t>
      </w:r>
      <w:r>
        <w:rPr>
          <w:rFonts w:hint="eastAsia"/>
          <w:color w:val="auto"/>
          <w:sz w:val="24"/>
          <w:szCs w:val="32"/>
          <w:lang w:eastAsia="zh-CN"/>
        </w:rPr>
        <w:t>：</w:t>
      </w:r>
      <w:r>
        <w:rPr>
          <w:rFonts w:hint="eastAsia"/>
          <w:color w:val="auto"/>
          <w:sz w:val="24"/>
          <w:szCs w:val="32"/>
        </w:rPr>
        <w:t>基本公共卫生服务</w:t>
      </w:r>
      <w:r>
        <w:rPr>
          <w:rFonts w:hint="eastAsia"/>
          <w:color w:val="auto"/>
          <w:sz w:val="24"/>
          <w:szCs w:val="32"/>
          <w:lang w:eastAsia="zh-CN"/>
        </w:rPr>
        <w:t>年度使用</w:t>
      </w:r>
      <w:r>
        <w:rPr>
          <w:rFonts w:hint="eastAsia"/>
          <w:color w:val="auto"/>
          <w:sz w:val="24"/>
          <w:szCs w:val="32"/>
        </w:rPr>
        <w:t>资金</w:t>
      </w:r>
      <w:r>
        <w:rPr>
          <w:rFonts w:hint="eastAsia"/>
          <w:color w:val="auto"/>
          <w:sz w:val="24"/>
          <w:szCs w:val="32"/>
          <w:lang w:val="en-US" w:eastAsia="zh-CN"/>
        </w:rPr>
        <w:t>:152.91万元</w:t>
      </w:r>
      <w:r>
        <w:rPr>
          <w:rFonts w:hint="eastAsia"/>
          <w:color w:val="auto"/>
          <w:sz w:val="24"/>
          <w:szCs w:val="32"/>
        </w:rPr>
        <w:t xml:space="preserve"> </w:t>
      </w:r>
    </w:p>
    <w:p w14:paraId="0A47650C">
      <w:pPr>
        <w:rPr>
          <w:rFonts w:hint="eastAsia"/>
          <w:color w:val="auto"/>
          <w:sz w:val="24"/>
          <w:szCs w:val="32"/>
        </w:rPr>
      </w:pPr>
      <w:r>
        <w:rPr>
          <w:rFonts w:hint="eastAsia"/>
          <w:color w:val="auto"/>
          <w:sz w:val="24"/>
          <w:szCs w:val="32"/>
        </w:rPr>
        <w:t xml:space="preserve">    用途：居民健康档案、老年人健康管理、预防接种等；  </w:t>
      </w:r>
    </w:p>
    <w:p w14:paraId="08C8D31F">
      <w:pPr>
        <w:rPr>
          <w:rFonts w:hint="eastAsia" w:eastAsia="宋体"/>
          <w:color w:val="auto"/>
          <w:sz w:val="24"/>
          <w:szCs w:val="32"/>
          <w:lang w:eastAsia="zh-CN"/>
        </w:rPr>
      </w:pPr>
      <w:r>
        <w:rPr>
          <w:rFonts w:hint="eastAsia"/>
          <w:color w:val="auto"/>
          <w:sz w:val="24"/>
          <w:szCs w:val="32"/>
        </w:rPr>
        <w:t xml:space="preserve">    执行进度：</w:t>
      </w:r>
      <w:r>
        <w:rPr>
          <w:rFonts w:hint="eastAsia"/>
          <w:color w:val="auto"/>
          <w:sz w:val="24"/>
          <w:szCs w:val="32"/>
          <w:lang w:val="en-US" w:eastAsia="zh-CN"/>
        </w:rPr>
        <w:t>68</w:t>
      </w:r>
      <w:r>
        <w:rPr>
          <w:rFonts w:hint="eastAsia"/>
          <w:color w:val="auto"/>
          <w:sz w:val="24"/>
          <w:szCs w:val="32"/>
        </w:rPr>
        <w:t>%</w:t>
      </w:r>
      <w:r>
        <w:rPr>
          <w:rFonts w:hint="eastAsia"/>
          <w:color w:val="auto"/>
          <w:sz w:val="24"/>
          <w:szCs w:val="32"/>
          <w:lang w:eastAsia="zh-CN"/>
        </w:rPr>
        <w:t>（需与工作量挂钩，如完成建档率</w:t>
      </w:r>
      <w:r>
        <w:rPr>
          <w:rFonts w:hint="eastAsia"/>
          <w:color w:val="auto"/>
          <w:sz w:val="24"/>
          <w:szCs w:val="32"/>
          <w:lang w:val="en-US" w:eastAsia="zh-CN"/>
        </w:rPr>
        <w:t>100%</w:t>
      </w:r>
      <w:r>
        <w:rPr>
          <w:rFonts w:hint="eastAsia"/>
          <w:color w:val="auto"/>
          <w:sz w:val="24"/>
          <w:szCs w:val="32"/>
          <w:lang w:eastAsia="zh-CN"/>
        </w:rPr>
        <w:t>）。</w:t>
      </w:r>
    </w:p>
    <w:p w14:paraId="619D2F59">
      <w:pPr>
        <w:rPr>
          <w:rFonts w:hint="eastAsia"/>
          <w:color w:val="auto"/>
          <w:sz w:val="24"/>
          <w:szCs w:val="32"/>
        </w:rPr>
      </w:pPr>
      <w:r>
        <w:rPr>
          <w:rFonts w:hint="eastAsia"/>
          <w:color w:val="auto"/>
          <w:sz w:val="24"/>
          <w:szCs w:val="32"/>
        </w:rPr>
        <w:t xml:space="preserve">     </w:t>
      </w:r>
    </w:p>
    <w:p w14:paraId="06E1612B">
      <w:pPr>
        <w:rPr>
          <w:rFonts w:hint="eastAsia"/>
          <w:color w:val="auto"/>
          <w:sz w:val="24"/>
          <w:szCs w:val="32"/>
        </w:rPr>
      </w:pPr>
      <w:r>
        <w:rPr>
          <w:rFonts w:hint="eastAsia"/>
          <w:color w:val="auto"/>
          <w:sz w:val="24"/>
          <w:szCs w:val="32"/>
        </w:rPr>
        <w:t xml:space="preserve">三、政府性基金预算支出情况 </w:t>
      </w:r>
      <w:r>
        <w:rPr>
          <w:rFonts w:hint="eastAsia"/>
          <w:color w:val="auto"/>
          <w:sz w:val="24"/>
          <w:szCs w:val="32"/>
          <w:lang w:eastAsia="zh-CN"/>
        </w:rPr>
        <w:t>：</w:t>
      </w:r>
      <w:r>
        <w:rPr>
          <w:rFonts w:hint="eastAsia"/>
          <w:color w:val="auto"/>
          <w:sz w:val="24"/>
          <w:szCs w:val="32"/>
        </w:rPr>
        <w:t>本单位无政府性基金预算支出</w:t>
      </w:r>
    </w:p>
    <w:p w14:paraId="4C6D0F9C">
      <w:pPr>
        <w:rPr>
          <w:rFonts w:hint="eastAsia"/>
          <w:color w:val="auto"/>
          <w:sz w:val="24"/>
          <w:szCs w:val="32"/>
        </w:rPr>
      </w:pPr>
    </w:p>
    <w:p w14:paraId="4A37FFA6">
      <w:pPr>
        <w:rPr>
          <w:rFonts w:hint="eastAsia"/>
          <w:color w:val="auto"/>
          <w:sz w:val="24"/>
          <w:szCs w:val="32"/>
        </w:rPr>
      </w:pPr>
      <w:r>
        <w:rPr>
          <w:rFonts w:hint="eastAsia"/>
          <w:color w:val="auto"/>
          <w:sz w:val="24"/>
          <w:szCs w:val="32"/>
        </w:rPr>
        <w:t>四、国有资本经营/社会保险基金预算支出情况</w:t>
      </w:r>
      <w:r>
        <w:rPr>
          <w:rFonts w:hint="eastAsia"/>
          <w:color w:val="auto"/>
          <w:sz w:val="24"/>
          <w:szCs w:val="32"/>
          <w:lang w:eastAsia="zh-CN"/>
        </w:rPr>
        <w:t>：</w:t>
      </w:r>
      <w:r>
        <w:rPr>
          <w:rFonts w:hint="eastAsia"/>
          <w:color w:val="auto"/>
          <w:sz w:val="24"/>
          <w:szCs w:val="32"/>
        </w:rPr>
        <w:t xml:space="preserve">不适用  </w:t>
      </w:r>
      <w:r>
        <w:rPr>
          <w:rFonts w:hint="eastAsia"/>
          <w:color w:val="auto"/>
          <w:sz w:val="24"/>
          <w:szCs w:val="32"/>
          <w:lang w:eastAsia="zh-CN"/>
        </w:rPr>
        <w:t>（</w:t>
      </w:r>
      <w:r>
        <w:rPr>
          <w:rFonts w:hint="eastAsia"/>
          <w:color w:val="auto"/>
          <w:sz w:val="24"/>
          <w:szCs w:val="32"/>
        </w:rPr>
        <w:t>基层卫生院通常不涉及</w:t>
      </w:r>
      <w:r>
        <w:rPr>
          <w:rFonts w:hint="eastAsia"/>
          <w:color w:val="auto"/>
          <w:sz w:val="24"/>
          <w:szCs w:val="32"/>
          <w:lang w:eastAsia="zh-CN"/>
        </w:rPr>
        <w:t>）</w:t>
      </w:r>
      <w:r>
        <w:rPr>
          <w:rFonts w:hint="eastAsia"/>
          <w:color w:val="auto"/>
          <w:sz w:val="24"/>
          <w:szCs w:val="32"/>
        </w:rPr>
        <w:t xml:space="preserve">  </w:t>
      </w:r>
    </w:p>
    <w:p w14:paraId="028AF246">
      <w:pPr>
        <w:rPr>
          <w:rFonts w:hint="eastAsia"/>
          <w:color w:val="auto"/>
          <w:sz w:val="24"/>
          <w:szCs w:val="32"/>
        </w:rPr>
      </w:pPr>
    </w:p>
    <w:p w14:paraId="48436115">
      <w:pPr>
        <w:rPr>
          <w:rFonts w:hint="eastAsia"/>
          <w:color w:val="auto"/>
          <w:sz w:val="24"/>
          <w:szCs w:val="32"/>
        </w:rPr>
      </w:pPr>
      <w:r>
        <w:rPr>
          <w:rFonts w:hint="eastAsia"/>
          <w:color w:val="auto"/>
          <w:sz w:val="24"/>
          <w:szCs w:val="32"/>
          <w:lang w:eastAsia="zh-CN"/>
        </w:rPr>
        <w:t>五</w:t>
      </w:r>
      <w:r>
        <w:rPr>
          <w:rFonts w:hint="eastAsia"/>
          <w:color w:val="auto"/>
          <w:sz w:val="24"/>
          <w:szCs w:val="32"/>
        </w:rPr>
        <w:t xml:space="preserve">、部门整体支出绩效情况   </w:t>
      </w:r>
    </w:p>
    <w:p w14:paraId="444354AD">
      <w:pPr>
        <w:rPr>
          <w:rFonts w:hint="eastAsia"/>
          <w:color w:val="auto"/>
          <w:sz w:val="24"/>
          <w:szCs w:val="32"/>
        </w:rPr>
      </w:pPr>
      <w:r>
        <w:rPr>
          <w:rFonts w:hint="eastAsia"/>
          <w:color w:val="auto"/>
          <w:sz w:val="24"/>
          <w:szCs w:val="32"/>
        </w:rPr>
        <w:t>1. 运行成本：人均诊疗成本同比下降</w:t>
      </w:r>
      <w:r>
        <w:rPr>
          <w:rFonts w:hint="eastAsia"/>
          <w:color w:val="auto"/>
          <w:sz w:val="24"/>
          <w:szCs w:val="32"/>
          <w:lang w:val="en-US" w:eastAsia="zh-CN"/>
        </w:rPr>
        <w:t>2.65</w:t>
      </w:r>
      <w:r>
        <w:rPr>
          <w:rFonts w:hint="eastAsia"/>
          <w:color w:val="auto"/>
          <w:sz w:val="24"/>
          <w:szCs w:val="32"/>
        </w:rPr>
        <w:t>%，药占比控制在</w:t>
      </w:r>
      <w:r>
        <w:rPr>
          <w:rFonts w:hint="eastAsia"/>
          <w:color w:val="auto"/>
          <w:sz w:val="24"/>
          <w:szCs w:val="32"/>
          <w:lang w:val="en-US" w:eastAsia="zh-CN"/>
        </w:rPr>
        <w:t>50%</w:t>
      </w:r>
      <w:r>
        <w:rPr>
          <w:rFonts w:hint="eastAsia"/>
          <w:color w:val="auto"/>
          <w:sz w:val="24"/>
          <w:szCs w:val="32"/>
        </w:rPr>
        <w:t xml:space="preserve">。  </w:t>
      </w:r>
    </w:p>
    <w:p w14:paraId="1F4BAAFC">
      <w:pPr>
        <w:rPr>
          <w:rFonts w:hint="eastAsia"/>
          <w:color w:val="auto"/>
          <w:sz w:val="24"/>
          <w:szCs w:val="32"/>
        </w:rPr>
      </w:pPr>
      <w:r>
        <w:rPr>
          <w:rFonts w:hint="eastAsia"/>
          <w:color w:val="auto"/>
          <w:sz w:val="24"/>
          <w:szCs w:val="32"/>
        </w:rPr>
        <w:t>2. 管理效率：医保资金使用合规率100%，预算执行率</w:t>
      </w:r>
      <w:r>
        <w:rPr>
          <w:rFonts w:hint="eastAsia"/>
          <w:color w:val="auto"/>
          <w:sz w:val="24"/>
          <w:szCs w:val="32"/>
          <w:lang w:val="en-US" w:eastAsia="zh-CN"/>
        </w:rPr>
        <w:t>100</w:t>
      </w:r>
      <w:r>
        <w:rPr>
          <w:rFonts w:hint="eastAsia"/>
          <w:color w:val="auto"/>
          <w:sz w:val="24"/>
          <w:szCs w:val="32"/>
        </w:rPr>
        <w:t xml:space="preserve">%。  </w:t>
      </w:r>
    </w:p>
    <w:p w14:paraId="2B930651">
      <w:pPr>
        <w:rPr>
          <w:rFonts w:hint="eastAsia"/>
          <w:color w:val="auto"/>
          <w:sz w:val="24"/>
          <w:szCs w:val="32"/>
        </w:rPr>
      </w:pPr>
      <w:r>
        <w:rPr>
          <w:rFonts w:hint="eastAsia"/>
          <w:color w:val="auto"/>
          <w:sz w:val="24"/>
          <w:szCs w:val="32"/>
        </w:rPr>
        <w:t xml:space="preserve">3. 履职效能：  </w:t>
      </w:r>
    </w:p>
    <w:p w14:paraId="15502B6C">
      <w:pPr>
        <w:rPr>
          <w:rFonts w:hint="default" w:eastAsia="宋体"/>
          <w:color w:val="auto"/>
          <w:sz w:val="24"/>
          <w:szCs w:val="32"/>
          <w:lang w:val="en-US" w:eastAsia="zh-CN"/>
        </w:rPr>
      </w:pPr>
      <w:r>
        <w:rPr>
          <w:rFonts w:hint="eastAsia"/>
          <w:color w:val="auto"/>
          <w:sz w:val="24"/>
          <w:szCs w:val="32"/>
        </w:rPr>
        <w:t xml:space="preserve">   医疗服务质量：门诊人次同比增长</w:t>
      </w:r>
      <w:r>
        <w:rPr>
          <w:rFonts w:hint="eastAsia"/>
          <w:color w:val="auto"/>
          <w:sz w:val="24"/>
          <w:szCs w:val="32"/>
          <w:lang w:val="en-US" w:eastAsia="zh-CN"/>
        </w:rPr>
        <w:t>12</w:t>
      </w:r>
      <w:r>
        <w:rPr>
          <w:rFonts w:hint="eastAsia"/>
          <w:color w:val="auto"/>
          <w:sz w:val="24"/>
          <w:szCs w:val="32"/>
        </w:rPr>
        <w:t>%</w:t>
      </w:r>
      <w:r>
        <w:rPr>
          <w:rFonts w:hint="eastAsia"/>
          <w:color w:val="auto"/>
          <w:sz w:val="24"/>
          <w:szCs w:val="32"/>
          <w:lang w:eastAsia="zh-CN"/>
        </w:rPr>
        <w:t>。抗生素使用合格率</w:t>
      </w:r>
      <w:r>
        <w:rPr>
          <w:rFonts w:hint="eastAsia"/>
          <w:color w:val="auto"/>
          <w:sz w:val="24"/>
          <w:szCs w:val="32"/>
        </w:rPr>
        <w:t>≥</w:t>
      </w:r>
      <w:r>
        <w:rPr>
          <w:rFonts w:hint="eastAsia"/>
          <w:color w:val="auto"/>
          <w:sz w:val="24"/>
          <w:szCs w:val="32"/>
          <w:lang w:val="en-US" w:eastAsia="zh-CN"/>
        </w:rPr>
        <w:t>90%；</w:t>
      </w:r>
    </w:p>
    <w:p w14:paraId="259C00CE">
      <w:pPr>
        <w:rPr>
          <w:rFonts w:hint="default" w:eastAsia="宋体"/>
          <w:color w:val="auto"/>
          <w:sz w:val="24"/>
          <w:szCs w:val="32"/>
          <w:lang w:val="en-US" w:eastAsia="zh-CN"/>
        </w:rPr>
      </w:pPr>
      <w:r>
        <w:rPr>
          <w:rFonts w:hint="eastAsia"/>
          <w:color w:val="auto"/>
          <w:sz w:val="24"/>
          <w:szCs w:val="32"/>
        </w:rPr>
        <w:t xml:space="preserve">   公卫服务：</w:t>
      </w:r>
      <w:r>
        <w:rPr>
          <w:rFonts w:hint="eastAsia"/>
          <w:color w:val="auto"/>
          <w:sz w:val="24"/>
          <w:szCs w:val="32"/>
          <w:lang w:eastAsia="zh-CN"/>
        </w:rPr>
        <w:t>高血压规范管理率</w:t>
      </w:r>
      <w:r>
        <w:rPr>
          <w:rFonts w:hint="eastAsia"/>
          <w:color w:val="auto"/>
          <w:sz w:val="24"/>
          <w:szCs w:val="32"/>
        </w:rPr>
        <w:t>≥</w:t>
      </w:r>
      <w:r>
        <w:rPr>
          <w:rFonts w:hint="eastAsia"/>
          <w:color w:val="auto"/>
          <w:sz w:val="24"/>
          <w:szCs w:val="32"/>
          <w:lang w:val="en-US" w:eastAsia="zh-CN"/>
        </w:rPr>
        <w:t>95.77%；超目标7.77个百分点。</w:t>
      </w:r>
    </w:p>
    <w:p w14:paraId="24068FD5">
      <w:pPr>
        <w:rPr>
          <w:rFonts w:hint="eastAsia"/>
          <w:color w:val="auto"/>
          <w:sz w:val="24"/>
          <w:szCs w:val="32"/>
        </w:rPr>
      </w:pPr>
      <w:r>
        <w:rPr>
          <w:rFonts w:hint="eastAsia"/>
          <w:color w:val="auto"/>
          <w:sz w:val="24"/>
          <w:szCs w:val="32"/>
        </w:rPr>
        <w:t>4. 社会效应：辖区居民健康知识知晓率提升至</w:t>
      </w:r>
      <w:r>
        <w:rPr>
          <w:rFonts w:hint="eastAsia"/>
          <w:color w:val="auto"/>
          <w:sz w:val="24"/>
          <w:szCs w:val="32"/>
          <w:lang w:val="en-US" w:eastAsia="zh-CN"/>
        </w:rPr>
        <w:t>88</w:t>
      </w:r>
      <w:r>
        <w:rPr>
          <w:rFonts w:hint="eastAsia"/>
          <w:color w:val="auto"/>
          <w:sz w:val="24"/>
          <w:szCs w:val="32"/>
        </w:rPr>
        <w:t xml:space="preserve">%。  </w:t>
      </w:r>
    </w:p>
    <w:p w14:paraId="08E8EF8E">
      <w:pPr>
        <w:rPr>
          <w:rFonts w:hint="eastAsia"/>
          <w:color w:val="auto"/>
          <w:sz w:val="24"/>
          <w:szCs w:val="32"/>
        </w:rPr>
      </w:pPr>
      <w:r>
        <w:rPr>
          <w:rFonts w:hint="eastAsia"/>
          <w:color w:val="auto"/>
          <w:sz w:val="24"/>
          <w:szCs w:val="32"/>
        </w:rPr>
        <w:t>5. 满意度：患者满意度调查得分</w:t>
      </w:r>
      <w:r>
        <w:rPr>
          <w:rFonts w:hint="eastAsia"/>
          <w:color w:val="auto"/>
          <w:sz w:val="24"/>
          <w:szCs w:val="32"/>
          <w:lang w:val="en-US" w:eastAsia="zh-CN"/>
        </w:rPr>
        <w:t>92</w:t>
      </w:r>
      <w:r>
        <w:rPr>
          <w:rFonts w:hint="eastAsia"/>
          <w:color w:val="auto"/>
          <w:sz w:val="24"/>
          <w:szCs w:val="32"/>
        </w:rPr>
        <w:t xml:space="preserve">分。  </w:t>
      </w:r>
    </w:p>
    <w:p w14:paraId="1C1AF3FF">
      <w:pPr>
        <w:rPr>
          <w:rFonts w:hint="eastAsia"/>
          <w:color w:val="auto"/>
          <w:sz w:val="24"/>
          <w:szCs w:val="32"/>
        </w:rPr>
      </w:pPr>
    </w:p>
    <w:p w14:paraId="67A2CF6F">
      <w:pPr>
        <w:rPr>
          <w:rFonts w:hint="eastAsia"/>
          <w:color w:val="auto"/>
          <w:sz w:val="24"/>
          <w:szCs w:val="32"/>
        </w:rPr>
      </w:pPr>
      <w:r>
        <w:rPr>
          <w:rFonts w:hint="eastAsia"/>
          <w:color w:val="auto"/>
          <w:sz w:val="24"/>
          <w:szCs w:val="32"/>
          <w:lang w:eastAsia="zh-CN"/>
        </w:rPr>
        <w:t>六</w:t>
      </w:r>
      <w:r>
        <w:rPr>
          <w:rFonts w:hint="eastAsia"/>
          <w:color w:val="auto"/>
          <w:sz w:val="24"/>
          <w:szCs w:val="32"/>
        </w:rPr>
        <w:t xml:space="preserve">、存在的问题及原因分析  </w:t>
      </w:r>
    </w:p>
    <w:p w14:paraId="08AB090D">
      <w:pPr>
        <w:rPr>
          <w:rFonts w:hint="eastAsia" w:eastAsia="宋体"/>
          <w:color w:val="auto"/>
          <w:sz w:val="24"/>
          <w:szCs w:val="32"/>
          <w:lang w:eastAsia="zh-CN"/>
        </w:rPr>
      </w:pPr>
      <w:r>
        <w:rPr>
          <w:rFonts w:hint="eastAsia"/>
          <w:color w:val="auto"/>
          <w:sz w:val="24"/>
          <w:szCs w:val="32"/>
        </w:rPr>
        <w:t>问题</w:t>
      </w:r>
      <w:r>
        <w:rPr>
          <w:rFonts w:hint="eastAsia"/>
          <w:color w:val="auto"/>
          <w:sz w:val="24"/>
          <w:szCs w:val="32"/>
          <w:lang w:eastAsia="zh-CN"/>
        </w:rPr>
        <w:t>：</w:t>
      </w:r>
    </w:p>
    <w:p w14:paraId="468A2A0C">
      <w:pPr>
        <w:rPr>
          <w:rFonts w:hint="eastAsia"/>
          <w:color w:val="auto"/>
          <w:sz w:val="24"/>
          <w:szCs w:val="32"/>
        </w:rPr>
      </w:pPr>
      <w:r>
        <w:rPr>
          <w:rFonts w:hint="eastAsia"/>
          <w:color w:val="auto"/>
          <w:sz w:val="24"/>
          <w:szCs w:val="32"/>
          <w:lang w:val="en-US" w:eastAsia="zh-CN"/>
        </w:rPr>
        <w:t>1.</w:t>
      </w:r>
      <w:r>
        <w:rPr>
          <w:rFonts w:hint="eastAsia"/>
          <w:color w:val="auto"/>
          <w:sz w:val="24"/>
          <w:szCs w:val="32"/>
        </w:rPr>
        <w:t>医疗质量薄弱</w:t>
      </w:r>
      <w:r>
        <w:rPr>
          <w:rFonts w:hint="eastAsia"/>
          <w:color w:val="auto"/>
          <w:sz w:val="24"/>
          <w:szCs w:val="32"/>
          <w:lang w:eastAsia="zh-CN"/>
        </w:rPr>
        <w:t>。</w:t>
      </w:r>
      <w:r>
        <w:rPr>
          <w:rFonts w:hint="eastAsia"/>
          <w:color w:val="auto"/>
          <w:sz w:val="24"/>
          <w:szCs w:val="32"/>
        </w:rPr>
        <w:t>处方、病历书写不规范等医疗质量缺陷。</w:t>
      </w:r>
    </w:p>
    <w:p w14:paraId="02D90D0F">
      <w:pPr>
        <w:rPr>
          <w:rFonts w:hint="eastAsia"/>
          <w:color w:val="auto"/>
          <w:sz w:val="24"/>
          <w:szCs w:val="32"/>
        </w:rPr>
      </w:pPr>
      <w:r>
        <w:rPr>
          <w:rFonts w:hint="eastAsia"/>
          <w:color w:val="auto"/>
          <w:sz w:val="24"/>
          <w:szCs w:val="32"/>
          <w:lang w:val="en-US" w:eastAsia="zh-CN"/>
        </w:rPr>
        <w:t>2.</w:t>
      </w:r>
      <w:r>
        <w:rPr>
          <w:rFonts w:hint="eastAsia"/>
          <w:color w:val="auto"/>
          <w:sz w:val="24"/>
          <w:szCs w:val="32"/>
        </w:rPr>
        <w:t>职工意识淡漠</w:t>
      </w:r>
      <w:r>
        <w:rPr>
          <w:rFonts w:hint="eastAsia"/>
          <w:color w:val="auto"/>
          <w:sz w:val="24"/>
          <w:szCs w:val="32"/>
          <w:lang w:eastAsia="zh-CN"/>
        </w:rPr>
        <w:t>。</w:t>
      </w:r>
      <w:r>
        <w:rPr>
          <w:rFonts w:hint="eastAsia"/>
          <w:color w:val="auto"/>
          <w:sz w:val="24"/>
          <w:szCs w:val="32"/>
        </w:rPr>
        <w:t>少数职工缺乏竞争意识和进取精神，抱铁饭碗思想。</w:t>
      </w:r>
    </w:p>
    <w:p w14:paraId="6E8D54EB">
      <w:pPr>
        <w:rPr>
          <w:rFonts w:hint="eastAsia"/>
          <w:color w:val="auto"/>
          <w:sz w:val="24"/>
          <w:szCs w:val="32"/>
        </w:rPr>
      </w:pPr>
      <w:r>
        <w:rPr>
          <w:rFonts w:hint="eastAsia"/>
          <w:color w:val="auto"/>
          <w:sz w:val="24"/>
          <w:szCs w:val="32"/>
          <w:lang w:val="en-US" w:eastAsia="zh-CN"/>
        </w:rPr>
        <w:t>3.</w:t>
      </w:r>
      <w:r>
        <w:rPr>
          <w:rFonts w:hint="eastAsia"/>
          <w:color w:val="auto"/>
          <w:sz w:val="24"/>
          <w:szCs w:val="32"/>
        </w:rPr>
        <w:t>村卫生室落后</w:t>
      </w:r>
      <w:r>
        <w:rPr>
          <w:rFonts w:hint="eastAsia"/>
          <w:color w:val="auto"/>
          <w:sz w:val="24"/>
          <w:szCs w:val="32"/>
          <w:lang w:eastAsia="zh-CN"/>
        </w:rPr>
        <w:t>。</w:t>
      </w:r>
      <w:r>
        <w:rPr>
          <w:rFonts w:hint="eastAsia"/>
          <w:color w:val="auto"/>
          <w:sz w:val="24"/>
          <w:szCs w:val="32"/>
        </w:rPr>
        <w:t>基础设施陈旧、布局不合理、面积不足，空白村多，村医老龄化严重，仅能从事公共卫生服务。</w:t>
      </w:r>
    </w:p>
    <w:p w14:paraId="215A76C5">
      <w:pPr>
        <w:rPr>
          <w:rFonts w:hint="eastAsia" w:eastAsia="宋体"/>
          <w:color w:val="auto"/>
          <w:sz w:val="24"/>
          <w:szCs w:val="32"/>
          <w:lang w:eastAsia="zh-CN"/>
        </w:rPr>
      </w:pPr>
      <w:r>
        <w:rPr>
          <w:rFonts w:hint="eastAsia"/>
          <w:color w:val="auto"/>
          <w:sz w:val="24"/>
          <w:szCs w:val="32"/>
          <w:lang w:eastAsia="zh-CN"/>
        </w:rPr>
        <w:t>原因：</w:t>
      </w:r>
    </w:p>
    <w:p w14:paraId="591D50D3">
      <w:pPr>
        <w:rPr>
          <w:rFonts w:hint="eastAsia"/>
          <w:color w:val="auto"/>
          <w:sz w:val="24"/>
          <w:szCs w:val="32"/>
        </w:rPr>
      </w:pPr>
      <w:r>
        <w:rPr>
          <w:rFonts w:hint="eastAsia"/>
          <w:color w:val="auto"/>
          <w:sz w:val="24"/>
          <w:szCs w:val="32"/>
        </w:rPr>
        <w:t>质量监管松懈、人员激励不足和基础设施投入匮乏，加剧了服务能力与群众需求间的矛盾，可能引发信任危机和资源浪费。需通过强化培训、优化激励和加大基建投入来破局。</w:t>
      </w:r>
    </w:p>
    <w:p w14:paraId="67F1F205">
      <w:pPr>
        <w:rPr>
          <w:rFonts w:hint="eastAsia"/>
          <w:color w:val="auto"/>
          <w:sz w:val="24"/>
          <w:szCs w:val="32"/>
        </w:rPr>
      </w:pPr>
    </w:p>
    <w:p w14:paraId="169CD6D2">
      <w:pPr>
        <w:rPr>
          <w:rFonts w:hint="eastAsia"/>
          <w:color w:val="auto"/>
          <w:sz w:val="24"/>
          <w:szCs w:val="32"/>
          <w:lang w:val="en-US" w:eastAsia="zh-CN"/>
        </w:rPr>
      </w:pPr>
      <w:r>
        <w:rPr>
          <w:rFonts w:hint="eastAsia"/>
          <w:color w:val="auto"/>
          <w:sz w:val="24"/>
          <w:szCs w:val="32"/>
          <w:lang w:eastAsia="zh-CN"/>
        </w:rPr>
        <w:t>七</w:t>
      </w:r>
      <w:r>
        <w:rPr>
          <w:rFonts w:hint="eastAsia"/>
          <w:color w:val="auto"/>
          <w:sz w:val="24"/>
          <w:szCs w:val="32"/>
        </w:rPr>
        <w:t xml:space="preserve">、下一步改进措施    </w:t>
      </w:r>
    </w:p>
    <w:p w14:paraId="5DEDC61C">
      <w:pPr>
        <w:rPr>
          <w:rFonts w:hint="eastAsia"/>
          <w:color w:val="auto"/>
          <w:sz w:val="24"/>
          <w:szCs w:val="32"/>
          <w:lang w:val="en-US" w:eastAsia="zh-CN"/>
        </w:rPr>
      </w:pPr>
      <w:r>
        <w:rPr>
          <w:rFonts w:hint="eastAsia"/>
          <w:color w:val="auto"/>
          <w:sz w:val="24"/>
          <w:szCs w:val="32"/>
          <w:lang w:val="en-US" w:eastAsia="zh-CN"/>
        </w:rPr>
        <w:t>1.强化质量与行风管理。落实医疗质量安全核心制度，开展自查自纠；深化行风建设，健全人力资源制度以激发全员效能。</w:t>
      </w:r>
    </w:p>
    <w:p w14:paraId="22B7A2A8">
      <w:pPr>
        <w:rPr>
          <w:rFonts w:hint="eastAsia"/>
          <w:color w:val="auto"/>
          <w:sz w:val="24"/>
          <w:szCs w:val="32"/>
          <w:lang w:val="en-US" w:eastAsia="zh-CN"/>
        </w:rPr>
      </w:pPr>
      <w:r>
        <w:rPr>
          <w:rFonts w:hint="eastAsia"/>
          <w:color w:val="auto"/>
          <w:sz w:val="24"/>
          <w:szCs w:val="32"/>
          <w:lang w:val="en-US" w:eastAsia="zh-CN"/>
        </w:rPr>
        <w:t>2.推进问题整改。针对医共体总院及卫健委检查问题，建立持续改进机制，确保整改到位。</w:t>
      </w:r>
    </w:p>
    <w:p w14:paraId="455C7689">
      <w:pPr>
        <w:rPr>
          <w:rFonts w:hint="eastAsia"/>
          <w:color w:val="auto"/>
          <w:sz w:val="24"/>
          <w:szCs w:val="32"/>
          <w:lang w:val="en-US" w:eastAsia="zh-CN"/>
        </w:rPr>
      </w:pPr>
      <w:r>
        <w:rPr>
          <w:rFonts w:hint="eastAsia"/>
          <w:color w:val="auto"/>
          <w:sz w:val="24"/>
          <w:szCs w:val="32"/>
          <w:lang w:val="en-US" w:eastAsia="zh-CN"/>
        </w:rPr>
        <w:t>3.巩固基础服务。抓实基本医疗和公共卫生服务，提升服务覆盖率及质量。</w:t>
      </w:r>
    </w:p>
    <w:p w14:paraId="6A04D555">
      <w:pPr>
        <w:rPr>
          <w:rFonts w:hint="eastAsia"/>
          <w:color w:val="auto"/>
          <w:sz w:val="24"/>
          <w:szCs w:val="32"/>
          <w:lang w:val="en-US" w:eastAsia="zh-CN"/>
        </w:rPr>
      </w:pPr>
      <w:r>
        <w:rPr>
          <w:rFonts w:hint="eastAsia"/>
          <w:color w:val="auto"/>
          <w:sz w:val="24"/>
          <w:szCs w:val="32"/>
          <w:lang w:val="en-US" w:eastAsia="zh-CN"/>
        </w:rPr>
        <w:t>4.深化党建引领。督导镇卫生院党支部加强党风廉政建设与精神文明建设，强化监督考核机制。</w:t>
      </w:r>
    </w:p>
    <w:p w14:paraId="0E09B5B5">
      <w:pPr>
        <w:rPr>
          <w:rFonts w:hint="eastAsia"/>
          <w:color w:val="auto"/>
          <w:sz w:val="24"/>
          <w:szCs w:val="32"/>
          <w:lang w:val="en-US" w:eastAsia="zh-CN"/>
        </w:rPr>
      </w:pPr>
    </w:p>
    <w:p w14:paraId="4BA7FBD0">
      <w:pPr>
        <w:rPr>
          <w:rFonts w:hint="eastAsia"/>
          <w:color w:val="auto"/>
          <w:sz w:val="24"/>
          <w:szCs w:val="32"/>
        </w:rPr>
      </w:pPr>
    </w:p>
    <w:p w14:paraId="1629E5D3">
      <w:pPr>
        <w:rPr>
          <w:rFonts w:hint="eastAsia"/>
          <w:color w:val="auto"/>
          <w:sz w:val="24"/>
          <w:szCs w:val="32"/>
        </w:rPr>
      </w:pPr>
      <w:r>
        <w:rPr>
          <w:rFonts w:hint="eastAsia"/>
          <w:color w:val="auto"/>
          <w:sz w:val="24"/>
          <w:szCs w:val="32"/>
          <w:lang w:eastAsia="zh-CN"/>
        </w:rPr>
        <w:t>八</w:t>
      </w:r>
      <w:r>
        <w:rPr>
          <w:rFonts w:hint="eastAsia"/>
          <w:color w:val="auto"/>
          <w:sz w:val="24"/>
          <w:szCs w:val="32"/>
        </w:rPr>
        <w:t xml:space="preserve">、绩效自评结果拟应用和公开情况  </w:t>
      </w:r>
    </w:p>
    <w:p w14:paraId="2584F154">
      <w:pPr>
        <w:rPr>
          <w:rFonts w:hint="eastAsia"/>
          <w:color w:val="auto"/>
          <w:sz w:val="24"/>
          <w:szCs w:val="32"/>
        </w:rPr>
      </w:pPr>
      <w:r>
        <w:rPr>
          <w:rFonts w:hint="eastAsia"/>
          <w:color w:val="auto"/>
          <w:sz w:val="24"/>
          <w:szCs w:val="32"/>
        </w:rPr>
        <w:t xml:space="preserve">等级：优秀。  </w:t>
      </w:r>
    </w:p>
    <w:p w14:paraId="407FBFDA">
      <w:pPr>
        <w:rPr>
          <w:color w:val="auto"/>
          <w:sz w:val="24"/>
          <w:szCs w:val="32"/>
        </w:rPr>
      </w:pPr>
      <w:r>
        <w:rPr>
          <w:rFonts w:hint="eastAsia"/>
          <w:color w:val="auto"/>
          <w:sz w:val="24"/>
          <w:szCs w:val="32"/>
        </w:rPr>
        <w:t xml:space="preserve"> </w:t>
      </w:r>
    </w:p>
    <w:p w14:paraId="54B6B07D">
      <w:pPr>
        <w:pStyle w:val="12"/>
        <w:spacing w:line="600" w:lineRule="exact"/>
        <w:ind w:firstLine="640" w:firstLineChars="200"/>
        <w:rPr>
          <w:rFonts w:ascii="Times New Roman" w:hAnsi="Times New Roman" w:eastAsia="仿宋_GB2312" w:cs="Times New Roman"/>
          <w:color w:val="auto"/>
          <w:sz w:val="32"/>
          <w:szCs w:val="32"/>
        </w:rPr>
      </w:pPr>
    </w:p>
    <w:p w14:paraId="6F580D74">
      <w:pPr>
        <w:pStyle w:val="12"/>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二、</w:t>
      </w:r>
      <w:r>
        <w:rPr>
          <w:rFonts w:hint="eastAsia" w:ascii="Times New Roman" w:hAnsi="Times New Roman" w:eastAsia="仿宋_GB2312" w:cs="Times New Roman"/>
          <w:color w:val="auto"/>
          <w:sz w:val="32"/>
          <w:szCs w:val="32"/>
          <w:lang w:val="en-US" w:eastAsia="zh-CN"/>
        </w:rPr>
        <w:t>2024年蓝山县毛俊镇中心卫生院决算公开表</w:t>
      </w:r>
    </w:p>
    <w:p w14:paraId="706AC928">
      <w:pPr>
        <w:jc w:val="left"/>
        <w:rPr>
          <w:rFonts w:ascii="Times New Roman" w:hAnsi="Times New Roman" w:cs="Times New Roman"/>
          <w:color w:val="auto"/>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545D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F91AB">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16169">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AC19D">
                          <w:pPr>
                            <w:pStyle w:val="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34AC19D">
                    <w:pPr>
                      <w:pStyle w:val="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42E83A"/>
    <w:multiLevelType w:val="singleLevel"/>
    <w:tmpl w:val="BD42E83A"/>
    <w:lvl w:ilvl="0" w:tentative="0">
      <w:start w:val="1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8820CDA"/>
    <w:rsid w:val="0B7D26A9"/>
    <w:rsid w:val="15692DB2"/>
    <w:rsid w:val="1B1E2711"/>
    <w:rsid w:val="1D97DEFF"/>
    <w:rsid w:val="1DFF72E5"/>
    <w:rsid w:val="1EFC6F07"/>
    <w:rsid w:val="215047E0"/>
    <w:rsid w:val="22534A89"/>
    <w:rsid w:val="23C464DC"/>
    <w:rsid w:val="24584E46"/>
    <w:rsid w:val="257D616E"/>
    <w:rsid w:val="27D87618"/>
    <w:rsid w:val="28944531"/>
    <w:rsid w:val="2FDF85B8"/>
    <w:rsid w:val="2FFFEE04"/>
    <w:rsid w:val="31F92799"/>
    <w:rsid w:val="34DF85B0"/>
    <w:rsid w:val="370615EB"/>
    <w:rsid w:val="380D3E1E"/>
    <w:rsid w:val="3B8F36BC"/>
    <w:rsid w:val="3D1A17BC"/>
    <w:rsid w:val="3FED003B"/>
    <w:rsid w:val="406125B2"/>
    <w:rsid w:val="433A749D"/>
    <w:rsid w:val="43575442"/>
    <w:rsid w:val="44777CB4"/>
    <w:rsid w:val="45806396"/>
    <w:rsid w:val="491FF225"/>
    <w:rsid w:val="4D5730B7"/>
    <w:rsid w:val="4FFD214C"/>
    <w:rsid w:val="54210F0C"/>
    <w:rsid w:val="55D02161"/>
    <w:rsid w:val="55DE7FDF"/>
    <w:rsid w:val="5777D4F5"/>
    <w:rsid w:val="59DD8326"/>
    <w:rsid w:val="5D0451AE"/>
    <w:rsid w:val="5DEF592A"/>
    <w:rsid w:val="5FC6BB1E"/>
    <w:rsid w:val="5FF720F1"/>
    <w:rsid w:val="607C4813"/>
    <w:rsid w:val="610E1170"/>
    <w:rsid w:val="67CC0D8B"/>
    <w:rsid w:val="67FF5C0B"/>
    <w:rsid w:val="6EFC0924"/>
    <w:rsid w:val="6FB74722"/>
    <w:rsid w:val="6FEF8B7E"/>
    <w:rsid w:val="71A6591B"/>
    <w:rsid w:val="737D59BA"/>
    <w:rsid w:val="74E8023E"/>
    <w:rsid w:val="77C37683"/>
    <w:rsid w:val="79D19834"/>
    <w:rsid w:val="79FF515B"/>
    <w:rsid w:val="7B4F173D"/>
    <w:rsid w:val="7E2A7EBA"/>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next w:val="7"/>
    <w:semiHidden/>
    <w:qFormat/>
    <w:uiPriority w:val="0"/>
    <w:pPr>
      <w:snapToGrid w:val="0"/>
      <w:jc w:val="left"/>
    </w:pPr>
    <w:rPr>
      <w:sz w:val="18"/>
      <w:szCs w:val="18"/>
    </w:rPr>
  </w:style>
  <w:style w:type="paragraph" w:styleId="7">
    <w:name w:val="Body Text First Indent 2"/>
    <w:basedOn w:val="2"/>
    <w:unhideWhenUsed/>
    <w:qFormat/>
    <w:uiPriority w:val="99"/>
    <w:pPr>
      <w:ind w:firstLine="420" w:firstLineChars="200"/>
    </w:p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3"/>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1562</Words>
  <Characters>1839</Characters>
  <Lines>69</Lines>
  <Paragraphs>19</Paragraphs>
  <TotalTime>2</TotalTime>
  <ScaleCrop>false</ScaleCrop>
  <LinksUpToDate>false</LinksUpToDate>
  <CharactersWithSpaces>2164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2025-08-26T12:21:47Z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eyJoZGlkIjoiNzUwZTliZDIyZjg1Njk5YzY3ZmVkYWIxYjRlODI0NzMifQ==</vt:lpwstr>
  </property>
</Properties>
</file>