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7414F1">
      <w:pPr>
        <w:spacing w:line="520" w:lineRule="exact"/>
        <w:jc w:val="center"/>
        <w:rPr>
          <w:rFonts w:hint="eastAsia" w:ascii="楷体" w:hAnsi="楷体" w:eastAsia="楷体" w:cs="楷体"/>
          <w:sz w:val="36"/>
          <w:szCs w:val="36"/>
        </w:rPr>
      </w:pPr>
      <w:bookmarkStart w:id="5" w:name="_GoBack"/>
      <w:bookmarkEnd w:id="5"/>
      <w:bookmarkStart w:id="0" w:name="YS060100"/>
      <w:bookmarkStart w:id="1" w:name="第七部分部门决算分析报告撰写提纲"/>
      <w:r>
        <w:rPr>
          <w:rFonts w:hint="eastAsia" w:ascii="楷体" w:hAnsi="楷体" w:eastAsia="楷体" w:cs="楷体"/>
          <w:sz w:val="36"/>
          <w:szCs w:val="36"/>
        </w:rPr>
        <w:t>蓝山县</w:t>
      </w:r>
      <w:r>
        <w:rPr>
          <w:rFonts w:hint="eastAsia" w:ascii="楷体" w:hAnsi="楷体" w:eastAsia="楷体" w:cs="楷体"/>
          <w:sz w:val="36"/>
          <w:szCs w:val="36"/>
          <w:lang w:val="en-US" w:eastAsia="zh-CN"/>
        </w:rPr>
        <w:t>塔峰镇第三完小</w:t>
      </w:r>
      <w:r>
        <w:rPr>
          <w:rFonts w:hint="eastAsia" w:ascii="楷体" w:hAnsi="楷体" w:eastAsia="楷体" w:cs="楷体"/>
          <w:sz w:val="36"/>
          <w:szCs w:val="36"/>
        </w:rPr>
        <w:t>学202</w:t>
      </w:r>
      <w:r>
        <w:rPr>
          <w:rFonts w:hint="eastAsia" w:ascii="楷体" w:hAnsi="楷体" w:eastAsia="楷体" w:cs="楷体"/>
          <w:sz w:val="36"/>
          <w:szCs w:val="36"/>
          <w:lang w:val="en-US" w:eastAsia="zh-CN"/>
        </w:rPr>
        <w:t>4</w:t>
      </w:r>
      <w:r>
        <w:rPr>
          <w:rFonts w:hint="eastAsia" w:ascii="楷体" w:hAnsi="楷体" w:eastAsia="楷体" w:cs="楷体"/>
          <w:sz w:val="36"/>
          <w:szCs w:val="36"/>
        </w:rPr>
        <w:t>年度</w:t>
      </w:r>
      <w:bookmarkEnd w:id="0"/>
      <w:bookmarkStart w:id="2" w:name="YS060101"/>
      <w:r>
        <w:rPr>
          <w:rFonts w:hint="eastAsia" w:ascii="楷体" w:hAnsi="楷体" w:eastAsia="楷体" w:cs="楷体"/>
          <w:bCs/>
          <w:sz w:val="36"/>
          <w:szCs w:val="36"/>
        </w:rPr>
        <w:t>整体绩效</w:t>
      </w:r>
      <w:r>
        <w:rPr>
          <w:rFonts w:hint="eastAsia" w:ascii="楷体" w:hAnsi="楷体" w:eastAsia="楷体" w:cs="楷体"/>
          <w:bCs/>
          <w:sz w:val="36"/>
          <w:szCs w:val="36"/>
          <w:lang w:eastAsia="zh-CN"/>
        </w:rPr>
        <w:t>自评</w:t>
      </w:r>
      <w:r>
        <w:rPr>
          <w:rFonts w:hint="eastAsia" w:ascii="楷体" w:hAnsi="楷体" w:eastAsia="楷体" w:cs="楷体"/>
          <w:bCs/>
          <w:sz w:val="36"/>
          <w:szCs w:val="36"/>
          <w:lang w:val="en-US" w:eastAsia="zh-CN"/>
        </w:rPr>
        <w:t xml:space="preserve">  </w:t>
      </w:r>
      <w:r>
        <w:rPr>
          <w:rFonts w:hint="eastAsia" w:ascii="楷体" w:hAnsi="楷体" w:eastAsia="楷体" w:cs="楷体"/>
          <w:bCs/>
          <w:sz w:val="36"/>
          <w:szCs w:val="36"/>
        </w:rPr>
        <w:t>报告</w:t>
      </w:r>
    </w:p>
    <w:p w14:paraId="31407214">
      <w:pPr>
        <w:spacing w:line="480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 w14:paraId="484A5E7F">
      <w:pPr>
        <w:spacing w:line="480" w:lineRule="exact"/>
        <w:rPr>
          <w:rFonts w:hint="eastAsia"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sz w:val="32"/>
          <w:szCs w:val="32"/>
        </w:rPr>
        <w:t>为进一步规范财政资金管理，牢固树立预算绩效理念，强化支出责任，提高财政资金使用效益，我们根据《蓝山县关于全面推进预算绩效管理的实施意见》，结合我局的具体情况，认真组织开展了202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Cs/>
          <w:sz w:val="32"/>
          <w:szCs w:val="32"/>
        </w:rPr>
        <w:t>年度部门绩效自评工作，现将我部门202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Cs/>
          <w:sz w:val="32"/>
          <w:szCs w:val="32"/>
        </w:rPr>
        <w:t>年度部门整体支出绩效评价情况报告如下：</w:t>
      </w:r>
      <w:r>
        <w:rPr>
          <w:rFonts w:hint="eastAsia" w:ascii="仿宋" w:hAnsi="仿宋" w:eastAsia="仿宋" w:cs="仿宋"/>
          <w:b/>
          <w:sz w:val="30"/>
          <w:szCs w:val="30"/>
        </w:rPr>
        <w:t>一、部门概况</w:t>
      </w:r>
    </w:p>
    <w:bookmarkEnd w:id="2"/>
    <w:p w14:paraId="39EC80B4">
      <w:pPr>
        <w:numPr>
          <w:ilvl w:val="0"/>
          <w:numId w:val="1"/>
        </w:numPr>
        <w:spacing w:line="600" w:lineRule="exact"/>
        <w:ind w:firstLine="630" w:firstLineChars="196"/>
        <w:rPr>
          <w:rFonts w:eastAsia="楷体_GB2312"/>
          <w:b/>
          <w:sz w:val="32"/>
          <w:szCs w:val="32"/>
        </w:rPr>
      </w:pPr>
      <w:bookmarkStart w:id="3" w:name="YS060102"/>
      <w:r>
        <w:rPr>
          <w:rFonts w:eastAsia="楷体_GB2312"/>
          <w:b/>
          <w:sz w:val="32"/>
          <w:szCs w:val="32"/>
        </w:rPr>
        <w:t>职能职责。</w:t>
      </w:r>
      <w:bookmarkEnd w:id="1"/>
      <w:bookmarkEnd w:id="3"/>
    </w:p>
    <w:p w14:paraId="4F590E8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1. 蓝山县三完小是一个财政全额拨款的事业单位，单位现有校长一名，副校长3名，现有下设机构四个：工会委员会一个，设有工会主席一名;教务处一个，设有教务主任一名，副教导主任二名,政教副主任一名；学校少先队一个，设有辅导员一名；财务室一个，设有会计一名，出纳一名。</w:t>
      </w:r>
    </w:p>
    <w:p w14:paraId="623398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2.学生情况：2024年，学校班级28个学生1371人。</w:t>
      </w:r>
    </w:p>
    <w:p w14:paraId="6A003A5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3.人员情况：我校现有教职工133人，（其中在职在编教师71人，退休教师52人，编外人员10名）。</w:t>
      </w:r>
    </w:p>
    <w:p w14:paraId="768789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（二）当年取得的主要事业成效</w:t>
      </w:r>
    </w:p>
    <w:p w14:paraId="0BA4DB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实施小学义务教育，促进基础义务教育的发展。进行小学学历教育，搞好教育教学工作。</w:t>
      </w:r>
    </w:p>
    <w:p w14:paraId="7B4652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在教育教学管理方面，认真贯彻落实《关于进一步减轻义务教育阶段学生作业负担和校外培训负担的意见》文件精神和“五项管理”工作要求。 以维护学生安全和校园稳定为中心，以平安校园建设和校园周边环境治理为重点，强化校园内部安全管理。加强校园疫情防控工作，成立疫情防控工作领导小组，制定疫情防控工作实施方案、应急预案，明确工作责任，落实防控工作措施，做实摸排工作，强化值班值守，加强宣传引导，组织全体师生打好疫情防控阻击战。坚持党建引领，认真开展好“三会一课”和主题党日活动，深入开展“党史教育”“五个一”学习党的二十大精神等活动。 坚持以德育为核心，以培养创新精神和实践能力为重点，围绕“抓落实、促规范、创特色”改进作风，创新观念，狠抓养成教育，以爱国主义教育为主线，以少先队活动为载体，全面开展了丰富多彩、富有成效的少先队教育活动，使少年儿童在少先队组织中健康成长，全面提高少年儿童的综合素质。结合我校实际，开展了主题班会、谈心谈话、家访和专题讲座等形式多样的心理健康教育活动。 通过开展一系列师德教育活动，切实提高教师的思想政治素质，增强“四个意识”，坚定“四个自信”，坚决做到“两个维护”；提高政治站位，坚定职业信仰。</w:t>
      </w:r>
    </w:p>
    <w:p w14:paraId="1F181E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（三）部门整体收支出概况:</w:t>
      </w:r>
    </w:p>
    <w:p w14:paraId="19F4AE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2024年部门收支完成情况：2024年度本部门安排预算收入</w:t>
      </w:r>
      <w:bookmarkStart w:id="4" w:name="OLE_LINK1"/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1174.6</w:t>
      </w:r>
      <w:bookmarkEnd w:id="4"/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万元，安排预算支出1174.6万元；</w:t>
      </w:r>
    </w:p>
    <w:p w14:paraId="565B0A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1、收入：决算总收入1174.6万元，其中财政拨款收入1174.6万元，其他收入0万元；</w:t>
      </w:r>
    </w:p>
    <w:p w14:paraId="0A171EF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2、支出：决算总支出1174.6万元，其中财政拨款支出1174.6万元，非财政拨款支出0万元；项目支出275.65万元。</w:t>
      </w:r>
    </w:p>
    <w:p w14:paraId="72C495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二、整体支出管理及使用情况</w:t>
      </w:r>
    </w:p>
    <w:p w14:paraId="23BD48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（一）基本支出管理情况</w:t>
      </w:r>
    </w:p>
    <w:p w14:paraId="5EC89EB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1、根据上级文件批复，2024年我部门预算支出898.95万元其中：“三公”经费支出控制数0万元，其中：公务接待费0万元，公务用车经费（公车运行维护费）0万元。</w:t>
      </w:r>
    </w:p>
    <w:p w14:paraId="1C1EE4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2、基本支出决算执行情况：2024年我部门决算支出898.95万元，其中：工资福利支出883.46万万元，商品和服务支出15.49万元，对个人和家庭的补助支出0万元，“三公”经费支出控制数0万元，其中：公务接待费0万元，公务用车经费（公车运行维护费）0万元。</w:t>
      </w:r>
    </w:p>
    <w:p w14:paraId="79DDE8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（二）“三公经费”支出和使用情况</w:t>
      </w:r>
    </w:p>
    <w:p w14:paraId="26C26A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1、2024年“三公经费”预算数0万元，其中：公务接待费0.5万元，公务用车运行费0万元，公务用车购置费0万元，因公出国（境）费0万元。</w:t>
      </w:r>
    </w:p>
    <w:p w14:paraId="316BBD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2、2024年“三公经费”执行情况：2024年“三公经费”决算数0万元，其中：其中：公务接待费0万元，公务用车运行费0万元，公务用车购置费0万元，因公出国（境）费0万元。</w:t>
      </w:r>
    </w:p>
    <w:p w14:paraId="30896FC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Chars="196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（三）项目支出管理情况</w:t>
      </w:r>
    </w:p>
    <w:p w14:paraId="79021D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1、根据上级文件批复，2024年我部门预算支出275.65万元其中：“三公”经费支出控制数0万元，其中：公务接待费0万元，公务用车经费（公车运行维护费）0万元。</w:t>
      </w:r>
    </w:p>
    <w:p w14:paraId="49F809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2、项目支出决算执行情况：2024年我部门决算支出275.65万元，其中：工资福利支出167.80万万元，商品和服务支出80.84万元，对个人和家庭的补助支出27.01万元，“三公”经费支出控制数0万元，其中：公务接待费0万元，公务用车经费（公车运行维护费）0万元。</w:t>
      </w:r>
    </w:p>
    <w:p w14:paraId="1DCDA09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（四）“三公经费”支出和使用情况</w:t>
      </w:r>
    </w:p>
    <w:p w14:paraId="7BAE3A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1、2024年“三公经费”预算数0万元，其中：公务接待费0.5万元，公务用车运行费0万元，公务用车购置费0万元，因公出国（境）费0万元。</w:t>
      </w:r>
    </w:p>
    <w:p w14:paraId="0A4E067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2、2024年“三公经费”执行情况：2024年“三公经费”决算数0万元，其中：其中：公务接待费0万元，公务用车运行费0万元，公务用车购置费0万元，因公出国（境）费0万元。</w:t>
      </w:r>
    </w:p>
    <w:p w14:paraId="7D95A9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三、绩效评价工作组织实施情况</w:t>
      </w:r>
    </w:p>
    <w:p w14:paraId="7D06379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根据绩效评价的要求，我们成立了自评工作领导小组，对照自评方案进行研究和布署，按照自评方案的要求，对照各实施项目的内容逐条逐项自评。在自评过程发现问题，查找原因，及时纠正偏差，为下一步工作夯实基础。</w:t>
      </w:r>
    </w:p>
    <w:p w14:paraId="36400C8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四、整体支出绩效情况</w:t>
      </w:r>
    </w:p>
    <w:p w14:paraId="0DFC697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从整体情况来看，我部门严格按照年初预算进行部门整体支出。在支出过程中，能严格遵守各项规章制度。实行了先有预算、后有执行、“用钱必问效、无效必问责”的新常态。社会和公众满意度较高。根据对我单位2024年部门整体支出项目绩效评价指标体系和绩效情况的检查，2024年我单位部门整体绩效自评分96.98分，为“优”等级。</w:t>
      </w:r>
    </w:p>
    <w:p w14:paraId="57B864F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五、存在的主要问题</w:t>
      </w:r>
    </w:p>
    <w:p w14:paraId="3DE3E52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绩效目标的设定需要各个部门分解汇总，全员参与，相互协调，学校对绩效评价还未建立全员参与的意识，部分绩效目标无法量化。应进一步提高绩效目标评价意识和方法，细化财务管理。</w:t>
      </w:r>
    </w:p>
    <w:p w14:paraId="42730C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</w:p>
    <w:p w14:paraId="2DF0C0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                          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蓝山县塔峰镇第三完小学</w:t>
      </w:r>
    </w:p>
    <w:p w14:paraId="77A4CC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560" w:firstLineChars="200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 xml:space="preserve">                                      2025年4月20日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0B9287">
    <w:pPr>
      <w:pStyle w:val="2"/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fldChar w:fldCharType="begin"/>
    </w:r>
    <w:r>
      <w:rPr>
        <w:rFonts w:ascii="Arial" w:hAnsi="Arial" w:cs="Arial"/>
        <w:sz w:val="24"/>
        <w:szCs w:val="24"/>
      </w:rPr>
      <w:instrText xml:space="preserve"> PAGE   \* MERGEFORMAT </w:instrText>
    </w:r>
    <w:r>
      <w:rPr>
        <w:rFonts w:ascii="Arial" w:hAnsi="Arial" w:cs="Arial"/>
        <w:sz w:val="24"/>
        <w:szCs w:val="24"/>
      </w:rPr>
      <w:fldChar w:fldCharType="separate"/>
    </w:r>
    <w:r>
      <w:rPr>
        <w:rFonts w:ascii="Arial" w:hAnsi="Arial" w:cs="Arial"/>
        <w:sz w:val="24"/>
        <w:szCs w:val="24"/>
        <w:lang w:val="zh-CN" w:eastAsia="zh-CN"/>
      </w:rPr>
      <w:t>2</w:t>
    </w:r>
    <w:r>
      <w:rPr>
        <w:rFonts w:ascii="Arial" w:hAnsi="Arial" w:cs="Arial"/>
        <w:sz w:val="24"/>
        <w:szCs w:val="24"/>
      </w:rPr>
      <w:fldChar w:fldCharType="end"/>
    </w:r>
  </w:p>
  <w:p w14:paraId="5FC54672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CA5D749"/>
    <w:multiLevelType w:val="singleLevel"/>
    <w:tmpl w:val="FCA5D749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zMDFkMTA1ZDFjZTkyMTJlODY3YmVlMDEwOGI0YmIifQ=="/>
  </w:docVars>
  <w:rsids>
    <w:rsidRoot w:val="00D31D50"/>
    <w:rsid w:val="00323B43"/>
    <w:rsid w:val="003D37D8"/>
    <w:rsid w:val="00426133"/>
    <w:rsid w:val="004358AB"/>
    <w:rsid w:val="005070B6"/>
    <w:rsid w:val="00560E4F"/>
    <w:rsid w:val="007041EF"/>
    <w:rsid w:val="00792E03"/>
    <w:rsid w:val="0084412C"/>
    <w:rsid w:val="0085109F"/>
    <w:rsid w:val="008B7726"/>
    <w:rsid w:val="00D31D50"/>
    <w:rsid w:val="085C082A"/>
    <w:rsid w:val="0CBD4DA7"/>
    <w:rsid w:val="1CF85987"/>
    <w:rsid w:val="29153038"/>
    <w:rsid w:val="31491D16"/>
    <w:rsid w:val="346A0812"/>
    <w:rsid w:val="363639FD"/>
    <w:rsid w:val="47BA5463"/>
    <w:rsid w:val="4DB34148"/>
    <w:rsid w:val="687C4608"/>
    <w:rsid w:val="716A2454"/>
    <w:rsid w:val="75A74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autoRedefine/>
    <w:qFormat/>
    <w:uiPriority w:val="99"/>
    <w:pPr>
      <w:widowControl w:val="0"/>
      <w:tabs>
        <w:tab w:val="center" w:pos="4153"/>
        <w:tab w:val="right" w:pos="8306"/>
      </w:tabs>
      <w:adjustRightInd/>
      <w:spacing w:after="0"/>
    </w:pPr>
    <w:rPr>
      <w:rFonts w:ascii="Times New Roman" w:hAnsi="Times New Roman" w:eastAsia="宋体" w:cs="Times New Roman"/>
      <w:kern w:val="2"/>
      <w:sz w:val="18"/>
      <w:szCs w:val="18"/>
    </w:rPr>
  </w:style>
  <w:style w:type="paragraph" w:styleId="3">
    <w:name w:val="Normal (Web)"/>
    <w:basedOn w:val="1"/>
    <w:autoRedefine/>
    <w:unhideWhenUsed/>
    <w:qFormat/>
    <w:uiPriority w:val="0"/>
    <w:pPr>
      <w:widowControl w:val="0"/>
      <w:adjustRightInd/>
      <w:snapToGrid/>
      <w:spacing w:before="100" w:beforeAutospacing="1" w:after="100" w:afterAutospacing="1"/>
    </w:pPr>
    <w:rPr>
      <w:rFonts w:ascii="Times New Roman" w:hAnsi="Times New Roman" w:eastAsia="宋体" w:cs="Times New Roman"/>
      <w:sz w:val="24"/>
      <w:szCs w:val="24"/>
    </w:rPr>
  </w:style>
  <w:style w:type="character" w:customStyle="1" w:styleId="6">
    <w:name w:val="页脚 Char"/>
    <w:basedOn w:val="5"/>
    <w:link w:val="2"/>
    <w:autoRedefine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font61"/>
    <w:basedOn w:val="5"/>
    <w:uiPriority w:val="0"/>
    <w:rPr>
      <w:rFonts w:hint="eastAsia" w:ascii="Times New Roman" w:eastAsia="楷体_GB2312" w:cs="楷体_GB231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2129</Words>
  <Characters>2284</Characters>
  <Lines>18</Lines>
  <Paragraphs>5</Paragraphs>
  <TotalTime>10</TotalTime>
  <ScaleCrop>false</ScaleCrop>
  <LinksUpToDate>false</LinksUpToDate>
  <CharactersWithSpaces>2359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望星打卦</cp:lastModifiedBy>
  <cp:lastPrinted>2025-08-22T03:56:00Z</cp:lastPrinted>
  <dcterms:modified xsi:type="dcterms:W3CDTF">2025-12-04T03:53:50Z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839959DF861042C3B43194D8BA83CF07_13</vt:lpwstr>
  </property>
  <property fmtid="{D5CDD505-2E9C-101B-9397-08002B2CF9AE}" pid="4" name="KSOTemplateDocerSaveRecord">
    <vt:lpwstr>eyJoZGlkIjoiOWQxZTgzOWM1OTBjNWIyZjI1YjNkZTk5YjVkOGVmNDQiLCJ1c2VySWQiOiIxNTU4MTM2MzMwIn0=</vt:lpwstr>
  </property>
</Properties>
</file>