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val="en-US" w:eastAsia="zh-CN"/>
        </w:rPr>
        <w:t>蓝山县</w:t>
      </w:r>
      <w:r>
        <w:rPr>
          <w:rFonts w:hint="eastAsia" w:ascii="Times New Roman" w:hAnsi="Times New Roman" w:eastAsia="方正小标宋简体" w:cs="Times New Roman"/>
          <w:sz w:val="72"/>
          <w:szCs w:val="72"/>
          <w:lang w:eastAsia="zh-CN"/>
        </w:rPr>
        <w:t>行政审批服务局</w:t>
      </w: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行政审批服务局</w:t>
      </w:r>
      <w:r>
        <w:rPr>
          <w:rFonts w:ascii="Times New Roman" w:hAnsi="Times New Roman" w:cs="Times New Roman"/>
          <w:bCs/>
          <w:sz w:val="32"/>
          <w:szCs w:val="32"/>
        </w:rPr>
        <w:t>部门概况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行政审批服务局</w:t>
      </w: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27"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30" w:firstLineChars="196"/>
        <w:jc w:val="left"/>
        <w:rPr>
          <w:rFonts w:hint="eastAsia" w:ascii="仿宋" w:hAnsi="仿宋" w:eastAsia="仿宋" w:cs="仿宋"/>
          <w:b/>
          <w:sz w:val="32"/>
          <w:szCs w:val="32"/>
        </w:rPr>
      </w:pPr>
      <w:r>
        <w:rPr>
          <w:rFonts w:hint="eastAsia" w:ascii="仿宋" w:hAnsi="仿宋" w:eastAsia="仿宋" w:cs="仿宋"/>
          <w:b/>
          <w:sz w:val="32"/>
          <w:szCs w:val="32"/>
        </w:rPr>
        <w:t>（一）职能职责。</w:t>
      </w:r>
    </w:p>
    <w:p>
      <w:pPr>
        <w:widowControl/>
        <w:spacing w:line="600" w:lineRule="exact"/>
        <w:ind w:firstLine="627" w:firstLineChars="196"/>
        <w:jc w:val="left"/>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蓝山</w:t>
      </w:r>
      <w:r>
        <w:rPr>
          <w:rFonts w:hint="eastAsia" w:ascii="仿宋" w:hAnsi="仿宋" w:eastAsia="仿宋" w:cs="仿宋"/>
          <w:sz w:val="32"/>
          <w:szCs w:val="32"/>
          <w:u w:val="none"/>
        </w:rPr>
        <w:t>县行政审批服务局为负责行政审批制度改革、优化营商环境、政务公开和管理服务、电子政务、现场查勘、大数据管理、信用体系建设以及全县行政审批工作的政府工作部门</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具体工作职责包括：</w:t>
      </w:r>
    </w:p>
    <w:p>
      <w:pPr>
        <w:pStyle w:val="10"/>
        <w:keepNext w:val="0"/>
        <w:keepLines w:val="0"/>
        <w:widowControl/>
        <w:suppressLineNumbers w:val="0"/>
        <w:spacing w:after="105" w:afterAutospacing="0" w:line="30" w:lineRule="atLeast"/>
        <w:ind w:left="0" w:firstLine="960" w:firstLineChars="3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负责统筹推进数字蓝山、数字经济、数字政务、数字社会规划和建设。组织实施全县大数据战略。协调推动公共服务和社会治理信息化，协调促进智慧城市建设。</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2.</w:t>
      </w:r>
      <w:r>
        <w:rPr>
          <w:rFonts w:hint="eastAsia" w:ascii="仿宋" w:hAnsi="仿宋" w:eastAsia="仿宋" w:cs="仿宋"/>
          <w:sz w:val="32"/>
          <w:szCs w:val="32"/>
        </w:rPr>
        <w:t>(协调推进数据要素产权、流通、分配、治理等数据制度建设，研究提出培育数据要素市场的政策建议，指导数据要素市场建设，牵头拟订相关规范性文件，组织实施相关指标标准规范。统筹、指导数据交易场所建设发展。</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组织拟订有关数据基础设施布局规划，协调推进数据基础设施布局建设。负责统筹推进数字政务基础底座的建设管理。</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4.</w:t>
      </w:r>
      <w:r>
        <w:rPr>
          <w:rFonts w:hint="eastAsia" w:ascii="仿宋" w:hAnsi="仿宋" w:eastAsia="仿宋" w:cs="仿宋"/>
          <w:sz w:val="32"/>
          <w:szCs w:val="32"/>
        </w:rPr>
        <w:t>统筹数据资源整合共享和开发利用。协调推进数据资源分类分级管理，组织推动公共数据资源开发利用，推动信息资源跨行业跨部门互联互通。统筹推进全县数据领域区域合作。</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5.</w:t>
      </w:r>
      <w:r>
        <w:rPr>
          <w:rFonts w:hint="eastAsia" w:ascii="仿宋" w:hAnsi="仿宋" w:eastAsia="仿宋" w:cs="仿宋"/>
          <w:sz w:val="32"/>
          <w:szCs w:val="32"/>
        </w:rPr>
        <w:t>统筹推进数字经济发展，协同促进数字产业化和产业数字化。推动跨领域跨行业数字化转型，促进数字经济和实体经济深度融合。</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6.</w:t>
      </w:r>
      <w:r>
        <w:rPr>
          <w:rFonts w:hint="eastAsia" w:ascii="仿宋" w:hAnsi="仿宋" w:eastAsia="仿宋" w:cs="仿宋"/>
          <w:sz w:val="32"/>
          <w:szCs w:val="32"/>
        </w:rPr>
        <w:t>协调推进数据领域核心技术、关键设备等重大科技攻关。</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7.</w:t>
      </w:r>
      <w:r>
        <w:rPr>
          <w:rFonts w:hint="eastAsia" w:ascii="仿宋" w:hAnsi="仿宋" w:eastAsia="仿宋" w:cs="仿宋"/>
          <w:sz w:val="32"/>
          <w:szCs w:val="32"/>
        </w:rPr>
        <w:t>在具体承担数据制度建设、数据要素市场建设、数据标准规范、数据基础设施建设、政务服务管理等职责中，履行相应数据安全职责，负责拟订相关数据安全政策措施并组织实施。</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8.</w:t>
      </w:r>
      <w:r>
        <w:rPr>
          <w:rFonts w:hint="eastAsia" w:ascii="仿宋" w:hAnsi="仿宋" w:eastAsia="仿宋" w:cs="仿宋"/>
          <w:sz w:val="32"/>
          <w:szCs w:val="32"/>
        </w:rPr>
        <w:t>协同县委网络安全和信息化委员会办公室开展网络数据跨境流动安全评估和监管工作。</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9.</w:t>
      </w:r>
      <w:r>
        <w:rPr>
          <w:rFonts w:hint="eastAsia" w:ascii="仿宋" w:hAnsi="仿宋" w:eastAsia="仿宋" w:cs="仿宋"/>
          <w:sz w:val="32"/>
          <w:szCs w:val="32"/>
        </w:rPr>
        <w:t>统筹协调、规划指导、监督评估全县电子政务工作。统筹推进、协调监督全县“互联网+政务服务”工作。统筹全县“互联网+监管”系统建设和管理工作。协调推进全县行政效能工作。</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10.</w:t>
      </w:r>
      <w:r>
        <w:rPr>
          <w:rFonts w:hint="eastAsia" w:ascii="仿宋" w:hAnsi="仿宋" w:eastAsia="仿宋" w:cs="仿宋"/>
          <w:sz w:val="32"/>
          <w:szCs w:val="32"/>
        </w:rPr>
        <w:t>统筹、指导、协调、监督全县政务公开和政务服务体系建设。</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11.</w:t>
      </w:r>
      <w:r>
        <w:rPr>
          <w:rFonts w:hint="eastAsia" w:ascii="仿宋" w:hAnsi="仿宋" w:eastAsia="仿宋" w:cs="仿宋"/>
          <w:sz w:val="32"/>
          <w:szCs w:val="32"/>
        </w:rPr>
        <w:t>统筹、指导、协调、推进全县行政审批制度改革工作。</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12.</w:t>
      </w:r>
      <w:r>
        <w:rPr>
          <w:rFonts w:hint="eastAsia" w:ascii="仿宋" w:hAnsi="仿宋" w:eastAsia="仿宋" w:cs="仿宋"/>
          <w:sz w:val="32"/>
          <w:szCs w:val="32"/>
        </w:rPr>
        <w:t>统筹规划、监督考核全县政府系统网站。统筹、指导、协调、监督全县政务新媒体工作。</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13.</w:t>
      </w:r>
      <w:r>
        <w:rPr>
          <w:rFonts w:hint="eastAsia" w:ascii="仿宋" w:hAnsi="仿宋" w:eastAsia="仿宋" w:cs="仿宋"/>
          <w:sz w:val="32"/>
          <w:szCs w:val="32"/>
        </w:rPr>
        <w:t>组织协调、监督、推进全县社会信用体系建设。</w:t>
      </w:r>
    </w:p>
    <w:p>
      <w:pPr>
        <w:pStyle w:val="10"/>
        <w:keepNext w:val="0"/>
        <w:keepLines w:val="0"/>
        <w:widowControl/>
        <w:suppressLineNumbers w:val="0"/>
        <w:spacing w:after="105" w:afterAutospacing="0" w:line="30" w:lineRule="atLeast"/>
        <w:ind w:left="0" w:firstLine="42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14.</w:t>
      </w:r>
      <w:r>
        <w:rPr>
          <w:rFonts w:hint="eastAsia" w:ascii="仿宋" w:hAnsi="仿宋" w:eastAsia="仿宋" w:cs="仿宋"/>
          <w:sz w:val="32"/>
          <w:szCs w:val="32"/>
        </w:rPr>
        <w:t>统筹规划、协调、管理全县12345公共服务热线、政务联动处置工作。</w:t>
      </w:r>
    </w:p>
    <w:p>
      <w:pPr>
        <w:widowControl/>
        <w:spacing w:line="600" w:lineRule="exact"/>
        <w:ind w:firstLine="627" w:firstLineChars="196"/>
        <w:jc w:val="left"/>
        <w:rPr>
          <w:rFonts w:hint="eastAsia" w:ascii="仿宋" w:hAnsi="仿宋" w:eastAsia="仿宋" w:cs="仿宋"/>
          <w:sz w:val="32"/>
          <w:szCs w:val="32"/>
          <w:u w:val="none"/>
        </w:rPr>
      </w:pPr>
      <w:r>
        <w:rPr>
          <w:rFonts w:hint="eastAsia" w:ascii="仿宋" w:hAnsi="仿宋" w:eastAsia="仿宋" w:cs="仿宋"/>
          <w:sz w:val="32"/>
          <w:szCs w:val="32"/>
        </w:rPr>
        <w:t>   </w:t>
      </w:r>
      <w:r>
        <w:rPr>
          <w:rFonts w:hint="eastAsia" w:ascii="仿宋" w:hAnsi="仿宋" w:eastAsia="仿宋" w:cs="仿宋"/>
          <w:sz w:val="32"/>
          <w:szCs w:val="32"/>
          <w:lang w:val="en-US" w:eastAsia="zh-CN"/>
        </w:rPr>
        <w:t>15.</w:t>
      </w:r>
      <w:r>
        <w:rPr>
          <w:rFonts w:hint="eastAsia" w:ascii="仿宋" w:hAnsi="仿宋" w:eastAsia="仿宋" w:cs="仿宋"/>
          <w:sz w:val="32"/>
          <w:szCs w:val="32"/>
        </w:rPr>
        <w:t>承办县委、县政府交办的其他事项。</w:t>
      </w:r>
    </w:p>
    <w:p>
      <w:pPr>
        <w:widowControl/>
        <w:numPr>
          <w:ilvl w:val="0"/>
          <w:numId w:val="0"/>
        </w:numPr>
        <w:spacing w:line="600" w:lineRule="exact"/>
        <w:ind w:firstLine="321" w:firstLineChars="100"/>
        <w:jc w:val="left"/>
        <w:rPr>
          <w:rFonts w:eastAsia="楷体_GB2312"/>
          <w:b/>
          <w:sz w:val="32"/>
          <w:szCs w:val="32"/>
        </w:rPr>
      </w:pPr>
      <w:r>
        <w:rPr>
          <w:rFonts w:hint="eastAsia" w:eastAsia="楷体_GB2312"/>
          <w:b/>
          <w:sz w:val="32"/>
          <w:szCs w:val="32"/>
          <w:lang w:eastAsia="zh-CN"/>
        </w:rPr>
        <w:t>二、</w:t>
      </w:r>
      <w:r>
        <w:rPr>
          <w:rFonts w:eastAsia="楷体_GB2312"/>
          <w:b/>
          <w:sz w:val="32"/>
          <w:szCs w:val="32"/>
        </w:rPr>
        <w:t>机构设置</w:t>
      </w:r>
      <w:r>
        <w:rPr>
          <w:rFonts w:hint="eastAsia" w:eastAsia="楷体_GB2312"/>
          <w:b/>
          <w:sz w:val="32"/>
          <w:szCs w:val="32"/>
          <w:lang w:eastAsia="zh-CN"/>
        </w:rPr>
        <w:t>及决算单位构成</w:t>
      </w:r>
      <w:r>
        <w:rPr>
          <w:rFonts w:eastAsia="楷体_GB2312"/>
          <w:b/>
          <w:sz w:val="32"/>
          <w:szCs w:val="32"/>
        </w:rPr>
        <w:t>。</w:t>
      </w:r>
    </w:p>
    <w:p>
      <w:pPr>
        <w:spacing w:line="560" w:lineRule="exact"/>
        <w:ind w:firstLine="643" w:firstLineChars="200"/>
        <w:rPr>
          <w:rFonts w:eastAsia="楷体_GB2312"/>
          <w:b/>
          <w:sz w:val="32"/>
          <w:szCs w:val="32"/>
          <w:u w:val="none"/>
        </w:rPr>
      </w:pPr>
      <w:r>
        <w:rPr>
          <w:rFonts w:hint="eastAsia" w:eastAsia="楷体_GB2312"/>
          <w:b/>
          <w:sz w:val="32"/>
          <w:szCs w:val="32"/>
          <w:lang w:val="en-US" w:eastAsia="zh-CN"/>
        </w:rPr>
        <w:t xml:space="preserve">  （一） </w:t>
      </w:r>
      <w:r>
        <w:rPr>
          <w:rFonts w:hint="eastAsia" w:ascii="仿宋_GB2312" w:hAnsi="仿宋_GB2312" w:eastAsia="仿宋_GB2312" w:cs="仿宋_GB2312"/>
          <w:sz w:val="32"/>
          <w:szCs w:val="32"/>
          <w:u w:val="none"/>
          <w:lang w:val="en-US" w:eastAsia="zh-CN"/>
        </w:rPr>
        <w:t>蓝山县行政审批服务局下辖政务服务中心、大数据服务中心两个副科级事业单位，</w:t>
      </w:r>
      <w:r>
        <w:rPr>
          <w:rFonts w:hint="eastAsia" w:ascii="仿宋_GB2312" w:hAnsi="仿宋_GB2312" w:eastAsia="仿宋_GB2312" w:cs="仿宋_GB2312"/>
          <w:kern w:val="2"/>
          <w:sz w:val="32"/>
          <w:szCs w:val="32"/>
          <w:u w:val="none"/>
          <w:lang w:val="en-US" w:eastAsia="zh-CN" w:bidi="ar-SA"/>
        </w:rPr>
        <w:t>内设办公室、政工财务股、数据经济建设股、数字政务股、政务服务股与审批制度改革股、社会信用体系建设股、政务联动处置股。</w:t>
      </w:r>
    </w:p>
    <w:p>
      <w:pPr>
        <w:widowControl/>
        <w:numPr>
          <w:ilvl w:val="0"/>
          <w:numId w:val="0"/>
        </w:numPr>
        <w:spacing w:line="600" w:lineRule="exact"/>
        <w:jc w:val="left"/>
        <w:rPr>
          <w:rFonts w:hint="eastAsia" w:eastAsia="楷体_GB2312"/>
          <w:b/>
          <w:sz w:val="32"/>
          <w:szCs w:val="32"/>
          <w:lang w:val="en-US" w:eastAsia="zh-CN"/>
        </w:rPr>
      </w:pPr>
    </w:p>
    <w:p>
      <w:pPr>
        <w:widowControl/>
        <w:spacing w:line="600" w:lineRule="exact"/>
        <w:ind w:firstLine="947" w:firstLineChars="296"/>
        <w:jc w:val="left"/>
        <w:rPr>
          <w:rFonts w:eastAsia="黑体"/>
          <w:kern w:val="0"/>
          <w:sz w:val="32"/>
          <w:szCs w:val="32"/>
        </w:rPr>
      </w:pPr>
      <w:r>
        <w:rPr>
          <w:rFonts w:hint="eastAsia" w:eastAsia="黑体"/>
          <w:kern w:val="0"/>
          <w:sz w:val="32"/>
          <w:szCs w:val="32"/>
          <w:lang w:eastAsia="zh-CN"/>
        </w:rPr>
        <w:t>（二）</w:t>
      </w:r>
      <w:r>
        <w:rPr>
          <w:rFonts w:eastAsia="黑体"/>
          <w:kern w:val="0"/>
          <w:sz w:val="32"/>
          <w:szCs w:val="32"/>
        </w:rPr>
        <w:t>部门</w:t>
      </w:r>
      <w:r>
        <w:rPr>
          <w:rFonts w:hint="eastAsia" w:eastAsia="黑体"/>
          <w:kern w:val="0"/>
          <w:sz w:val="32"/>
          <w:szCs w:val="32"/>
          <w:lang w:eastAsia="zh-CN"/>
        </w:rPr>
        <w:t>决算</w:t>
      </w:r>
      <w:r>
        <w:rPr>
          <w:rFonts w:eastAsia="黑体"/>
          <w:kern w:val="0"/>
          <w:sz w:val="32"/>
          <w:szCs w:val="32"/>
        </w:rPr>
        <w:t>单位构成</w:t>
      </w:r>
    </w:p>
    <w:p>
      <w:pPr>
        <w:widowControl/>
        <w:spacing w:line="600" w:lineRule="exact"/>
        <w:ind w:firstLine="640" w:firstLineChars="200"/>
        <w:rPr>
          <w:rFonts w:hint="eastAsia" w:eastAsia="仿宋_GB2312"/>
          <w:sz w:val="32"/>
          <w:szCs w:val="32"/>
          <w:u w:val="none"/>
          <w:lang w:eastAsia="zh-CN"/>
        </w:rPr>
      </w:pPr>
      <w:r>
        <w:rPr>
          <w:rFonts w:hint="eastAsia" w:ascii="仿宋_GB2312" w:hAnsi="仿宋_GB2312" w:eastAsia="仿宋_GB2312" w:cs="仿宋_GB2312"/>
          <w:color w:val="000000"/>
          <w:sz w:val="32"/>
          <w:szCs w:val="32"/>
          <w:u w:val="none"/>
          <w:shd w:val="clear" w:color="auto" w:fill="FFFFFF"/>
        </w:rPr>
        <w:t>蓝山县行政审批服务局</w:t>
      </w:r>
      <w:r>
        <w:rPr>
          <w:rFonts w:hint="eastAsia" w:ascii="仿宋_GB2312" w:hAnsi="仿宋_GB2312" w:eastAsia="仿宋_GB2312" w:cs="仿宋_GB2312"/>
          <w:color w:val="000000"/>
          <w:sz w:val="32"/>
          <w:szCs w:val="32"/>
          <w:u w:val="none"/>
          <w:shd w:val="clear" w:color="auto" w:fill="FFFFFF"/>
          <w:lang w:val="en-US" w:eastAsia="zh-CN"/>
        </w:rPr>
        <w:t>2024年部门决算汇总公开单位只有行政审批服务局</w:t>
      </w:r>
      <w:r>
        <w:rPr>
          <w:rFonts w:eastAsia="仿宋_GB2312"/>
          <w:sz w:val="32"/>
          <w:szCs w:val="32"/>
          <w:u w:val="none"/>
        </w:rPr>
        <w:t>本级</w:t>
      </w:r>
      <w:r>
        <w:rPr>
          <w:rFonts w:hint="eastAsia" w:eastAsia="仿宋_GB2312"/>
          <w:sz w:val="32"/>
          <w:szCs w:val="32"/>
          <w:u w:val="none"/>
          <w:lang w:eastAsia="zh-CN"/>
        </w:rPr>
        <w:t>。</w:t>
      </w:r>
    </w:p>
    <w:p>
      <w:pPr>
        <w:jc w:val="left"/>
        <w:rPr>
          <w:rFonts w:ascii="Times New Roman" w:hAnsi="Times New Roman" w:eastAsia="仿宋_GB2312" w:cs="Times New Roman"/>
          <w:sz w:val="28"/>
          <w:szCs w:val="32"/>
        </w:rPr>
      </w:pPr>
    </w:p>
    <w:p>
      <w:pPr>
        <w:jc w:val="both"/>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5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2270.4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1,989.96</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lang w:eastAsia="zh-CN"/>
              </w:rPr>
              <w:t>七、</w:t>
            </w:r>
            <w:r>
              <w:rPr>
                <w:rFonts w:hint="eastAsia" w:ascii="Times New Roman" w:hAnsi="Times New Roman" w:eastAsia="仿宋_GB2312" w:cs="Times New Roman"/>
                <w:color w:val="000000"/>
                <w:sz w:val="24"/>
                <w:szCs w:val="24"/>
              </w:rPr>
              <w:t>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72.5</w:t>
            </w:r>
          </w:p>
        </w:tc>
      </w:tr>
      <w:tr>
        <w:tblPrEx>
          <w:tblLayout w:type="fixed"/>
          <w:tblCellMar>
            <w:top w:w="0" w:type="dxa"/>
            <w:left w:w="108" w:type="dxa"/>
            <w:bottom w:w="0" w:type="dxa"/>
            <w:right w:w="108" w:type="dxa"/>
          </w:tblCellMar>
        </w:tblPrEx>
        <w:trPr>
          <w:trHeight w:val="355"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26.53</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150"/>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19.76</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1"/>
                <w:szCs w:val="21"/>
                <w:lang w:eastAsia="zh-CN"/>
              </w:rPr>
              <w:t>九、</w:t>
            </w:r>
            <w:r>
              <w:rPr>
                <w:rFonts w:hint="eastAsia" w:ascii="Times New Roman" w:hAnsi="Times New Roman" w:eastAsia="仿宋_GB2312" w:cs="Times New Roman"/>
                <w:color w:val="000000"/>
                <w:sz w:val="21"/>
                <w:szCs w:val="21"/>
              </w:rPr>
              <w:t>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214.71</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2,296.93</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434"/>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ab/>
            </w:r>
            <w:r>
              <w:rPr>
                <w:rFonts w:hint="eastAsia" w:ascii="Times New Roman" w:hAnsi="Times New Roman" w:eastAsia="仿宋_GB2312" w:cs="Times New Roman"/>
                <w:color w:val="000000"/>
                <w:sz w:val="22"/>
                <w:lang w:eastAsia="zh-CN"/>
              </w:rPr>
              <w:t>2296.93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2,296.93</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2296.93</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Ind w:w="0" w:type="dxa"/>
        <w:tblLayout w:type="fixed"/>
        <w:tblCellMar>
          <w:top w:w="0" w:type="dxa"/>
          <w:left w:w="0" w:type="dxa"/>
          <w:bottom w:w="0" w:type="dxa"/>
          <w:right w:w="0" w:type="dxa"/>
        </w:tblCellMar>
      </w:tblPr>
      <w:tblGrid>
        <w:gridCol w:w="1396"/>
        <w:gridCol w:w="2031"/>
        <w:gridCol w:w="1399"/>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42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3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3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3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39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031"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42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39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42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3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2296.93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2270.4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26.53</w:t>
            </w: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2010306</w:t>
            </w:r>
          </w:p>
        </w:tc>
        <w:tc>
          <w:tcPr>
            <w:tcW w:w="2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政务公开审批</w:t>
            </w:r>
          </w:p>
        </w:tc>
        <w:tc>
          <w:tcPr>
            <w:tcW w:w="13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1,853.58</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1,827.05</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center" w:pos="676"/>
                <w:tab w:val="right" w:pos="1683"/>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宋体" w:hAnsi="宋体" w:eastAsia="宋体" w:cs="宋体"/>
                <w:i w:val="0"/>
                <w:iCs w:val="0"/>
                <w:color w:val="000000"/>
                <w:kern w:val="0"/>
                <w:sz w:val="22"/>
                <w:szCs w:val="22"/>
                <w:u w:val="none"/>
                <w:lang w:val="en-US" w:eastAsia="zh-CN" w:bidi="ar"/>
              </w:rPr>
              <w:t>26.53</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500" w:firstLineChars="0"/>
              <w:rPr>
                <w:rFonts w:ascii="Times New Roman" w:hAnsi="Times New Roman" w:eastAsia="仿宋_GB2312" w:cs="Times New Roman"/>
              </w:rPr>
            </w:pPr>
            <w:r>
              <w:rPr>
                <w:rFonts w:hint="eastAsia" w:ascii="Times New Roman" w:hAnsi="Times New Roman" w:eastAsia="仿宋_GB2312" w:cs="Times New Roman"/>
              </w:rPr>
              <w:t>2010399</w:t>
            </w:r>
          </w:p>
        </w:tc>
        <w:tc>
          <w:tcPr>
            <w:tcW w:w="2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其他政府办公厅（室）及相关机构事务</w:t>
            </w:r>
          </w:p>
        </w:tc>
        <w:tc>
          <w:tcPr>
            <w:tcW w:w="13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rPr>
              <w:t>2010710</w:t>
            </w:r>
          </w:p>
        </w:tc>
        <w:tc>
          <w:tcPr>
            <w:tcW w:w="2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税收业务</w:t>
            </w:r>
          </w:p>
        </w:tc>
        <w:tc>
          <w:tcPr>
            <w:tcW w:w="13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2010799</w:t>
            </w:r>
          </w:p>
        </w:tc>
        <w:tc>
          <w:tcPr>
            <w:tcW w:w="2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其他税收事务支出</w:t>
            </w:r>
          </w:p>
        </w:tc>
        <w:tc>
          <w:tcPr>
            <w:tcW w:w="13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49.68</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tabs>
                <w:tab w:val="center" w:pos="928"/>
              </w:tabs>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ab/>
            </w:r>
            <w:r>
              <w:rPr>
                <w:rFonts w:hint="eastAsia" w:ascii="Times New Roman" w:hAnsi="Times New Roman" w:eastAsia="仿宋_GB2312" w:cs="Times New Roman"/>
                <w:lang w:eastAsia="zh-CN"/>
              </w:rPr>
              <w:t>2019999</w:t>
            </w:r>
          </w:p>
        </w:tc>
        <w:tc>
          <w:tcPr>
            <w:tcW w:w="2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其他一般公共服务支出</w:t>
            </w:r>
          </w:p>
        </w:tc>
        <w:tc>
          <w:tcPr>
            <w:tcW w:w="13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48.40</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788"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2080505</w:t>
            </w:r>
          </w:p>
        </w:tc>
        <w:tc>
          <w:tcPr>
            <w:tcW w:w="203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399"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71.90</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71.90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2080599</w:t>
            </w:r>
          </w:p>
        </w:tc>
        <w:tc>
          <w:tcPr>
            <w:tcW w:w="20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2101101</w:t>
            </w:r>
          </w:p>
        </w:tc>
        <w:tc>
          <w:tcPr>
            <w:tcW w:w="20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行政单位医疗</w:t>
            </w: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39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2120201</w:t>
            </w:r>
          </w:p>
        </w:tc>
        <w:tc>
          <w:tcPr>
            <w:tcW w:w="2031"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城乡社区规划与管理</w:t>
            </w:r>
          </w:p>
        </w:tc>
        <w:tc>
          <w:tcPr>
            <w:tcW w:w="139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214" w:type="dxa"/>
        <w:jc w:val="center"/>
        <w:tblInd w:w="0" w:type="dxa"/>
        <w:tblLayout w:type="fixed"/>
        <w:tblCellMar>
          <w:top w:w="0" w:type="dxa"/>
          <w:left w:w="108" w:type="dxa"/>
          <w:bottom w:w="0" w:type="dxa"/>
          <w:right w:w="108" w:type="dxa"/>
        </w:tblCellMar>
      </w:tblPr>
      <w:tblGrid>
        <w:gridCol w:w="1251"/>
        <w:gridCol w:w="3778"/>
        <w:gridCol w:w="1282"/>
        <w:gridCol w:w="1568"/>
        <w:gridCol w:w="1800"/>
        <w:gridCol w:w="1786"/>
        <w:gridCol w:w="1214"/>
        <w:gridCol w:w="1535"/>
      </w:tblGrid>
      <w:tr>
        <w:tblPrEx>
          <w:tblLayout w:type="fixed"/>
          <w:tblCellMar>
            <w:top w:w="0" w:type="dxa"/>
            <w:left w:w="108" w:type="dxa"/>
            <w:bottom w:w="0" w:type="dxa"/>
            <w:right w:w="108" w:type="dxa"/>
          </w:tblCellMar>
        </w:tblPrEx>
        <w:trPr>
          <w:trHeight w:val="595" w:hRule="atLeast"/>
          <w:jc w:val="center"/>
        </w:trPr>
        <w:tc>
          <w:tcPr>
            <w:tcW w:w="502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2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5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5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77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77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502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28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56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8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1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53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624" w:hRule="atLeast"/>
          <w:jc w:val="center"/>
        </w:trPr>
        <w:tc>
          <w:tcPr>
            <w:tcW w:w="502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8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2,296.93</w:t>
            </w:r>
          </w:p>
        </w:tc>
        <w:tc>
          <w:tcPr>
            <w:tcW w:w="15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801.31</w:t>
            </w:r>
          </w:p>
        </w:tc>
        <w:tc>
          <w:tcPr>
            <w:tcW w:w="18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1,495.62</w:t>
            </w:r>
          </w:p>
        </w:tc>
        <w:tc>
          <w:tcPr>
            <w:tcW w:w="17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2010306</w:t>
            </w:r>
          </w:p>
        </w:tc>
        <w:tc>
          <w:tcPr>
            <w:tcW w:w="377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政务公开审批</w:t>
            </w:r>
          </w:p>
        </w:tc>
        <w:tc>
          <w:tcPr>
            <w:tcW w:w="128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1,853.58</w:t>
            </w:r>
          </w:p>
        </w:tc>
        <w:tc>
          <w:tcPr>
            <w:tcW w:w="15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676.10</w:t>
            </w:r>
          </w:p>
        </w:tc>
        <w:tc>
          <w:tcPr>
            <w:tcW w:w="18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1,177.48</w:t>
            </w:r>
          </w:p>
        </w:tc>
        <w:tc>
          <w:tcPr>
            <w:tcW w:w="17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77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8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1568"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17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2010710</w:t>
            </w:r>
          </w:p>
        </w:tc>
        <w:tc>
          <w:tcPr>
            <w:tcW w:w="377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税收业务</w:t>
            </w:r>
          </w:p>
        </w:tc>
        <w:tc>
          <w:tcPr>
            <w:tcW w:w="128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w:t>
            </w:r>
          </w:p>
        </w:tc>
        <w:tc>
          <w:tcPr>
            <w:tcW w:w="1568"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w:t>
            </w:r>
          </w:p>
        </w:tc>
        <w:tc>
          <w:tcPr>
            <w:tcW w:w="17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2010799</w:t>
            </w:r>
          </w:p>
        </w:tc>
        <w:tc>
          <w:tcPr>
            <w:tcW w:w="377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其他税收事务支出</w:t>
            </w:r>
          </w:p>
        </w:tc>
        <w:tc>
          <w:tcPr>
            <w:tcW w:w="128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49.68</w:t>
            </w:r>
          </w:p>
        </w:tc>
        <w:tc>
          <w:tcPr>
            <w:tcW w:w="1568"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49.68</w:t>
            </w:r>
          </w:p>
        </w:tc>
        <w:tc>
          <w:tcPr>
            <w:tcW w:w="17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77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8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48.40</w:t>
            </w:r>
          </w:p>
        </w:tc>
        <w:tc>
          <w:tcPr>
            <w:tcW w:w="15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32.95</w:t>
            </w:r>
          </w:p>
        </w:tc>
        <w:tc>
          <w:tcPr>
            <w:tcW w:w="18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15.45</w:t>
            </w:r>
          </w:p>
        </w:tc>
        <w:tc>
          <w:tcPr>
            <w:tcW w:w="17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77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8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71.90</w:t>
            </w:r>
          </w:p>
        </w:tc>
        <w:tc>
          <w:tcPr>
            <w:tcW w:w="1568"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71.90</w:t>
            </w:r>
          </w:p>
        </w:tc>
        <w:tc>
          <w:tcPr>
            <w:tcW w:w="1800"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7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56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8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3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7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156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78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3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62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2120201</w:t>
            </w:r>
          </w:p>
        </w:tc>
        <w:tc>
          <w:tcPr>
            <w:tcW w:w="377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c>
          <w:tcPr>
            <w:tcW w:w="1568"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c>
          <w:tcPr>
            <w:tcW w:w="1786"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1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35"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220" w:type="dxa"/>
        <w:jc w:val="center"/>
        <w:tblInd w:w="0" w:type="dxa"/>
        <w:tblLayout w:type="fixed"/>
        <w:tblCellMar>
          <w:top w:w="0" w:type="dxa"/>
          <w:left w:w="108" w:type="dxa"/>
          <w:bottom w:w="0" w:type="dxa"/>
          <w:right w:w="108" w:type="dxa"/>
        </w:tblCellMar>
      </w:tblPr>
      <w:tblGrid>
        <w:gridCol w:w="3516"/>
        <w:gridCol w:w="616"/>
        <w:gridCol w:w="1342"/>
        <w:gridCol w:w="1990"/>
        <w:gridCol w:w="616"/>
        <w:gridCol w:w="1253"/>
        <w:gridCol w:w="1121"/>
        <w:gridCol w:w="1815"/>
        <w:gridCol w:w="1951"/>
      </w:tblGrid>
      <w:tr>
        <w:tblPrEx>
          <w:tblLayout w:type="fixed"/>
          <w:tblCellMar>
            <w:top w:w="0" w:type="dxa"/>
            <w:left w:w="108" w:type="dxa"/>
            <w:bottom w:w="0" w:type="dxa"/>
            <w:right w:w="108" w:type="dxa"/>
          </w:tblCellMar>
        </w:tblPrEx>
        <w:trPr>
          <w:trHeight w:val="402" w:hRule="atLeast"/>
          <w:jc w:val="center"/>
        </w:trPr>
        <w:tc>
          <w:tcPr>
            <w:tcW w:w="547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746"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1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4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2270.4</w:t>
            </w: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5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1,963.44</w:t>
            </w:r>
          </w:p>
        </w:tc>
        <w:tc>
          <w:tcPr>
            <w:tcW w:w="112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1,963.44</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1990" w:type="dxa"/>
            <w:tcBorders>
              <w:top w:val="nil"/>
              <w:left w:val="nil"/>
              <w:bottom w:val="single" w:color="auto" w:sz="4" w:space="0"/>
              <w:right w:val="single" w:color="auto"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25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72.50</w:t>
            </w:r>
          </w:p>
        </w:tc>
        <w:tc>
          <w:tcPr>
            <w:tcW w:w="112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72.50</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1990" w:type="dxa"/>
            <w:tcBorders>
              <w:top w:val="nil"/>
              <w:left w:val="nil"/>
              <w:bottom w:val="single" w:color="auto" w:sz="4" w:space="0"/>
              <w:right w:val="single" w:color="auto"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25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112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3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5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21"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34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90" w:type="dxa"/>
            <w:tcBorders>
              <w:top w:val="nil"/>
              <w:left w:val="nil"/>
              <w:bottom w:val="single" w:color="auto" w:sz="4" w:space="0"/>
              <w:right w:val="single" w:color="auto"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5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c>
          <w:tcPr>
            <w:tcW w:w="112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34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2,270.40</w:t>
            </w:r>
          </w:p>
        </w:tc>
        <w:tc>
          <w:tcPr>
            <w:tcW w:w="1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5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2,270.40</w:t>
            </w:r>
          </w:p>
        </w:tc>
        <w:tc>
          <w:tcPr>
            <w:tcW w:w="112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2,270.40</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34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5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2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34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342"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342"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9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5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1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34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2,270.40</w:t>
            </w:r>
          </w:p>
        </w:tc>
        <w:tc>
          <w:tcPr>
            <w:tcW w:w="199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5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2,270.40</w:t>
            </w:r>
          </w:p>
        </w:tc>
        <w:tc>
          <w:tcPr>
            <w:tcW w:w="112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2,270.40</w:t>
            </w:r>
          </w:p>
        </w:tc>
        <w:tc>
          <w:tcPr>
            <w:tcW w:w="18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95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pStyle w:val="2"/>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2010306</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政务公开审批</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1,827.05</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649.58</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1,177.48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c>
          <w:tcPr>
            <w:tcW w:w="3492"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2010710</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税收业务</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w:t>
            </w:r>
          </w:p>
        </w:tc>
        <w:tc>
          <w:tcPr>
            <w:tcW w:w="3492"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2010799</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其他税收事务支出</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49.68</w:t>
            </w:r>
          </w:p>
        </w:tc>
        <w:tc>
          <w:tcPr>
            <w:tcW w:w="3492"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49.68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48.40</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32.95</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71.90</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71.90</w:t>
            </w:r>
          </w:p>
        </w:tc>
        <w:tc>
          <w:tcPr>
            <w:tcW w:w="3000" w:type="dxa"/>
            <w:tcBorders>
              <w:top w:val="nil"/>
              <w:left w:val="nil"/>
              <w:bottom w:val="single" w:color="auto" w:sz="4" w:space="0"/>
              <w:right w:val="single" w:color="auto" w:sz="8"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19.76</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2120201</w:t>
            </w:r>
          </w:p>
        </w:tc>
        <w:tc>
          <w:tcPr>
            <w:tcW w:w="35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214.71</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672.76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94.06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128.54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36.54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176.64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7.37</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7.37</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107.97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36.47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51.90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673.36</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101.43</w:t>
            </w:r>
          </w:p>
        </w:tc>
      </w:tr>
    </w:tbl>
    <w:p>
      <w:pPr>
        <w:widowControl/>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Ind w:w="0" w:type="dxa"/>
        <w:tblLayout w:type="fixed"/>
        <w:tblCellMar>
          <w:top w:w="0" w:type="dxa"/>
          <w:left w:w="108" w:type="dxa"/>
          <w:bottom w:w="0" w:type="dxa"/>
          <w:right w:w="108" w:type="dxa"/>
        </w:tblCellMar>
      </w:tblPr>
      <w:tblGrid>
        <w:gridCol w:w="2363"/>
        <w:gridCol w:w="411"/>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2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2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2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lang w:bidi="ar"/>
              </w:rPr>
              <w:t>我单位没有政府性基金收入，也没有使用政府性基金安排的支出，故本表无数据</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方正小标宋_GBK" w:cs="Times New Roman"/>
          <w:color w:val="000000"/>
          <w:kern w:val="0"/>
          <w:sz w:val="36"/>
          <w:szCs w:val="36"/>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bookmarkStart w:id="4" w:name="_GoBack"/>
      <w:bookmarkEnd w:id="4"/>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2024年度收、支总计</w:t>
      </w:r>
      <w:r>
        <w:rPr>
          <w:rFonts w:hint="eastAsia" w:ascii="宋体" w:hAnsi="宋体" w:eastAsia="宋体" w:cs="宋体"/>
          <w:i w:val="0"/>
          <w:color w:val="000000"/>
          <w:kern w:val="0"/>
          <w:sz w:val="22"/>
          <w:szCs w:val="22"/>
          <w:u w:val="none"/>
          <w:lang w:val="en-US" w:eastAsia="zh-CN" w:bidi="ar"/>
        </w:rPr>
        <w:t>2,296.93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229.65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11.11</w:t>
      </w:r>
      <w:r>
        <w:rPr>
          <w:rFonts w:ascii="Times New Roman" w:hAnsi="Times New Roman" w:eastAsia="仿宋_GB2312" w:cs="Times New Roman"/>
          <w:sz w:val="32"/>
          <w:szCs w:val="32"/>
        </w:rPr>
        <w:t>%，主要是因为</w:t>
      </w:r>
      <w:r>
        <w:rPr>
          <w:rFonts w:hint="eastAsia" w:ascii="仿宋_GB2312" w:hAnsi="仿宋" w:eastAsia="仿宋_GB2312"/>
          <w:sz w:val="32"/>
          <w:szCs w:val="32"/>
          <w:u w:val="none"/>
          <w:lang w:val="en-US" w:eastAsia="zh-CN"/>
        </w:rPr>
        <w:t>事项业务增多，收入支出增加</w:t>
      </w:r>
      <w:r>
        <w:rPr>
          <w:rFonts w:hint="eastAsia"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宋体" w:hAnsi="宋体" w:eastAsia="宋体" w:cs="宋体"/>
          <w:i w:val="0"/>
          <w:color w:val="000000"/>
          <w:kern w:val="0"/>
          <w:sz w:val="22"/>
          <w:szCs w:val="22"/>
          <w:u w:val="none"/>
          <w:lang w:val="en-US" w:eastAsia="zh-CN" w:bidi="ar"/>
        </w:rPr>
        <w:t>2,296.93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2270.4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98.84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26.53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2296.93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801.31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34.88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1495.62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65.11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w:t>
      </w:r>
      <w:r>
        <w:rPr>
          <w:rFonts w:hint="eastAsia" w:ascii="Times New Roman" w:hAnsi="Times New Roman" w:eastAsia="仿宋_GB2312" w:cs="Times New Roman"/>
          <w:sz w:val="32"/>
          <w:szCs w:val="32"/>
          <w:lang w:val="en-US" w:eastAsia="zh-CN"/>
        </w:rPr>
        <w:t>出0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2270.4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10.59</w:t>
      </w:r>
      <w:r>
        <w:rPr>
          <w:rFonts w:ascii="Times New Roman" w:hAnsi="Times New Roman" w:eastAsia="仿宋_GB2312" w:cs="Times New Roman"/>
          <w:sz w:val="32"/>
          <w:szCs w:val="32"/>
        </w:rPr>
        <w:t>%，主要是因为</w:t>
      </w:r>
      <w:r>
        <w:rPr>
          <w:rFonts w:hint="eastAsia" w:ascii="仿宋_GB2312" w:hAnsi="仿宋" w:eastAsia="仿宋_GB2312"/>
          <w:sz w:val="32"/>
          <w:szCs w:val="32"/>
          <w:u w:val="none"/>
          <w:lang w:val="en-US" w:eastAsia="zh-CN"/>
        </w:rPr>
        <w:t>事项业务增多，收入支出增加</w:t>
      </w:r>
      <w:r>
        <w:rPr>
          <w:rFonts w:hint="eastAsia"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2270.4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98.84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217.4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10.59</w:t>
      </w:r>
      <w:r>
        <w:rPr>
          <w:rFonts w:ascii="Times New Roman" w:hAnsi="Times New Roman" w:eastAsia="仿宋_GB2312" w:cs="Times New Roman"/>
          <w:sz w:val="32"/>
          <w:szCs w:val="32"/>
        </w:rPr>
        <w:t>%，主要是因为</w:t>
      </w:r>
      <w:r>
        <w:rPr>
          <w:rFonts w:hint="eastAsia" w:ascii="仿宋_GB2312" w:hAnsi="仿宋" w:eastAsia="仿宋_GB2312"/>
          <w:sz w:val="32"/>
          <w:szCs w:val="32"/>
          <w:u w:val="none"/>
          <w:lang w:val="en-US" w:eastAsia="zh-CN"/>
        </w:rPr>
        <w:t>事项业务增多，收入支出增加</w:t>
      </w:r>
      <w:r>
        <w:rPr>
          <w:rFonts w:hint="eastAsia"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2270.4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1963.44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社会保障和就业支出72.5</w:t>
      </w:r>
      <w:r>
        <w:rPr>
          <w:rFonts w:hint="eastAsia" w:ascii="Times New Roman" w:hAnsi="Times New Roman" w:eastAsia="仿宋_GB2312" w:cs="Times New Roman"/>
          <w:sz w:val="32"/>
          <w:szCs w:val="32"/>
          <w:lang w:val="en-US" w:eastAsia="zh-CN"/>
        </w:rPr>
        <w:t>万元，占3.19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卫生健康支出19.76万元，占0.87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城乡社区支出214.71万元，占9.45</w:t>
      </w:r>
      <w:r>
        <w:rPr>
          <w:rFonts w:ascii="Times New Roman" w:hAnsi="Times New Roman" w:eastAsia="仿宋_GB2312" w:cs="Times New Roman"/>
          <w:sz w:val="32"/>
          <w:szCs w:val="32"/>
        </w:rPr>
        <w:t>%</w:t>
      </w:r>
      <w:r>
        <w:rPr>
          <w:rFonts w:ascii="Times New Roman" w:hAnsi="Times New Roman" w:eastAsia="楷体_GB2312" w:cs="Times New Roman"/>
          <w:b/>
          <w:bCs/>
          <w:i/>
          <w:color w:val="auto"/>
          <w:sz w:val="32"/>
          <w:szCs w:val="32"/>
        </w:rPr>
        <w:t>（可根据实际情况进行增减,要求到类级科目）</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eastAsia="仿宋_GB2312"/>
          <w:sz w:val="32"/>
          <w:szCs w:val="32"/>
          <w:u w:val="none"/>
          <w:lang w:eastAsia="zh-CN"/>
        </w:rPr>
        <w:t>1373.45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2296.93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167.23</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2010306</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政务公开审批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1248.07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1827.05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146.39</w:t>
      </w:r>
      <w:r>
        <w:rPr>
          <w:rFonts w:ascii="Times New Roman" w:hAnsi="Times New Roman" w:eastAsia="仿宋_GB2312" w:cs="Times New Roman"/>
          <w:sz w:val="32"/>
          <w:szCs w:val="32"/>
        </w:rPr>
        <w:t>%，决算数大于（小于）年初预算数的主要原因是：因为</w:t>
      </w:r>
      <w:r>
        <w:rPr>
          <w:rFonts w:hint="eastAsia" w:ascii="仿宋_GB2312" w:hAnsi="仿宋" w:eastAsia="仿宋_GB2312"/>
          <w:sz w:val="32"/>
          <w:szCs w:val="32"/>
          <w:u w:val="none"/>
          <w:lang w:val="en-US" w:eastAsia="zh-CN"/>
        </w:rPr>
        <w:t>事项业务增多，收入支出增加</w:t>
      </w:r>
      <w:r>
        <w:rPr>
          <w:rFonts w:hint="eastAsia"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2080505</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60.79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社保基础调整，支出数目增加。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w:t>
      </w:r>
      <w:r>
        <w:rPr>
          <w:rFonts w:hint="eastAsia" w:ascii="Times New Roman" w:hAnsi="Times New Roman" w:eastAsia="仿宋_GB2312" w:cs="Times New Roman"/>
          <w:sz w:val="32"/>
          <w:szCs w:val="32"/>
          <w:lang w:val="en-US" w:eastAsia="zh-CN"/>
        </w:rPr>
        <w:t>出774.79</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673.36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86.9</w:t>
      </w:r>
      <w:r>
        <w:rPr>
          <w:rFonts w:ascii="Times New Roman" w:hAnsi="Times New Roman" w:eastAsia="仿宋_GB2312" w:cs="Times New Roman"/>
          <w:sz w:val="32"/>
          <w:szCs w:val="32"/>
        </w:rPr>
        <w:t>%,主要包括基本工资、津贴补贴、奖金、伙食补助费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101.43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13.09</w:t>
      </w:r>
      <w:r>
        <w:rPr>
          <w:rFonts w:ascii="Times New Roman" w:hAnsi="Times New Roman" w:eastAsia="仿宋_GB2312" w:cs="Times New Roman"/>
          <w:sz w:val="32"/>
          <w:szCs w:val="32"/>
        </w:rPr>
        <w:t>%，主要包括办公费、印刷费、咨询费、手续费。</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5.06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73.33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控制开支，降本增效</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控制开支，降本增效</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5.06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73.33</w:t>
      </w:r>
      <w:r>
        <w:rPr>
          <w:rFonts w:ascii="Times New Roman" w:hAnsi="Times New Roman" w:eastAsia="仿宋_GB2312" w:cs="Times New Roman"/>
          <w:sz w:val="32"/>
          <w:szCs w:val="32"/>
        </w:rPr>
        <w:t>%。决算数小于预算数的主要原因是。决算数大于（小于）上年数的主要原因是</w:t>
      </w:r>
      <w:r>
        <w:rPr>
          <w:rFonts w:hint="eastAsia" w:ascii="Times New Roman" w:hAnsi="Times New Roman" w:eastAsia="仿宋_GB2312" w:cs="Times New Roman"/>
          <w:sz w:val="32"/>
          <w:szCs w:val="32"/>
          <w:lang w:val="en-US" w:eastAsia="zh-CN"/>
        </w:rPr>
        <w:t>控制开支，降本增效</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，主要是</w:t>
      </w:r>
      <w:r>
        <w:rPr>
          <w:rFonts w:hint="eastAsia" w:ascii="仿宋_GB2312" w:hAnsi="仿宋_GB2312" w:eastAsia="仿宋_GB2312" w:cs="仿宋_GB2312"/>
          <w:sz w:val="32"/>
          <w:szCs w:val="32"/>
          <w:u w:val="none"/>
        </w:rPr>
        <w:t>接待上级单位来访发生的接待支出</w:t>
      </w:r>
      <w:r>
        <w:rPr>
          <w:rFonts w:ascii="Times New Roman" w:hAnsi="Times New Roman" w:eastAsia="仿宋_GB2312" w:cs="Times New Roman"/>
          <w:color w:val="auto"/>
          <w:sz w:val="32"/>
          <w:szCs w:val="32"/>
          <w:u w:val="none"/>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楷体_GB2312" w:cs="Times New Roman"/>
          <w:b/>
          <w:bCs/>
          <w:i/>
          <w:color w:val="auto"/>
          <w:sz w:val="32"/>
          <w:szCs w:val="32"/>
        </w:rPr>
        <w:t>说明本单位无政府性基金收支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101.43</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，比年初预算数（或者上年决算数）增加</w:t>
      </w:r>
      <w:r>
        <w:rPr>
          <w:rFonts w:hint="eastAsia" w:ascii="Times New Roman" w:hAnsi="Times New Roman" w:eastAsia="仿宋_GB2312" w:cs="Times New Roman"/>
          <w:sz w:val="32"/>
          <w:szCs w:val="32"/>
          <w:lang w:val="en-US" w:eastAsia="zh-CN"/>
        </w:rPr>
        <w:t>8.71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9.39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业务变动，支出增加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学习数据业务。</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341.94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3.92</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299.02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341.94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341.94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11.40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1.14</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87.45</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我单位202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年</w:t>
      </w:r>
      <w:r>
        <w:rPr>
          <w:rFonts w:hint="eastAsia" w:ascii="仿宋" w:hAnsi="仿宋" w:eastAsia="仿宋" w:cs="仿宋"/>
          <w:b w:val="0"/>
          <w:bCs/>
          <w:sz w:val="32"/>
          <w:szCs w:val="32"/>
        </w:rPr>
        <w:t>收到财政资金</w:t>
      </w:r>
      <w:r>
        <w:rPr>
          <w:rFonts w:hint="eastAsia" w:ascii="仿宋" w:hAnsi="仿宋" w:eastAsia="仿宋" w:cs="仿宋"/>
          <w:b w:val="0"/>
          <w:bCs/>
          <w:sz w:val="32"/>
          <w:szCs w:val="32"/>
          <w:lang w:val="en-US" w:eastAsia="zh-CN"/>
        </w:rPr>
        <w:t>2296.93万</w:t>
      </w:r>
      <w:r>
        <w:rPr>
          <w:rFonts w:hint="eastAsia" w:ascii="仿宋" w:hAnsi="仿宋" w:eastAsia="仿宋" w:cs="仿宋"/>
          <w:b w:val="0"/>
          <w:bCs/>
          <w:sz w:val="32"/>
          <w:szCs w:val="32"/>
          <w:lang w:eastAsia="zh-CN"/>
        </w:rPr>
        <w:t>元</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其中</w:t>
      </w:r>
      <w:r>
        <w:rPr>
          <w:rFonts w:hint="eastAsia" w:ascii="仿宋" w:hAnsi="仿宋" w:eastAsia="仿宋" w:cs="仿宋"/>
          <w:b w:val="0"/>
          <w:bCs/>
          <w:sz w:val="32"/>
          <w:szCs w:val="32"/>
          <w:lang w:eastAsia="zh-CN"/>
        </w:rPr>
        <w:t>基本支出</w:t>
      </w:r>
      <w:r>
        <w:rPr>
          <w:rFonts w:hint="eastAsia" w:ascii="仿宋" w:hAnsi="仿宋" w:eastAsia="仿宋" w:cs="仿宋"/>
          <w:b w:val="0"/>
          <w:bCs/>
          <w:sz w:val="32"/>
          <w:szCs w:val="32"/>
          <w:lang w:val="en-US" w:eastAsia="zh-CN"/>
        </w:rPr>
        <w:t>801.31万</w:t>
      </w:r>
      <w:r>
        <w:rPr>
          <w:rFonts w:hint="eastAsia" w:ascii="仿宋" w:hAnsi="仿宋" w:eastAsia="仿宋" w:cs="仿宋"/>
          <w:b w:val="0"/>
          <w:bCs/>
          <w:sz w:val="32"/>
          <w:szCs w:val="32"/>
          <w:lang w:eastAsia="zh-CN"/>
        </w:rPr>
        <w:t>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项目支出</w:t>
      </w:r>
      <w:r>
        <w:rPr>
          <w:rFonts w:hint="eastAsia" w:ascii="仿宋" w:hAnsi="仿宋" w:eastAsia="仿宋" w:cs="仿宋"/>
          <w:b w:val="0"/>
          <w:bCs/>
          <w:sz w:val="32"/>
          <w:szCs w:val="32"/>
          <w:lang w:val="en-US" w:eastAsia="zh-CN"/>
        </w:rPr>
        <w:t>1495.62万</w:t>
      </w:r>
      <w:r>
        <w:rPr>
          <w:rFonts w:hint="eastAsia" w:ascii="仿宋" w:hAnsi="仿宋" w:eastAsia="仿宋" w:cs="仿宋"/>
          <w:b w:val="0"/>
          <w:bCs/>
          <w:sz w:val="32"/>
          <w:szCs w:val="32"/>
          <w:lang w:eastAsia="zh-CN"/>
        </w:rPr>
        <w:t>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lang w:eastAsia="zh-CN"/>
        </w:rPr>
        <w:t>年</w:t>
      </w:r>
      <w:r>
        <w:rPr>
          <w:rFonts w:hint="eastAsia" w:ascii="仿宋" w:hAnsi="仿宋" w:eastAsia="仿宋" w:cs="仿宋"/>
          <w:b w:val="0"/>
          <w:bCs/>
          <w:sz w:val="32"/>
          <w:szCs w:val="32"/>
        </w:rPr>
        <w:t>全年</w:t>
      </w:r>
      <w:r>
        <w:rPr>
          <w:rFonts w:hint="eastAsia" w:ascii="仿宋" w:hAnsi="仿宋" w:eastAsia="仿宋" w:cs="仿宋"/>
          <w:b w:val="0"/>
          <w:bCs/>
          <w:sz w:val="32"/>
          <w:szCs w:val="32"/>
          <w:lang w:eastAsia="zh-CN"/>
        </w:rPr>
        <w:t>实际</w:t>
      </w:r>
      <w:r>
        <w:rPr>
          <w:rFonts w:hint="eastAsia" w:ascii="仿宋" w:hAnsi="仿宋" w:eastAsia="仿宋" w:cs="仿宋"/>
          <w:b w:val="0"/>
          <w:bCs/>
          <w:sz w:val="32"/>
          <w:szCs w:val="32"/>
        </w:rPr>
        <w:t>支出</w:t>
      </w:r>
      <w:r>
        <w:rPr>
          <w:rFonts w:hint="eastAsia" w:ascii="仿宋" w:hAnsi="仿宋" w:eastAsia="仿宋" w:cs="仿宋"/>
          <w:b w:val="0"/>
          <w:bCs/>
          <w:sz w:val="32"/>
          <w:szCs w:val="32"/>
          <w:lang w:val="en-US" w:eastAsia="zh-CN"/>
        </w:rPr>
        <w:t>2296.93万</w:t>
      </w:r>
      <w:r>
        <w:rPr>
          <w:rFonts w:hint="eastAsia" w:ascii="仿宋" w:hAnsi="仿宋" w:eastAsia="仿宋" w:cs="仿宋"/>
          <w:b w:val="0"/>
          <w:bCs/>
          <w:sz w:val="32"/>
          <w:szCs w:val="32"/>
          <w:lang w:eastAsia="zh-CN"/>
        </w:rPr>
        <w:t>元</w:t>
      </w:r>
      <w:r>
        <w:rPr>
          <w:rFonts w:hint="eastAsia" w:ascii="仿宋" w:hAnsi="仿宋" w:eastAsia="仿宋" w:cs="仿宋"/>
          <w:b w:val="0"/>
          <w:bCs/>
          <w:sz w:val="32"/>
          <w:szCs w:val="32"/>
        </w:rPr>
        <w:t>；结余财政资金</w:t>
      </w:r>
      <w:r>
        <w:rPr>
          <w:rFonts w:hint="eastAsia" w:ascii="仿宋" w:hAnsi="仿宋" w:eastAsia="仿宋" w:cs="仿宋"/>
          <w:b w:val="0"/>
          <w:bCs/>
          <w:sz w:val="32"/>
          <w:szCs w:val="32"/>
          <w:lang w:val="en-US" w:eastAsia="zh-CN"/>
        </w:rPr>
        <w:t>0万</w:t>
      </w:r>
      <w:r>
        <w:rPr>
          <w:rFonts w:hint="eastAsia" w:ascii="仿宋" w:hAnsi="仿宋" w:eastAsia="仿宋" w:cs="仿宋"/>
          <w:b w:val="0"/>
          <w:bCs/>
          <w:sz w:val="32"/>
          <w:szCs w:val="32"/>
          <w:lang w:eastAsia="zh-CN"/>
        </w:rPr>
        <w:t>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基本支出结余</w:t>
      </w:r>
      <w:r>
        <w:rPr>
          <w:rFonts w:hint="eastAsia" w:ascii="仿宋" w:hAnsi="仿宋" w:eastAsia="仿宋" w:cs="仿宋"/>
          <w:b w:val="0"/>
          <w:bCs/>
          <w:sz w:val="32"/>
          <w:szCs w:val="32"/>
          <w:lang w:val="en-US" w:eastAsia="zh-CN"/>
        </w:rPr>
        <w:t>0元，项目支出结余0元。</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15"/>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val="en-US" w:eastAsia="zh-CN"/>
        </w:rPr>
        <w:t>一</w:t>
      </w:r>
      <w:r>
        <w:rPr>
          <w:rFonts w:hint="eastAsia" w:ascii="仿宋" w:hAnsi="仿宋" w:eastAsia="仿宋" w:cs="仿宋"/>
          <w:b/>
          <w:bCs w:val="0"/>
          <w:sz w:val="32"/>
          <w:szCs w:val="32"/>
          <w:lang w:eastAsia="zh-CN"/>
        </w:rPr>
        <w:t>、预算执行与管理情况</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snapToGrid w:val="0"/>
        <w:spacing w:before="0" w:beforeAutospacing="0" w:after="0" w:afterAutospacing="0" w:line="360" w:lineRule="auto"/>
        <w:ind w:right="0" w:firstLine="640" w:firstLineChars="200"/>
        <w:jc w:val="both"/>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2024年，我单位积极履职，强化管理，较好地完成了年度工作目标。根据部门整体支出绩效评价指标体系，我单位2024年度评价得分为90分。部门整体支出绩效情况如下：</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snapToGrid w:val="0"/>
        <w:spacing w:before="0" w:beforeAutospacing="0" w:after="0" w:afterAutospacing="0" w:line="360" w:lineRule="auto"/>
        <w:ind w:right="0" w:firstLine="640" w:firstLineChars="200"/>
        <w:jc w:val="both"/>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1、投入10分。</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snapToGrid w:val="0"/>
        <w:spacing w:before="0" w:beforeAutospacing="0" w:after="0" w:afterAutospacing="0" w:line="360" w:lineRule="auto"/>
        <w:ind w:right="0" w:firstLine="640" w:firstLineChars="200"/>
        <w:jc w:val="both"/>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预算配置得10分。其中：在职人员控制率：在职61人/编制73人*100%=86.3%，得5分；“三公”经费预算数无变动，变动率等于0，得5分。</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snapToGrid w:val="0"/>
        <w:spacing w:before="0" w:beforeAutospacing="0" w:after="0" w:afterAutospacing="0" w:line="360" w:lineRule="auto"/>
        <w:ind w:right="0" w:firstLine="640" w:firstLineChars="200"/>
        <w:jc w:val="both"/>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2、过程50分。</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（1）预算执行得20分。预算完成率100%得5分；预算控制率得5分；无新建楼堂馆所得10分。</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（2）预算管理得30分。政府采购执行率得6分；管理制度健全有相关财务管理制度等得8分；资金使用符合规定得6分；预决算信息公开按规定内容在规定时限在县政府门户网站公开，基础信息完善，得10分。</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80000" w:fill="FFFFFF"/>
        <w:kinsoku/>
        <w:wordWrap/>
        <w:overflowPunct/>
        <w:topLinePunct w:val="0"/>
        <w:autoSpaceDE/>
        <w:autoSpaceDN/>
        <w:bidi w:val="0"/>
        <w:snapToGrid w:val="0"/>
        <w:spacing w:before="0" w:beforeAutospacing="0" w:after="0" w:afterAutospacing="0" w:line="360" w:lineRule="auto"/>
        <w:ind w:leftChars="0" w:right="0" w:firstLine="640" w:firstLineChars="200"/>
        <w:jc w:val="both"/>
        <w:textAlignment w:val="center"/>
        <w:rPr>
          <w:rFonts w:hint="eastAsia" w:ascii="仿宋" w:hAnsi="仿宋" w:eastAsia="仿宋" w:cs="仿宋"/>
          <w:kern w:val="0"/>
          <w:sz w:val="32"/>
          <w:szCs w:val="32"/>
          <w:lang w:val="en-US" w:eastAsia="zh-CN" w:bidi="ar-SA"/>
        </w:rPr>
      </w:pPr>
      <w:r>
        <w:rPr>
          <w:rFonts w:hint="eastAsia" w:ascii="仿宋" w:hAnsi="仿宋" w:eastAsia="仿宋" w:cs="仿宋"/>
          <w:b w:val="0"/>
          <w:bCs/>
          <w:kern w:val="0"/>
          <w:sz w:val="32"/>
          <w:szCs w:val="32"/>
          <w:lang w:val="en-US" w:eastAsia="zh-CN" w:bidi="ar-SA"/>
        </w:rPr>
        <w:t>3、</w:t>
      </w:r>
      <w:r>
        <w:rPr>
          <w:rFonts w:hint="eastAsia" w:ascii="仿宋" w:hAnsi="仿宋" w:eastAsia="仿宋" w:cs="仿宋"/>
          <w:kern w:val="0"/>
          <w:sz w:val="32"/>
          <w:szCs w:val="32"/>
          <w:lang w:val="en-US" w:eastAsia="zh-CN" w:bidi="ar-SA"/>
        </w:rPr>
        <w:t>产出及效率得30分。</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overflowPunct/>
        <w:topLinePunct w:val="0"/>
        <w:autoSpaceDE/>
        <w:autoSpaceDN/>
        <w:bidi w:val="0"/>
        <w:spacing w:before="0" w:beforeAutospacing="0" w:after="0" w:afterAutospacing="0" w:line="360" w:lineRule="auto"/>
        <w:ind w:left="0" w:right="0" w:firstLine="640" w:firstLineChars="200"/>
        <w:jc w:val="both"/>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（1）职责履行得8分。</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overflowPunct/>
        <w:topLinePunct w:val="0"/>
        <w:autoSpaceDE/>
        <w:autoSpaceDN/>
        <w:bidi w:val="0"/>
        <w:spacing w:before="0" w:beforeAutospacing="0" w:after="0" w:afterAutospacing="0" w:line="360" w:lineRule="auto"/>
        <w:ind w:left="0" w:right="0" w:firstLine="640" w:firstLineChars="200"/>
        <w:jc w:val="both"/>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职责履行内容：根据部门制定的计划工作任务及内容，考核实际完成情况及质量情况，情况完成度高，质量较好的得10分。</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overflowPunct/>
        <w:topLinePunct w:val="0"/>
        <w:autoSpaceDE/>
        <w:autoSpaceDN/>
        <w:bidi w:val="0"/>
        <w:spacing w:before="0" w:beforeAutospacing="0" w:after="0" w:afterAutospacing="0" w:line="360" w:lineRule="auto"/>
        <w:ind w:left="0" w:right="0" w:firstLine="640" w:firstLineChars="200"/>
        <w:jc w:val="both"/>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（2）产出指标内容得7分。</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overflowPunct/>
        <w:topLinePunct w:val="0"/>
        <w:autoSpaceDE/>
        <w:autoSpaceDN/>
        <w:bidi w:val="0"/>
        <w:spacing w:before="0" w:beforeAutospacing="0" w:after="0" w:afterAutospacing="0" w:line="360" w:lineRule="auto"/>
        <w:ind w:left="0" w:right="0" w:firstLine="640" w:firstLineChars="200"/>
        <w:jc w:val="both"/>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（3）效益指标方面得7分。</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overflowPunct/>
        <w:topLinePunct w:val="0"/>
        <w:autoSpaceDE/>
        <w:autoSpaceDN/>
        <w:bidi w:val="0"/>
        <w:spacing w:before="0" w:beforeAutospacing="0" w:after="0" w:afterAutospacing="0" w:line="360" w:lineRule="auto"/>
        <w:ind w:left="0" w:right="0" w:firstLine="640" w:firstLineChars="200"/>
        <w:jc w:val="both"/>
        <w:textAlignment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（4）社会公众或服务对象满意度得8分：在年度绩效考核中成绩优异，服务对象满意度需进一步提升。</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lang w:eastAsia="zh-CN"/>
        </w:rPr>
        <w:t>、绩效情况</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部门职责履行情况分析。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val="0"/>
        <w:jc w:val="both"/>
        <w:textAlignment w:val="auto"/>
        <w:rPr>
          <w:rFonts w:hint="default" w:ascii="仿宋_GB2312" w:hAnsi="仿宋_GB2312" w:eastAsia="仿宋_GB2312" w:cs="仿宋_GB2312"/>
          <w:b w:val="0"/>
          <w:bCs w:val="0"/>
          <w:sz w:val="32"/>
          <w:szCs w:val="32"/>
          <w:lang w:val="en-US" w:eastAsia="zh-CN"/>
        </w:rPr>
      </w:pPr>
      <w:r>
        <w:rPr>
          <w:rFonts w:hint="eastAsia" w:ascii="仿宋" w:hAnsi="仿宋" w:eastAsia="仿宋" w:cs="仿宋"/>
          <w:b w:val="0"/>
          <w:bCs/>
          <w:kern w:val="0"/>
          <w:sz w:val="32"/>
          <w:szCs w:val="32"/>
          <w:lang w:val="en-US" w:eastAsia="zh-CN" w:bidi="ar-SA"/>
        </w:rPr>
        <w:t>1、</w:t>
      </w:r>
      <w:r>
        <w:rPr>
          <w:rFonts w:hint="eastAsia" w:ascii="仿宋_GB2312" w:hAnsi="仿宋_GB2312" w:eastAsia="仿宋_GB2312" w:cs="仿宋_GB2312"/>
          <w:b/>
          <w:bCs/>
          <w:sz w:val="32"/>
          <w:szCs w:val="32"/>
          <w:lang w:val="en-US" w:eastAsia="zh-CN"/>
        </w:rPr>
        <w:t>有序推进行政审批制度改革试点调整。</w:t>
      </w:r>
      <w:r>
        <w:rPr>
          <w:rFonts w:hint="eastAsia" w:ascii="仿宋_GB2312" w:hAnsi="仿宋_GB2312" w:eastAsia="仿宋_GB2312" w:cs="仿宋_GB2312"/>
          <w:b w:val="0"/>
          <w:bCs w:val="0"/>
          <w:sz w:val="32"/>
          <w:szCs w:val="32"/>
          <w:lang w:val="en-US" w:eastAsia="zh-CN"/>
        </w:rPr>
        <w:t>11月5日，省长已审签同意调整我县行政审批制度改革试点事项。11月6日，湖南省人民政府下发《关于&lt;蓝山县相对集中行政许可权改革试点事项调整工作方案&gt;的批复》(湘政函〔2024〕139号),目前我局正在起草《关于蓝山县相对集中行政许可权改革试点事项调整的落实意见》，后续将报送材料至县政府常务会议审议通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val="0"/>
        <w:jc w:val="both"/>
        <w:textAlignment w:val="auto"/>
        <w:rPr>
          <w:rFonts w:hint="eastAsia"/>
          <w:lang w:val="en-US" w:eastAsia="zh-CN"/>
        </w:rPr>
      </w:pPr>
      <w:r>
        <w:rPr>
          <w:rFonts w:hint="eastAsia" w:ascii="仿宋" w:hAnsi="仿宋" w:eastAsia="仿宋" w:cs="仿宋"/>
          <w:b w:val="0"/>
          <w:bCs/>
          <w:kern w:val="0"/>
          <w:sz w:val="32"/>
          <w:szCs w:val="32"/>
          <w:lang w:val="en-US" w:eastAsia="zh-CN" w:bidi="ar-SA"/>
        </w:rPr>
        <w:t>2、</w:t>
      </w:r>
      <w:r>
        <w:rPr>
          <w:rFonts w:hint="eastAsia" w:ascii="仿宋" w:hAnsi="仿宋" w:eastAsia="仿宋" w:cs="仿宋"/>
          <w:b/>
          <w:bCs/>
          <w:sz w:val="32"/>
          <w:szCs w:val="32"/>
          <w:lang w:val="en-US" w:eastAsia="zh-CN"/>
        </w:rPr>
        <w:t>全面推广“一网通办”应用。</w:t>
      </w:r>
      <w:r>
        <w:rPr>
          <w:rFonts w:hint="eastAsia" w:ascii="仿宋_GB2312" w:hAnsi="仿宋_GB2312" w:eastAsia="仿宋_GB2312" w:cs="仿宋_GB2312"/>
          <w:b w:val="0"/>
          <w:bCs w:val="0"/>
          <w:sz w:val="32"/>
          <w:szCs w:val="32"/>
          <w:lang w:val="en-US" w:eastAsia="zh-CN"/>
        </w:rPr>
        <w:t>目前共收集23个县直单位资料，录入三定职能清单表22张、信息系统清单表260张、职能事项系统数据目录梳理表254张、政务数据目录填报表7292张。在一网通办系统上线发布539个事项，共产生1037条办件，并开设5个“一网通办”窗口，配置5名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kern w:val="0"/>
          <w:sz w:val="32"/>
          <w:szCs w:val="32"/>
          <w:lang w:val="en-US" w:eastAsia="zh-CN" w:bidi="ar-SA"/>
        </w:rPr>
        <w:t>3、</w:t>
      </w:r>
      <w:r>
        <w:rPr>
          <w:rFonts w:hint="eastAsia" w:ascii="仿宋" w:hAnsi="仿宋" w:eastAsia="仿宋" w:cs="仿宋"/>
          <w:b/>
          <w:bCs/>
          <w:sz w:val="32"/>
          <w:szCs w:val="32"/>
          <w:lang w:val="en-US" w:eastAsia="zh-CN"/>
        </w:rPr>
        <w:t>扎实开展“高效办成一件事”配置工作。</w:t>
      </w:r>
      <w:r>
        <w:rPr>
          <w:rFonts w:hint="eastAsia" w:ascii="仿宋_GB2312" w:hAnsi="仿宋_GB2312" w:eastAsia="仿宋_GB2312" w:cs="仿宋_GB2312"/>
          <w:sz w:val="32"/>
          <w:szCs w:val="32"/>
          <w:lang w:val="en-US" w:eastAsia="zh-CN"/>
        </w:rPr>
        <w:t>在“一网通办”系统配置完成17个“高效办成一件事”主题套餐，</w:t>
      </w:r>
      <w:r>
        <w:rPr>
          <w:rFonts w:hint="eastAsia" w:ascii="仿宋_GB2312" w:hAnsi="宋体"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可以为企业群众提供企业变更、企业注销、新生儿出生、残疾人服务、教育入学等“一件事”办事服务。</w:t>
      </w:r>
      <w:r>
        <w:rPr>
          <w:rFonts w:hint="eastAsia" w:ascii="仿宋_GB2312" w:hAnsi="仿宋_GB2312" w:eastAsia="仿宋_GB2312" w:cs="仿宋_GB2312"/>
          <w:sz w:val="32"/>
          <w:szCs w:val="32"/>
          <w:lang w:val="en-US" w:eastAsia="zh-CN"/>
        </w:rPr>
        <w:t>目前办件总量为7541件，第二批8件“高效办成一件事”主题套餐配置和测试中</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kern w:val="0"/>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sz w:val="32"/>
          <w:szCs w:val="32"/>
          <w:lang w:eastAsia="zh-CN"/>
        </w:rPr>
      </w:pPr>
      <w:r>
        <w:rPr>
          <w:rFonts w:hint="eastAsia" w:ascii="仿宋" w:hAnsi="仿宋" w:eastAsia="仿宋" w:cs="仿宋"/>
          <w:b w:val="0"/>
          <w:bCs/>
          <w:sz w:val="32"/>
          <w:szCs w:val="32"/>
        </w:rPr>
        <w:t>（二）社会经济效益分析</w:t>
      </w:r>
      <w:r>
        <w:rPr>
          <w:rFonts w:hint="eastAsia" w:ascii="仿宋" w:hAnsi="仿宋" w:eastAsia="仿宋" w:cs="仿宋"/>
          <w:b w:val="0"/>
          <w:bCs/>
          <w:sz w:val="32"/>
          <w:szCs w:val="32"/>
          <w:lang w:eastAsia="zh-CN"/>
        </w:rPr>
        <w:t>。</w:t>
      </w:r>
    </w:p>
    <w:p>
      <w:pPr>
        <w:keepNext w:val="0"/>
        <w:keepLines w:val="0"/>
        <w:pageBreakBefore w:val="0"/>
        <w:numPr>
          <w:ilvl w:val="0"/>
          <w:numId w:val="1"/>
        </w:numPr>
        <w:kinsoku/>
        <w:wordWrap/>
        <w:overflowPunct/>
        <w:topLinePunct w:val="0"/>
        <w:bidi w:val="0"/>
        <w:snapToGrid/>
        <w:spacing w:line="560" w:lineRule="exact"/>
        <w:ind w:firstLine="640" w:firstLineChars="200"/>
        <w:rPr>
          <w:rFonts w:hint="eastAsia" w:ascii="仿宋" w:hAnsi="仿宋" w:eastAsia="仿宋" w:cs="仿宋"/>
          <w:b w:val="0"/>
          <w:kern w:val="0"/>
          <w:sz w:val="32"/>
          <w:szCs w:val="32"/>
          <w:lang w:val="en-US" w:eastAsia="zh-CN" w:bidi="ar-SA"/>
        </w:rPr>
      </w:pPr>
      <w:r>
        <w:rPr>
          <w:rFonts w:hint="eastAsia" w:ascii="仿宋" w:hAnsi="仿宋" w:eastAsia="仿宋" w:cs="仿宋"/>
          <w:b/>
          <w:bCs/>
          <w:sz w:val="32"/>
          <w:szCs w:val="32"/>
        </w:rPr>
        <w:t>政务公开工作</w:t>
      </w:r>
      <w:r>
        <w:rPr>
          <w:rFonts w:hint="eastAsia" w:ascii="仿宋" w:hAnsi="仿宋" w:eastAsia="仿宋" w:cs="仿宋"/>
          <w:b/>
          <w:bCs/>
          <w:sz w:val="32"/>
          <w:szCs w:val="32"/>
          <w:lang w:val="en-US" w:eastAsia="zh-CN"/>
        </w:rPr>
        <w:t>平稳运行</w:t>
      </w:r>
      <w:r>
        <w:rPr>
          <w:rFonts w:hint="eastAsia" w:ascii="仿宋" w:hAnsi="仿宋" w:eastAsia="仿宋" w:cs="仿宋"/>
          <w:b/>
          <w:bCs/>
          <w:sz w:val="32"/>
          <w:szCs w:val="32"/>
        </w:rPr>
        <w:t>。</w:t>
      </w:r>
      <w:r>
        <w:rPr>
          <w:rFonts w:hint="eastAsia" w:ascii="仿宋" w:hAnsi="仿宋" w:eastAsia="仿宋" w:cs="仿宋"/>
          <w:b w:val="0"/>
          <w:kern w:val="0"/>
          <w:sz w:val="32"/>
          <w:szCs w:val="32"/>
          <w:lang w:val="en-US" w:eastAsia="zh-CN" w:bidi="ar-SA"/>
        </w:rPr>
        <w:t>截至11月1日共发布信息6599条，其中政务信息3095条，县直及各乡镇发布信息3504条，政策解读30条，人事和招聘信息41条，基层政务公开专栏441条，政府网站专栏专题维护数11个。县长信箱和咨询投诉共办理有效信件83件，答复率98%，满意率97.5%。开展调查征集6次，共收到160条有效反馈信息。</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 w:hAnsi="仿宋" w:eastAsia="仿宋" w:cs="仿宋"/>
          <w:b w:val="0"/>
          <w:kern w:val="0"/>
          <w:sz w:val="32"/>
          <w:szCs w:val="32"/>
          <w:lang w:val="en-US" w:eastAsia="zh-CN" w:bidi="ar-SA"/>
        </w:rPr>
      </w:pPr>
      <w:r>
        <w:rPr>
          <w:rFonts w:hint="eastAsia" w:ascii="仿宋" w:hAnsi="仿宋" w:eastAsia="仿宋" w:cs="仿宋"/>
          <w:kern w:val="0"/>
          <w:sz w:val="32"/>
          <w:szCs w:val="32"/>
          <w:lang w:val="en-US" w:eastAsia="zh-CN" w:bidi="ar-SA"/>
        </w:rPr>
        <w:t>2、社会效益指标.</w:t>
      </w:r>
      <w:r>
        <w:rPr>
          <w:rFonts w:hint="eastAsia" w:ascii="仿宋" w:hAnsi="仿宋" w:eastAsia="仿宋" w:cs="仿宋"/>
          <w:b/>
          <w:bCs/>
          <w:kern w:val="0"/>
          <w:sz w:val="32"/>
          <w:szCs w:val="32"/>
          <w:lang w:val="en-US" w:eastAsia="zh-CN" w:bidi="ar-SA"/>
        </w:rPr>
        <w:t>有效提高政务联动处置效能。</w:t>
      </w:r>
      <w:r>
        <w:rPr>
          <w:rFonts w:hint="eastAsia" w:ascii="仿宋" w:hAnsi="仿宋" w:eastAsia="仿宋" w:cs="仿宋"/>
          <w:b w:val="0"/>
          <w:kern w:val="0"/>
          <w:sz w:val="32"/>
          <w:szCs w:val="32"/>
          <w:lang w:val="en-US" w:eastAsia="zh-CN" w:bidi="ar-SA"/>
        </w:rPr>
        <w:t>2024年1-10月，共受理各类有效诉求3921件，其中包括永州市12345政务服务便民热线转办工单3678件，其他渠道来源事件243件（其中领导交办41件，市县区长信箱71件，政协云微建议54件，微信上报19件，湘易办政企通17件，永在线12345热线16件，永在线APP 13件、网格员巡查9件，监督服务微信群3件），工单及时处置率99.92 %， 群众满意率96.5%。共发布工作通报6期。</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 w:val="0"/>
          <w:bCs/>
          <w:kern w:val="0"/>
          <w:sz w:val="32"/>
          <w:szCs w:val="32"/>
          <w:lang w:val="en-US" w:eastAsia="zh-CN" w:bidi="ar-SA"/>
        </w:rPr>
        <w:t>3、可持续影响指标</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2024年以来，在信用永州平台上报送信用信息642912条，其中：上传“双公示”数据61648条（行政处罚2388条，行政许可59260条），上传五类行政数据5357条，上传其他信用信息551790条，上传各类承诺书24117份，在信用永州平台开展信用运用核查44023次，完成信用修复超过130户。</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overflowPunct/>
        <w:topLinePunct w:val="0"/>
        <w:autoSpaceDE/>
        <w:autoSpaceDN/>
        <w:bidi w:val="0"/>
        <w:spacing w:before="0" w:beforeAutospacing="0" w:after="0" w:afterAutospacing="0" w:line="360" w:lineRule="auto"/>
        <w:ind w:left="0" w:right="0" w:firstLine="640" w:firstLineChars="200"/>
        <w:jc w:val="both"/>
        <w:textAlignment w:val="center"/>
        <w:rPr>
          <w:rFonts w:hint="eastAsia" w:ascii="仿宋" w:hAnsi="仿宋" w:eastAsia="仿宋_GB2312" w:cs="仿宋"/>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Autospacing="0" w:after="0" w:afterAutospacing="0" w:line="360" w:lineRule="auto"/>
        <w:ind w:firstLine="640" w:firstLineChars="200"/>
        <w:jc w:val="both"/>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（三）行政效能分析。</w:t>
      </w:r>
    </w:p>
    <w:p>
      <w:pPr>
        <w:pStyle w:val="21"/>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firstLine="640" w:firstLineChars="200"/>
        <w:jc w:val="left"/>
        <w:textAlignment w:val="center"/>
        <w:rPr>
          <w:rFonts w:hint="eastAsia" w:ascii="仿宋" w:hAnsi="仿宋" w:eastAsia="仿宋" w:cs="仿宋"/>
          <w:b w:val="0"/>
          <w:bCs/>
          <w:kern w:val="0"/>
          <w:sz w:val="32"/>
          <w:szCs w:val="32"/>
          <w:lang w:val="en-US" w:eastAsia="zh-CN" w:bidi="ar-SA"/>
        </w:r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left"/>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1、加强对省市县财政预算资金管理方面制度的学习和培训，不断提高各职能股室的业务工作能力。及时组织相关人员学习县财政局出台的培训费、会议费、差旅费等的相关制度。</w:t>
      </w: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firstLine="640" w:firstLineChars="200"/>
        <w:jc w:val="left"/>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2、严格制度执行，特别是“三公”经费的预算控制，严格招待费用审核审批程序，“三公”经费较好地控制在预算范围之内。</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三、存在的问题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sz w:val="32"/>
          <w:szCs w:val="32"/>
          <w:lang w:val="en-US" w:eastAsia="zh-CN"/>
        </w:rPr>
        <w:t>数据共享难以达到预期。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“一网通办”在测试中发现系统兼容上还存在水土不服的情况，实际应用较为困难。例如“建房一件事</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线上线下均能成功受理办件，但受理成功后审批系统未显示待办件，无法进入审批环节，无法办结；</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残联在一网通办系统中录入的受办分离事项，推送至残联办证系统后因数据不同步导致出现办件超期；在进行道路货物运输终止经营收件时，输入个人的信息后获取许可证号与实际的证号不匹配，且证号输入框无法进行编辑等问题，无形之中制约了平台推广与发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 w:hAnsi="仿宋" w:eastAsia="仿宋" w:cs="仿宋"/>
          <w:b/>
          <w:bCs/>
          <w:sz w:val="32"/>
          <w:szCs w:val="32"/>
          <w:lang w:val="en-US" w:eastAsia="zh-CN"/>
        </w:rPr>
        <w:t>惠企服务不够便民高质。一是</w:t>
      </w:r>
      <w:r>
        <w:rPr>
          <w:rFonts w:hint="eastAsia" w:ascii="仿宋_GB2312" w:hAnsi="仿宋_GB2312" w:eastAsia="仿宋_GB2312" w:cs="仿宋_GB2312"/>
          <w:b w:val="0"/>
          <w:bCs w:val="0"/>
          <w:spacing w:val="0"/>
          <w:kern w:val="2"/>
          <w:sz w:val="32"/>
          <w:szCs w:val="32"/>
          <w:lang w:val="en-US" w:eastAsia="zh-CN" w:bidi="ar-SA"/>
        </w:rPr>
        <w:t>部分单位靠前履职的责任心不强，对政策解读工作还不够深入，且发布事项质量不高，部分事项整年仅少数企业办理，湘易办“政策兑现”实际运用不足。</w:t>
      </w:r>
      <w:r>
        <w:rPr>
          <w:rFonts w:hint="eastAsia" w:ascii="仿宋" w:hAnsi="仿宋" w:eastAsia="仿宋" w:cs="仿宋"/>
          <w:b w:val="0"/>
          <w:bCs w:val="0"/>
          <w:spacing w:val="0"/>
          <w:kern w:val="2"/>
          <w:sz w:val="32"/>
          <w:szCs w:val="32"/>
          <w:lang w:val="en-US" w:eastAsia="zh-CN" w:bidi="ar-SA"/>
        </w:rPr>
        <w:t>二</w:t>
      </w:r>
      <w:r>
        <w:rPr>
          <w:rFonts w:hint="eastAsia" w:ascii="仿宋" w:hAnsi="仿宋" w:eastAsia="仿宋" w:cs="仿宋"/>
          <w:b/>
          <w:bCs/>
          <w:spacing w:val="0"/>
          <w:kern w:val="2"/>
          <w:sz w:val="32"/>
          <w:szCs w:val="32"/>
          <w:lang w:val="en-US" w:eastAsia="zh-CN" w:bidi="ar-SA"/>
        </w:rPr>
        <w:t>是</w:t>
      </w:r>
      <w:r>
        <w:rPr>
          <w:rFonts w:hint="eastAsia" w:ascii="仿宋" w:hAnsi="仿宋" w:eastAsia="仿宋" w:cs="仿宋"/>
          <w:b w:val="0"/>
          <w:bCs w:val="0"/>
          <w:spacing w:val="0"/>
          <w:kern w:val="2"/>
          <w:sz w:val="32"/>
          <w:szCs w:val="32"/>
          <w:lang w:val="en-US" w:eastAsia="zh-CN" w:bidi="ar-SA"/>
        </w:rPr>
        <w:t>业务熟悉程度不高。</w:t>
      </w:r>
      <w:r>
        <w:rPr>
          <w:rFonts w:hint="eastAsia" w:ascii="仿宋_GB2312" w:hAnsi="仿宋_GB2312" w:eastAsia="仿宋_GB2312" w:cs="仿宋_GB2312"/>
          <w:sz w:val="32"/>
          <w:szCs w:val="32"/>
          <w:lang w:val="en-US" w:eastAsia="zh-CN"/>
        </w:rPr>
        <w:t>今年开展的几项与数据有关的重点工作，均在业务办理上存在不同程度的问题。如</w:t>
      </w:r>
      <w:r>
        <w:rPr>
          <w:rFonts w:hint="eastAsia" w:ascii="仿宋_GB2312" w:hAnsi="仿宋_GB2312" w:eastAsia="仿宋_GB2312" w:cs="仿宋_GB2312"/>
          <w:b w:val="0"/>
          <w:bCs w:val="0"/>
          <w:spacing w:val="0"/>
          <w:kern w:val="2"/>
          <w:sz w:val="32"/>
          <w:szCs w:val="32"/>
          <w:lang w:val="en-US" w:eastAsia="zh-CN" w:bidi="ar-SA"/>
        </w:rPr>
        <w:t>县直单位窗口人员变动频繁，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pacing w:val="0"/>
          <w:kern w:val="2"/>
          <w:sz w:val="32"/>
          <w:szCs w:val="32"/>
          <w:lang w:val="en-US" w:eastAsia="zh-CN" w:bidi="ar-SA"/>
        </w:rPr>
        <w:t>一网通办”系统交接工作不清晰，新进人员对系统不够熟悉；</w:t>
      </w:r>
      <w:r>
        <w:rPr>
          <w:rFonts w:hint="eastAsia" w:ascii="仿宋_GB2312" w:hAnsi="仿宋_GB2312" w:eastAsia="仿宋_GB2312" w:cs="仿宋_GB2312"/>
          <w:sz w:val="32"/>
          <w:szCs w:val="32"/>
          <w:lang w:eastAsia="zh-CN"/>
        </w:rPr>
        <w:t>政务大厅“高效办成一件事”专窗和综合窗口工作人员</w:t>
      </w:r>
      <w:r>
        <w:rPr>
          <w:rFonts w:hint="eastAsia" w:ascii="仿宋_GB2312" w:hAnsi="仿宋_GB2312" w:eastAsia="仿宋_GB2312" w:cs="仿宋_GB2312"/>
          <w:sz w:val="32"/>
          <w:szCs w:val="32"/>
          <w:lang w:val="en-US" w:eastAsia="zh-CN"/>
        </w:rPr>
        <w:t>对办理</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lang w:val="en-US" w:eastAsia="zh-CN"/>
        </w:rPr>
        <w:t>的流程一知半解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pacing w:val="0"/>
          <w:kern w:val="2"/>
          <w:sz w:val="32"/>
          <w:szCs w:val="32"/>
          <w:lang w:val="en-US" w:eastAsia="zh-CN" w:bidi="ar-SA"/>
        </w:rPr>
        <w:t>各相关单位管理人员对政策兑现事项梳理、“湘易办”APP涉企板块总体情况及“湘易办”事项上线及问题整改、电子证照汇聚、旗舰店建设、营商地图、政策兑现、宣传推广、“十大”应用场景建设等事项不了解，开展工作有难度、业务基础薄弱。</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bookmarkStart w:id="3" w:name="_Hlk74914722"/>
      <w:r>
        <w:rPr>
          <w:rFonts w:hint="eastAsia" w:ascii="仿宋_GB2312" w:hAnsi="仿宋_GB2312" w:eastAsia="仿宋_GB2312" w:cs="仿宋_GB2312"/>
          <w:b/>
          <w:bCs/>
          <w:color w:val="auto"/>
          <w:sz w:val="32"/>
          <w:szCs w:val="32"/>
          <w:lang w:val="en-US" w:eastAsia="zh-CN"/>
        </w:rPr>
        <w:t>3、</w:t>
      </w:r>
      <w:bookmarkEnd w:id="3"/>
      <w:r>
        <w:rPr>
          <w:rFonts w:hint="eastAsia" w:ascii="仿宋_GB2312" w:hAnsi="仿宋_GB2312" w:eastAsia="仿宋_GB2312" w:cs="仿宋_GB2312"/>
          <w:b/>
          <w:bCs/>
          <w:color w:val="auto"/>
          <w:sz w:val="32"/>
          <w:szCs w:val="32"/>
          <w:lang w:val="en-US" w:eastAsia="zh-CN"/>
        </w:rPr>
        <w:t>营商环境机制亟需完善。</w:t>
      </w:r>
      <w:r>
        <w:rPr>
          <w:rFonts w:hint="eastAsia" w:ascii="仿宋_GB2312" w:eastAsia="仿宋_GB2312"/>
          <w:b w:val="0"/>
          <w:bCs w:val="0"/>
          <w:sz w:val="32"/>
          <w:szCs w:val="32"/>
        </w:rPr>
        <w:t>部门</w:t>
      </w:r>
      <w:r>
        <w:rPr>
          <w:rFonts w:hint="eastAsia" w:ascii="仿宋_GB2312" w:eastAsia="仿宋_GB2312"/>
          <w:b w:val="0"/>
          <w:bCs w:val="0"/>
          <w:sz w:val="32"/>
          <w:szCs w:val="32"/>
          <w:lang w:val="en-US" w:eastAsia="zh-CN"/>
        </w:rPr>
        <w:t>协同合作不畅通</w:t>
      </w:r>
      <w:r>
        <w:rPr>
          <w:rFonts w:hint="eastAsia" w:ascii="仿宋_GB2312" w:eastAsia="仿宋_GB2312"/>
          <w:b w:val="0"/>
          <w:bCs w:val="0"/>
          <w:sz w:val="32"/>
          <w:szCs w:val="32"/>
          <w:lang w:eastAsia="zh-CN"/>
        </w:rPr>
        <w:t>，</w:t>
      </w:r>
      <w:r>
        <w:rPr>
          <w:rFonts w:hint="eastAsia" w:ascii="仿宋_GB2312" w:eastAsia="仿宋_GB2312"/>
          <w:sz w:val="32"/>
          <w:szCs w:val="32"/>
        </w:rPr>
        <w:t>对企业的服务和管理，涉及经开区、自然资源、环保、税务、市监、财政、科工、银行等部门，</w:t>
      </w:r>
      <w:r>
        <w:rPr>
          <w:rFonts w:hint="eastAsia" w:ascii="仿宋_GB2312" w:hAnsi="仿宋_GB2312" w:eastAsia="仿宋_GB2312" w:cs="仿宋_GB2312"/>
          <w:color w:val="auto"/>
          <w:spacing w:val="0"/>
          <w:sz w:val="32"/>
          <w:szCs w:val="32"/>
        </w:rPr>
        <w:t>由于未建立信息共享长效机制，缺乏对企业其他信息的互联互通，制约了企业的发展及部门的相关工作。</w:t>
      </w:r>
      <w:r>
        <w:rPr>
          <w:rFonts w:hint="eastAsia" w:ascii="仿宋_GB2312" w:hAnsi="仿宋_GB2312" w:eastAsia="仿宋_GB2312" w:cs="仿宋_GB2312"/>
          <w:color w:val="auto"/>
          <w:spacing w:val="0"/>
          <w:sz w:val="32"/>
          <w:szCs w:val="32"/>
          <w:lang w:val="en-US" w:eastAsia="zh-CN"/>
        </w:rPr>
        <w:t>部门之间协同监管机制落实不够，难以形成“一处失信，处处受限”的惩戒效应。</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bCs w:val="0"/>
          <w:kern w:val="0"/>
          <w:sz w:val="32"/>
          <w:szCs w:val="32"/>
          <w:lang w:val="en-US" w:eastAsia="zh-CN" w:bidi="ar-SA"/>
        </w:rPr>
      </w:pPr>
      <w:r>
        <w:rPr>
          <w:rFonts w:hint="eastAsia" w:ascii="仿宋" w:hAnsi="仿宋" w:eastAsia="仿宋" w:cs="仿宋"/>
          <w:b/>
          <w:bCs w:val="0"/>
          <w:kern w:val="0"/>
          <w:sz w:val="32"/>
          <w:szCs w:val="32"/>
          <w:lang w:val="en-US" w:eastAsia="zh-CN" w:bidi="ar-SA"/>
        </w:rPr>
        <w:t>四、后续的工作计划</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1、加强财务管理，严格财务审核。在费用报账支付时，按照预算规定的费用项目和用途进行资金使用审核、列报支付、财务核算，杜绝超支现象的发生。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kinsoku/>
        <w:wordWrap/>
        <w:overflowPunct/>
        <w:topLinePunct w:val="0"/>
        <w:autoSpaceDE/>
        <w:autoSpaceDN/>
        <w:bidi w:val="0"/>
        <w:snapToGrid w:val="0"/>
        <w:spacing w:beforeAutospacing="0" w:after="0" w:afterAutospacing="0" w:line="360" w:lineRule="auto"/>
        <w:ind w:firstLine="640" w:firstLineChars="200"/>
        <w:textAlignment w:val="center"/>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3、加强项目开展进度的跟踪，开展项目绩效评价，确保项目绩效目标的完成。</w:t>
      </w:r>
    </w:p>
    <w:p>
      <w:pPr>
        <w:pStyle w:val="5"/>
        <w:ind w:left="0" w:leftChars="0" w:firstLine="0" w:firstLineChars="0"/>
        <w:jc w:val="right"/>
        <w:rPr>
          <w:rFonts w:hint="default"/>
          <w:lang w:val="en-US" w:eastAsia="zh-CN"/>
        </w:rPr>
      </w:pPr>
    </w:p>
    <w:p>
      <w:pPr>
        <w:pStyle w:val="15"/>
        <w:jc w:val="cente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6D8039-F70B-4190-AB43-884B792C2E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91CF1F8-D91A-4317-B89F-F1A8C4F35871}"/>
  </w:font>
  <w:font w:name="方正小标宋_GBK">
    <w:panose1 w:val="02000000000000000000"/>
    <w:charset w:val="86"/>
    <w:family w:val="script"/>
    <w:pitch w:val="default"/>
    <w:sig w:usb0="A00002BF" w:usb1="38CF7CFA" w:usb2="00082016" w:usb3="00000000" w:csb0="00040001" w:csb1="00000000"/>
    <w:embedRegular r:id="rId3" w:fontKey="{0872B46B-0DF8-4DB7-A8B9-E1DDBB03E746}"/>
  </w:font>
  <w:font w:name="仿宋_GB2312">
    <w:panose1 w:val="02010609030101010101"/>
    <w:charset w:val="86"/>
    <w:family w:val="modern"/>
    <w:pitch w:val="default"/>
    <w:sig w:usb0="00000001" w:usb1="080E0000" w:usb2="00000000" w:usb3="00000000" w:csb0="00040000" w:csb1="00000000"/>
    <w:embedRegular r:id="rId4" w:fontKey="{8B58D23B-A69B-4ABF-A8E6-D839BABE05C7}"/>
  </w:font>
  <w:font w:name="仿宋">
    <w:panose1 w:val="02010609060101010101"/>
    <w:charset w:val="86"/>
    <w:family w:val="auto"/>
    <w:pitch w:val="default"/>
    <w:sig w:usb0="800002BF" w:usb1="38CF7CFA" w:usb2="00000016" w:usb3="00000000" w:csb0="00040001" w:csb1="00000000"/>
    <w:embedRegular r:id="rId5" w:fontKey="{FF199E0D-6DCF-4759-BCE0-EF1FE805FCA6}"/>
  </w:font>
  <w:font w:name="楷体_GB2312">
    <w:panose1 w:val="02010609030101010101"/>
    <w:charset w:val="86"/>
    <w:family w:val="modern"/>
    <w:pitch w:val="default"/>
    <w:sig w:usb0="00000001" w:usb1="080E0000" w:usb2="00000000" w:usb3="00000000" w:csb0="00040000" w:csb1="00000000"/>
    <w:embedRegular r:id="rId6" w:fontKey="{768E8B06-8DD8-49B7-81FF-E2E282735057}"/>
  </w:font>
  <w:font w:name="华文中宋">
    <w:altName w:val="宋体"/>
    <w:panose1 w:val="02010600040101010101"/>
    <w:charset w:val="86"/>
    <w:family w:val="auto"/>
    <w:pitch w:val="default"/>
    <w:sig w:usb0="00000000" w:usb1="00000000" w:usb2="00000000" w:usb3="00000000" w:csb0="0004009F" w:csb1="DFD70000"/>
    <w:embedRegular r:id="rId7" w:fontKey="{ECA12996-15DF-4D2B-AC52-B532D93A06ED}"/>
  </w:font>
  <w:font w:name="楷体">
    <w:panose1 w:val="02010609060101010101"/>
    <w:charset w:val="86"/>
    <w:family w:val="modern"/>
    <w:pitch w:val="default"/>
    <w:sig w:usb0="800002BF" w:usb1="38CF7CFA" w:usb2="00000016" w:usb3="00000000" w:csb0="00040001" w:csb1="00000000"/>
    <w:embedRegular r:id="rId8" w:fontKey="{6AD3EFA5-C4C0-450F-ABC5-D4859118D6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D1A365"/>
    <w:multiLevelType w:val="singleLevel"/>
    <w:tmpl w:val="F3D1A365"/>
    <w:lvl w:ilvl="0" w:tentative="0">
      <w:start w:val="1"/>
      <w:numFmt w:val="decimal"/>
      <w:suff w:val="nothing"/>
      <w:lvlText w:val="%1、"/>
      <w:lvlJc w:val="left"/>
    </w:lvl>
  </w:abstractNum>
  <w:abstractNum w:abstractNumId="1">
    <w:nsid w:val="7C01361E"/>
    <w:multiLevelType w:val="singleLevel"/>
    <w:tmpl w:val="7C01361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857233"/>
    <w:rsid w:val="174B0801"/>
    <w:rsid w:val="1D97DEFF"/>
    <w:rsid w:val="1DFF72E5"/>
    <w:rsid w:val="1EFC6F07"/>
    <w:rsid w:val="20360900"/>
    <w:rsid w:val="23817744"/>
    <w:rsid w:val="2FDF85B8"/>
    <w:rsid w:val="2FFFEE04"/>
    <w:rsid w:val="34DF85B0"/>
    <w:rsid w:val="3B8F36BC"/>
    <w:rsid w:val="40F735A4"/>
    <w:rsid w:val="491FF225"/>
    <w:rsid w:val="4FFD214C"/>
    <w:rsid w:val="555B614A"/>
    <w:rsid w:val="570B7629"/>
    <w:rsid w:val="5777D4F5"/>
    <w:rsid w:val="59211EF8"/>
    <w:rsid w:val="59DD8326"/>
    <w:rsid w:val="5DEF592A"/>
    <w:rsid w:val="5FC6BB1E"/>
    <w:rsid w:val="5FF720F1"/>
    <w:rsid w:val="67FF5C0B"/>
    <w:rsid w:val="6EFC0924"/>
    <w:rsid w:val="6FB74722"/>
    <w:rsid w:val="6FEF8B7E"/>
    <w:rsid w:val="71A6591B"/>
    <w:rsid w:val="737D59BA"/>
    <w:rsid w:val="77C37683"/>
    <w:rsid w:val="79D19834"/>
    <w:rsid w:val="79FF515B"/>
    <w:rsid w:val="7AA107B1"/>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6"/>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样式2"/>
    <w:basedOn w:val="1"/>
    <w:qFormat/>
    <w:uiPriority w:val="99"/>
    <w:pPr>
      <w:widowControl/>
      <w:shd w:val="clear" w:color="auto" w:fill="FFFFFF"/>
      <w:spacing w:before="100" w:beforeAutospacing="1" w:after="100" w:afterAutospacing="1"/>
      <w:ind w:left="562"/>
      <w:jc w:val="center"/>
    </w:pPr>
    <w:rPr>
      <w:rFonts w:ascii="宋体"/>
      <w:b/>
      <w:bCs/>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420</Words>
  <Characters>426</Characters>
  <Lines>69</Lines>
  <Paragraphs>19</Paragraphs>
  <TotalTime>4</TotalTime>
  <ScaleCrop>false</ScaleCrop>
  <LinksUpToDate>false</LinksUpToDate>
  <CharactersWithSpaces>433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2025-09-18T01:45:04Z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1CD03A7707A6470490FA0A95FBA8D752_13</vt:lpwstr>
  </property>
  <property fmtid="{D5CDD505-2E9C-101B-9397-08002B2CF9AE}" pid="4" name="KSOTemplateDocerSaveRecord">
    <vt:lpwstr>eyJoZGlkIjoiZDkwZmE1ZjY1NzBjNTRkZTZiMGFjZDJjZTkxMWYwZGUiLCJ1c2VySWQiOiI3MTIxNDMzNDAifQ==</vt:lpwstr>
  </property>
</Properties>
</file>