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136F8">
      <w:pPr>
        <w:pStyle w:val="15"/>
        <w:jc w:val="both"/>
        <w:rPr>
          <w:rFonts w:hAnsi="黑体"/>
          <w:sz w:val="36"/>
          <w:szCs w:val="36"/>
        </w:rPr>
      </w:pPr>
      <w:bookmarkStart w:id="3" w:name="_GoBack"/>
      <w:bookmarkEnd w:id="3"/>
      <w:r>
        <w:rPr>
          <w:rFonts w:hint="eastAsia" w:hAnsi="黑体"/>
          <w:sz w:val="36"/>
          <w:szCs w:val="36"/>
        </w:rPr>
        <w:t>附件1</w:t>
      </w:r>
    </w:p>
    <w:p w14:paraId="00EA7942">
      <w:pPr>
        <w:pStyle w:val="15"/>
        <w:jc w:val="center"/>
        <w:rPr>
          <w:rFonts w:ascii="Times New Roman" w:hAnsi="Times New Roman" w:cs="Times New Roman"/>
          <w:sz w:val="56"/>
          <w:szCs w:val="56"/>
        </w:rPr>
      </w:pPr>
    </w:p>
    <w:p w14:paraId="6FEC266D">
      <w:pPr>
        <w:pStyle w:val="15"/>
        <w:jc w:val="center"/>
        <w:rPr>
          <w:rFonts w:ascii="Times New Roman" w:hAnsi="Times New Roman" w:cs="Times New Roman"/>
          <w:sz w:val="84"/>
          <w:szCs w:val="84"/>
        </w:rPr>
      </w:pPr>
    </w:p>
    <w:p w14:paraId="6EB15A81">
      <w:pPr>
        <w:pStyle w:val="15"/>
        <w:jc w:val="center"/>
        <w:rPr>
          <w:rFonts w:ascii="Times New Roman" w:hAnsi="Times New Roman" w:cs="Times New Roman"/>
          <w:sz w:val="84"/>
          <w:szCs w:val="84"/>
        </w:rPr>
      </w:pPr>
    </w:p>
    <w:p w14:paraId="17A0F87A">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43B1102">
      <w:pPr>
        <w:pStyle w:val="15"/>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蓝山县文学艺术界联合会</w:t>
      </w:r>
    </w:p>
    <w:p w14:paraId="2660DD6A">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6441E99A">
      <w:pPr>
        <w:pStyle w:val="15"/>
        <w:jc w:val="center"/>
        <w:rPr>
          <w:rFonts w:ascii="Times New Roman" w:hAnsi="Times New Roman" w:eastAsia="方正小标宋_GBK" w:cs="Times New Roman"/>
          <w:sz w:val="56"/>
          <w:szCs w:val="56"/>
        </w:rPr>
      </w:pPr>
    </w:p>
    <w:p w14:paraId="5004C3A1">
      <w:pPr>
        <w:pStyle w:val="15"/>
        <w:jc w:val="center"/>
        <w:rPr>
          <w:rFonts w:ascii="Times New Roman" w:hAnsi="Times New Roman" w:cs="Times New Roman"/>
          <w:sz w:val="56"/>
          <w:szCs w:val="56"/>
        </w:rPr>
      </w:pPr>
    </w:p>
    <w:p w14:paraId="0C8C3E5E">
      <w:pPr>
        <w:pStyle w:val="15"/>
        <w:rPr>
          <w:rFonts w:ascii="Times New Roman" w:hAnsi="Times New Roman" w:cs="Times New Roman"/>
          <w:sz w:val="56"/>
          <w:szCs w:val="56"/>
        </w:rPr>
      </w:pPr>
    </w:p>
    <w:p w14:paraId="6CAD15BB">
      <w:pPr>
        <w:pStyle w:val="15"/>
        <w:jc w:val="center"/>
        <w:rPr>
          <w:rFonts w:ascii="Times New Roman" w:hAnsi="Times New Roman" w:cs="Times New Roman"/>
          <w:sz w:val="32"/>
          <w:szCs w:val="32"/>
        </w:rPr>
      </w:pPr>
    </w:p>
    <w:p w14:paraId="3062730F">
      <w:pPr>
        <w:pStyle w:val="15"/>
        <w:jc w:val="center"/>
        <w:rPr>
          <w:rFonts w:ascii="Times New Roman" w:hAnsi="Times New Roman" w:cs="Times New Roman"/>
          <w:sz w:val="32"/>
          <w:szCs w:val="32"/>
        </w:rPr>
      </w:pPr>
    </w:p>
    <w:p w14:paraId="308A9F3E">
      <w:pPr>
        <w:pStyle w:val="15"/>
        <w:jc w:val="center"/>
        <w:rPr>
          <w:rFonts w:ascii="Times New Roman" w:hAnsi="Times New Roman" w:cs="Times New Roman"/>
          <w:sz w:val="32"/>
          <w:szCs w:val="32"/>
        </w:rPr>
      </w:pPr>
    </w:p>
    <w:p w14:paraId="3B39728E">
      <w:pPr>
        <w:pStyle w:val="15"/>
        <w:jc w:val="center"/>
        <w:rPr>
          <w:rFonts w:ascii="Times New Roman" w:hAnsi="Times New Roman" w:cs="Times New Roman"/>
          <w:sz w:val="32"/>
          <w:szCs w:val="32"/>
        </w:rPr>
      </w:pPr>
    </w:p>
    <w:p w14:paraId="6C28CFC3">
      <w:pPr>
        <w:pStyle w:val="15"/>
        <w:spacing w:line="600" w:lineRule="exact"/>
        <w:jc w:val="both"/>
        <w:rPr>
          <w:rFonts w:ascii="Times New Roman" w:hAnsi="Times New Roman" w:cs="Times New Roman"/>
          <w:b/>
          <w:sz w:val="36"/>
          <w:szCs w:val="28"/>
        </w:rPr>
      </w:pPr>
    </w:p>
    <w:p w14:paraId="61D91F17">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EEC467B">
      <w:pPr>
        <w:pStyle w:val="15"/>
        <w:spacing w:line="600" w:lineRule="exact"/>
        <w:jc w:val="center"/>
        <w:rPr>
          <w:rFonts w:ascii="Times New Roman" w:hAnsi="Times New Roman" w:cs="Times New Roman"/>
          <w:b/>
          <w:sz w:val="36"/>
          <w:szCs w:val="28"/>
        </w:rPr>
      </w:pPr>
    </w:p>
    <w:p w14:paraId="6B525BA9">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蓝山县文学艺术界联合会</w:t>
      </w:r>
      <w:r>
        <w:rPr>
          <w:rFonts w:ascii="Times New Roman" w:hAnsi="Times New Roman" w:cs="Times New Roman"/>
          <w:bCs/>
          <w:sz w:val="32"/>
          <w:szCs w:val="32"/>
        </w:rPr>
        <w:t>概况</w:t>
      </w:r>
    </w:p>
    <w:p w14:paraId="22E75BF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B03D24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7275882">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1B4CB1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088987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0201CF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F2D8C0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E1F8A1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68866E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F7268F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EBADC2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9B54E1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65C3E70">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500EE9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C91A28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5070A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9704D0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94E8CE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6887F9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93C2F2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4F2605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7E063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6EAA10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E5C9C4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D740FB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C4E475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A6DF0A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D0844EA">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6746AE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7AF2213">
      <w:pPr>
        <w:pStyle w:val="15"/>
        <w:spacing w:line="600" w:lineRule="exact"/>
        <w:rPr>
          <w:rFonts w:ascii="Times New Roman" w:hAnsi="Times New Roman" w:cs="Times New Roman"/>
          <w:bCs/>
          <w:sz w:val="28"/>
          <w:szCs w:val="28"/>
        </w:rPr>
      </w:pPr>
    </w:p>
    <w:p w14:paraId="752D3978">
      <w:pPr>
        <w:jc w:val="center"/>
        <w:rPr>
          <w:rFonts w:ascii="Times New Roman" w:hAnsi="Times New Roman" w:cs="Times New Roman"/>
          <w:sz w:val="72"/>
          <w:szCs w:val="72"/>
        </w:rPr>
      </w:pPr>
    </w:p>
    <w:p w14:paraId="57E09D81">
      <w:pPr>
        <w:jc w:val="center"/>
        <w:rPr>
          <w:rFonts w:ascii="Times New Roman" w:hAnsi="Times New Roman" w:cs="Times New Roman"/>
          <w:sz w:val="72"/>
          <w:szCs w:val="72"/>
        </w:rPr>
      </w:pPr>
    </w:p>
    <w:p w14:paraId="47C1EC96">
      <w:pPr>
        <w:jc w:val="center"/>
        <w:rPr>
          <w:rFonts w:ascii="Times New Roman" w:hAnsi="Times New Roman" w:cs="Times New Roman"/>
          <w:sz w:val="72"/>
          <w:szCs w:val="72"/>
        </w:rPr>
      </w:pPr>
    </w:p>
    <w:p w14:paraId="182F86AD">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08F10E7">
      <w:pPr>
        <w:rPr>
          <w:rFonts w:ascii="Times New Roman" w:hAnsi="Times New Roman" w:eastAsia="方正小标宋_GBK" w:cs="Times New Roman"/>
          <w:sz w:val="72"/>
          <w:szCs w:val="72"/>
        </w:rPr>
      </w:pPr>
    </w:p>
    <w:p w14:paraId="7F5633CD">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504FD2C">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蓝山县文学艺术界联合会</w:t>
      </w:r>
      <w:r>
        <w:rPr>
          <w:rFonts w:ascii="Times New Roman" w:hAnsi="Times New Roman" w:eastAsia="方正小标宋_GBK" w:cs="Times New Roman"/>
          <w:sz w:val="52"/>
          <w:szCs w:val="52"/>
        </w:rPr>
        <w:t>概况</w:t>
      </w:r>
    </w:p>
    <w:p w14:paraId="2B0E3BE8">
      <w:pPr>
        <w:pStyle w:val="5"/>
        <w:ind w:left="0" w:leftChars="0" w:firstLine="0" w:firstLineChars="0"/>
        <w:rPr>
          <w:rFonts w:ascii="Times New Roman" w:hAnsi="Times New Roman" w:cs="Times New Roman"/>
        </w:rPr>
      </w:pPr>
    </w:p>
    <w:p w14:paraId="039EE6D0">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7A0A492">
      <w:pPr>
        <w:widowControl/>
        <w:spacing w:line="600" w:lineRule="exact"/>
        <w:ind w:firstLine="640" w:firstLineChars="200"/>
        <w:rPr>
          <w:rFonts w:hint="eastAsia" w:ascii="楷体_GB2312" w:hAnsi="宋体" w:eastAsia="楷体_GB2312"/>
          <w:b/>
          <w:bCs/>
          <w:kern w:val="0"/>
          <w:sz w:val="32"/>
          <w:szCs w:val="32"/>
        </w:rPr>
      </w:pPr>
      <w:r>
        <w:rPr>
          <w:rFonts w:hint="eastAsia" w:ascii="仿宋_GB2312" w:hAnsi="Times New Roman" w:eastAsia="仿宋_GB2312" w:cs="Times New Roman"/>
          <w:b w:val="0"/>
          <w:bCs w:val="0"/>
          <w:kern w:val="2"/>
          <w:sz w:val="32"/>
          <w:szCs w:val="32"/>
          <w:lang w:eastAsia="zh-CN"/>
        </w:rPr>
        <w:t>县文联是县委、县人民政府联系全县广大文艺工作者的桥梁和纽带，负责联络、组织、协调和指导全县广大文艺工作者，积极从事文学艺术的创作、研究及其他相关活动，完成</w:t>
      </w:r>
      <w:r>
        <w:rPr>
          <w:rFonts w:hint="default" w:ascii="仿宋_GB2312" w:hAnsi="Times New Roman" w:eastAsia="仿宋_GB2312" w:cs="Times New Roman"/>
          <w:b w:val="0"/>
          <w:bCs w:val="0"/>
          <w:kern w:val="2"/>
          <w:sz w:val="32"/>
          <w:szCs w:val="32"/>
          <w:lang w:val="en-US" w:eastAsia="zh-CN"/>
        </w:rPr>
        <w:t>县委、县政府</w:t>
      </w:r>
      <w:r>
        <w:rPr>
          <w:rFonts w:hint="eastAsia" w:ascii="仿宋_GB2312" w:hAnsi="Times New Roman" w:eastAsia="仿宋_GB2312" w:cs="Times New Roman"/>
          <w:b w:val="0"/>
          <w:bCs w:val="0"/>
          <w:kern w:val="2"/>
          <w:sz w:val="32"/>
          <w:szCs w:val="32"/>
          <w:lang w:eastAsia="zh-CN"/>
        </w:rPr>
        <w:t>下达的各项任务，加强文艺创作交流活动。</w:t>
      </w:r>
    </w:p>
    <w:p w14:paraId="5DA2D3C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441479C">
      <w:pPr>
        <w:ind w:firstLine="643" w:firstLineChars="200"/>
        <w:jc w:val="left"/>
        <w:rPr>
          <w:rFonts w:ascii="Times New Roman" w:hAnsi="Times New Roman" w:eastAsia="仿宋_GB2312" w:cs="Times New Roman"/>
          <w:b/>
          <w:bCs w:val="0"/>
          <w:kern w:val="0"/>
          <w:sz w:val="32"/>
          <w:szCs w:val="32"/>
        </w:rPr>
      </w:pPr>
      <w:r>
        <w:rPr>
          <w:rFonts w:ascii="Times New Roman" w:hAnsi="Times New Roman" w:eastAsia="仿宋_GB2312" w:cs="Times New Roman"/>
          <w:b/>
          <w:bCs w:val="0"/>
          <w:kern w:val="0"/>
          <w:sz w:val="32"/>
          <w:szCs w:val="32"/>
        </w:rPr>
        <w:t>（一）内设机构设置。</w:t>
      </w:r>
    </w:p>
    <w:p w14:paraId="0137385F">
      <w:pPr>
        <w:ind w:firstLine="640" w:firstLineChars="200"/>
        <w:jc w:val="left"/>
        <w:rPr>
          <w:rFonts w:eastAsia="楷体_GB2312"/>
          <w:b/>
          <w:sz w:val="32"/>
          <w:szCs w:val="32"/>
        </w:rPr>
      </w:pPr>
      <w:r>
        <w:rPr>
          <w:rFonts w:hint="eastAsia" w:ascii="Times New Roman" w:hAnsi="Times New Roman" w:eastAsia="仿宋_GB2312" w:cs="Times New Roman"/>
          <w:i w:val="0"/>
          <w:iCs w:val="0"/>
          <w:caps w:val="0"/>
          <w:color w:val="auto"/>
          <w:spacing w:val="0"/>
          <w:sz w:val="32"/>
          <w:szCs w:val="32"/>
          <w:shd w:val="clear" w:color="auto" w:fill="auto"/>
          <w:lang w:eastAsia="zh-CN"/>
        </w:rPr>
        <w:t>蓝山县文学艺术界联合会</w:t>
      </w:r>
      <w:r>
        <w:rPr>
          <w:rFonts w:hint="eastAsia" w:ascii="Times New Roman" w:hAnsi="Times New Roman" w:eastAsia="仿宋_GB2312" w:cs="Times New Roman"/>
          <w:i w:val="0"/>
          <w:iCs w:val="0"/>
          <w:caps w:val="0"/>
          <w:color w:val="auto"/>
          <w:spacing w:val="0"/>
          <w:sz w:val="32"/>
          <w:szCs w:val="32"/>
          <w:shd w:val="clear" w:color="auto" w:fill="auto"/>
        </w:rPr>
        <w:t>行政编制人数</w:t>
      </w:r>
      <w:r>
        <w:rPr>
          <w:rFonts w:hint="eastAsia" w:eastAsia="仿宋_GB2312" w:cs="Times New Roman"/>
          <w:i w:val="0"/>
          <w:iCs w:val="0"/>
          <w:caps w:val="0"/>
          <w:color w:val="auto"/>
          <w:spacing w:val="0"/>
          <w:sz w:val="32"/>
          <w:szCs w:val="32"/>
          <w:shd w:val="clear" w:color="auto" w:fill="auto"/>
          <w:lang w:val="en-US" w:eastAsia="zh-CN"/>
        </w:rPr>
        <w:t>7</w:t>
      </w:r>
      <w:r>
        <w:rPr>
          <w:rFonts w:hint="eastAsia" w:ascii="Times New Roman" w:hAnsi="Times New Roman" w:eastAsia="仿宋_GB2312" w:cs="Times New Roman"/>
          <w:i w:val="0"/>
          <w:iCs w:val="0"/>
          <w:caps w:val="0"/>
          <w:color w:val="auto"/>
          <w:spacing w:val="0"/>
          <w:sz w:val="32"/>
          <w:szCs w:val="32"/>
          <w:shd w:val="clear" w:color="auto" w:fill="auto"/>
        </w:rPr>
        <w:t>人，实有人员</w:t>
      </w:r>
      <w:r>
        <w:rPr>
          <w:rFonts w:hint="eastAsia" w:eastAsia="仿宋_GB2312" w:cs="Times New Roman"/>
          <w:i w:val="0"/>
          <w:iCs w:val="0"/>
          <w:caps w:val="0"/>
          <w:color w:val="auto"/>
          <w:spacing w:val="0"/>
          <w:sz w:val="32"/>
          <w:szCs w:val="32"/>
          <w:shd w:val="clear" w:color="auto" w:fill="auto"/>
          <w:lang w:val="en-US" w:eastAsia="zh-CN"/>
        </w:rPr>
        <w:t>7</w:t>
      </w:r>
      <w:r>
        <w:rPr>
          <w:rFonts w:hint="eastAsia" w:ascii="Times New Roman" w:hAnsi="Times New Roman" w:eastAsia="仿宋_GB2312" w:cs="Times New Roman"/>
          <w:i w:val="0"/>
          <w:iCs w:val="0"/>
          <w:caps w:val="0"/>
          <w:color w:val="auto"/>
          <w:spacing w:val="0"/>
          <w:sz w:val="32"/>
          <w:szCs w:val="32"/>
          <w:shd w:val="clear" w:color="auto" w:fill="auto"/>
        </w:rPr>
        <w:t>人</w:t>
      </w:r>
      <w:r>
        <w:rPr>
          <w:rFonts w:hint="eastAsia" w:eastAsia="仿宋_GB2312" w:cs="Times New Roman"/>
          <w:i w:val="0"/>
          <w:iCs w:val="0"/>
          <w:caps w:val="0"/>
          <w:color w:val="auto"/>
          <w:spacing w:val="0"/>
          <w:sz w:val="32"/>
          <w:szCs w:val="32"/>
          <w:shd w:val="clear" w:color="auto" w:fill="auto"/>
          <w:lang w:eastAsia="zh-CN"/>
        </w:rPr>
        <w:t>。</w:t>
      </w:r>
      <w:r>
        <w:rPr>
          <w:rFonts w:hint="eastAsia" w:ascii="Times New Roman" w:hAnsi="Times New Roman" w:eastAsia="仿宋_GB2312" w:cs="Times New Roman"/>
          <w:i w:val="0"/>
          <w:iCs w:val="0"/>
          <w:caps w:val="0"/>
          <w:color w:val="auto"/>
          <w:spacing w:val="0"/>
          <w:sz w:val="32"/>
          <w:szCs w:val="32"/>
          <w:shd w:val="clear" w:color="auto" w:fill="auto"/>
        </w:rPr>
        <w:t>本单位设有文艺维权办，文艺创作指导办，办公室三个部门。</w:t>
      </w:r>
    </w:p>
    <w:p w14:paraId="49AA6479">
      <w:pPr>
        <w:numPr>
          <w:ilvl w:val="0"/>
          <w:numId w:val="1"/>
        </w:numPr>
        <w:ind w:firstLine="643" w:firstLineChars="200"/>
        <w:jc w:val="left"/>
        <w:rPr>
          <w:rFonts w:ascii="Times New Roman" w:hAnsi="Times New Roman" w:eastAsia="仿宋_GB2312" w:cs="Times New Roman"/>
          <w:b/>
          <w:bCs w:val="0"/>
          <w:kern w:val="0"/>
          <w:sz w:val="32"/>
          <w:szCs w:val="32"/>
        </w:rPr>
      </w:pPr>
      <w:r>
        <w:rPr>
          <w:rFonts w:ascii="Times New Roman" w:hAnsi="Times New Roman" w:eastAsia="仿宋_GB2312" w:cs="Times New Roman"/>
          <w:b/>
          <w:bCs w:val="0"/>
          <w:kern w:val="0"/>
          <w:sz w:val="32"/>
          <w:szCs w:val="32"/>
        </w:rPr>
        <w:t>决算单位构成。</w:t>
      </w:r>
    </w:p>
    <w:p w14:paraId="30BC6F0F">
      <w:pPr>
        <w:numPr>
          <w:ilvl w:val="0"/>
          <w:numId w:val="0"/>
        </w:numPr>
        <w:ind w:firstLine="640" w:firstLineChars="200"/>
        <w:jc w:val="left"/>
        <w:rPr>
          <w:rFonts w:ascii="Times New Roman" w:hAnsi="Times New Roman" w:eastAsia="黑体" w:cs="Times New Roman"/>
          <w:sz w:val="28"/>
          <w:szCs w:val="28"/>
        </w:rPr>
      </w:pPr>
      <w:r>
        <w:rPr>
          <w:rFonts w:hint="eastAsia" w:eastAsia="仿宋_GB2312"/>
          <w:sz w:val="32"/>
          <w:szCs w:val="32"/>
        </w:rPr>
        <w:t>蓝山县</w:t>
      </w:r>
      <w:r>
        <w:rPr>
          <w:rFonts w:hint="eastAsia" w:eastAsia="仿宋_GB2312"/>
          <w:sz w:val="32"/>
          <w:szCs w:val="32"/>
          <w:lang w:eastAsia="zh-CN"/>
        </w:rPr>
        <w:t>文学艺术界联合会</w:t>
      </w:r>
      <w:r>
        <w:rPr>
          <w:rFonts w:hint="eastAsia" w:eastAsia="仿宋_GB2312"/>
          <w:bCs/>
          <w:kern w:val="0"/>
          <w:sz w:val="32"/>
          <w:szCs w:val="32"/>
          <w:lang w:eastAsia="zh-CN"/>
        </w:rPr>
        <w:t>2023年</w:t>
      </w:r>
      <w:r>
        <w:rPr>
          <w:rFonts w:eastAsia="仿宋_GB2312"/>
          <w:bCs/>
          <w:kern w:val="0"/>
          <w:sz w:val="32"/>
          <w:szCs w:val="32"/>
        </w:rPr>
        <w:t>部门决算汇总公开单位构成包括：</w:t>
      </w:r>
      <w:r>
        <w:rPr>
          <w:rFonts w:hint="eastAsia" w:eastAsia="仿宋_GB2312"/>
          <w:bCs/>
          <w:kern w:val="0"/>
          <w:sz w:val="32"/>
          <w:szCs w:val="32"/>
        </w:rPr>
        <w:t>蓝山县</w:t>
      </w:r>
      <w:r>
        <w:rPr>
          <w:rFonts w:hint="eastAsia" w:eastAsia="仿宋_GB2312"/>
          <w:bCs/>
          <w:kern w:val="0"/>
          <w:sz w:val="32"/>
          <w:szCs w:val="32"/>
          <w:lang w:eastAsia="zh-CN"/>
        </w:rPr>
        <w:t>文学艺术界联合会</w:t>
      </w:r>
      <w:r>
        <w:rPr>
          <w:rFonts w:eastAsia="仿宋_GB2312"/>
          <w:bCs/>
          <w:kern w:val="0"/>
          <w:sz w:val="32"/>
          <w:szCs w:val="32"/>
        </w:rPr>
        <w:t>本级</w:t>
      </w:r>
      <w:r>
        <w:rPr>
          <w:rFonts w:hint="eastAsia" w:eastAsia="仿宋_GB2312"/>
          <w:bCs/>
          <w:kern w:val="0"/>
          <w:sz w:val="32"/>
          <w:szCs w:val="32"/>
          <w:lang w:eastAsia="zh-CN"/>
        </w:rPr>
        <w:t>，</w:t>
      </w:r>
      <w:r>
        <w:rPr>
          <w:rFonts w:hint="eastAsia" w:eastAsia="仿宋_GB2312"/>
          <w:bCs/>
          <w:kern w:val="0"/>
          <w:sz w:val="32"/>
          <w:szCs w:val="32"/>
        </w:rPr>
        <w:t>我局无独立核算的二级机构。</w:t>
      </w:r>
    </w:p>
    <w:p w14:paraId="2DACBECD">
      <w:pPr>
        <w:jc w:val="center"/>
        <w:rPr>
          <w:rFonts w:ascii="Times New Roman" w:hAnsi="Times New Roman" w:eastAsia="黑体" w:cs="Times New Roman"/>
          <w:sz w:val="28"/>
          <w:szCs w:val="28"/>
        </w:rPr>
      </w:pPr>
    </w:p>
    <w:p w14:paraId="4F1954D0">
      <w:pPr>
        <w:jc w:val="center"/>
        <w:rPr>
          <w:rFonts w:ascii="Times New Roman" w:hAnsi="Times New Roman" w:eastAsia="黑体" w:cs="Times New Roman"/>
          <w:sz w:val="28"/>
          <w:szCs w:val="28"/>
        </w:rPr>
      </w:pPr>
    </w:p>
    <w:p w14:paraId="31F49F2D">
      <w:pPr>
        <w:jc w:val="center"/>
        <w:rPr>
          <w:rFonts w:ascii="Times New Roman" w:hAnsi="Times New Roman" w:eastAsia="黑体" w:cs="Times New Roman"/>
          <w:sz w:val="28"/>
          <w:szCs w:val="28"/>
        </w:rPr>
      </w:pPr>
    </w:p>
    <w:p w14:paraId="6582D50E">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57D742D">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2AD9E7B">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5606C15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088C5B1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669"/>
        <w:gridCol w:w="836"/>
        <w:gridCol w:w="1271"/>
        <w:gridCol w:w="4851"/>
        <w:gridCol w:w="836"/>
        <w:gridCol w:w="1433"/>
      </w:tblGrid>
      <w:tr w14:paraId="334C333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B2E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913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3DEFF75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D92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EEC9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A2C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853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A372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56E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538374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22B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BBBB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AFC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AF9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BE7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483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919FE9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E1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CFD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CF6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136.36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542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C33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628D">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1.45</w:t>
            </w:r>
          </w:p>
          <w:p w14:paraId="2549FC4B">
            <w:pPr>
              <w:pStyle w:val="2"/>
              <w:rPr>
                <w:rFonts w:hint="default"/>
                <w:lang w:val="en-US" w:eastAsia="zh-CN"/>
              </w:rPr>
            </w:pPr>
          </w:p>
        </w:tc>
      </w:tr>
      <w:tr w14:paraId="31CED73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3A9A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E69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7D9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895A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F8F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52A6">
            <w:pPr>
              <w:jc w:val="right"/>
              <w:rPr>
                <w:rFonts w:ascii="Times New Roman" w:hAnsi="Times New Roman" w:eastAsia="仿宋_GB2312" w:cs="Times New Roman"/>
                <w:color w:val="000000"/>
                <w:sz w:val="22"/>
              </w:rPr>
            </w:pPr>
          </w:p>
        </w:tc>
      </w:tr>
      <w:tr w14:paraId="2CAB9F3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EAE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C03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A42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8679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2B0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2810">
            <w:pPr>
              <w:jc w:val="right"/>
              <w:rPr>
                <w:rFonts w:ascii="Times New Roman" w:hAnsi="Times New Roman" w:eastAsia="仿宋_GB2312" w:cs="Times New Roman"/>
                <w:color w:val="000000"/>
                <w:sz w:val="22"/>
              </w:rPr>
            </w:pPr>
          </w:p>
        </w:tc>
      </w:tr>
      <w:tr w14:paraId="4E10BA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77D1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715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768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AB6A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D83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B367">
            <w:pPr>
              <w:jc w:val="right"/>
              <w:rPr>
                <w:rFonts w:ascii="Times New Roman" w:hAnsi="Times New Roman" w:eastAsia="仿宋_GB2312" w:cs="Times New Roman"/>
                <w:color w:val="000000"/>
                <w:sz w:val="22"/>
              </w:rPr>
            </w:pPr>
          </w:p>
        </w:tc>
      </w:tr>
      <w:tr w14:paraId="02C1991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3BF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33E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609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9E5C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ECF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2CD1">
            <w:pPr>
              <w:jc w:val="right"/>
              <w:rPr>
                <w:rFonts w:ascii="Times New Roman" w:hAnsi="Times New Roman" w:eastAsia="仿宋_GB2312" w:cs="Times New Roman"/>
                <w:color w:val="000000"/>
                <w:sz w:val="22"/>
              </w:rPr>
            </w:pPr>
          </w:p>
        </w:tc>
      </w:tr>
      <w:tr w14:paraId="6A01C56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98DD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667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C35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8EDE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50B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8973">
            <w:pPr>
              <w:jc w:val="right"/>
              <w:rPr>
                <w:rFonts w:ascii="Times New Roman" w:hAnsi="Times New Roman" w:eastAsia="仿宋_GB2312" w:cs="Times New Roman"/>
                <w:color w:val="000000"/>
                <w:sz w:val="22"/>
              </w:rPr>
            </w:pPr>
          </w:p>
        </w:tc>
      </w:tr>
      <w:tr w14:paraId="7957219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5098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8F2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7AF6">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C6DB">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七、</w:t>
            </w:r>
            <w:r>
              <w:rPr>
                <w:rFonts w:hint="eastAsia" w:eastAsia="仿宋_GB2312"/>
                <w:kern w:val="0"/>
                <w:szCs w:val="21"/>
                <w:lang w:val="en-US" w:eastAsia="zh-CN"/>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7298">
            <w:pPr>
              <w:widowControl/>
              <w:jc w:val="center"/>
              <w:rPr>
                <w:rFonts w:eastAsia="仿宋_GB2312" w:asciiTheme="minorHAnsi" w:hAnsiTheme="minorHAnsi" w:cstheme="minorBidi"/>
                <w:kern w:val="0"/>
                <w:sz w:val="21"/>
                <w:szCs w:val="21"/>
                <w:lang w:val="en-US" w:eastAsia="zh-CN" w:bidi="ar-SA"/>
              </w:rPr>
            </w:pPr>
            <w:r>
              <w:rPr>
                <w:rFonts w:eastAsia="仿宋_GB2312"/>
                <w:kern w:val="0"/>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49C6">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123.26</w:t>
            </w:r>
          </w:p>
        </w:tc>
      </w:tr>
      <w:tr w14:paraId="46D48CB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225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79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376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195F">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八</w:t>
            </w:r>
            <w:r>
              <w:rPr>
                <w:rFonts w:hint="eastAsia" w:eastAsia="仿宋_GB2312"/>
                <w:kern w:val="0"/>
                <w:szCs w:val="21"/>
              </w:rPr>
              <w:t>、</w:t>
            </w:r>
            <w:r>
              <w:rPr>
                <w:rFonts w:hint="eastAsia" w:eastAsia="仿宋_GB2312"/>
                <w:kern w:val="0"/>
                <w:szCs w:val="21"/>
                <w:lang w:val="en-US" w:eastAsia="zh-CN"/>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CECD">
            <w:pPr>
              <w:widowControl/>
              <w:jc w:val="center"/>
              <w:rPr>
                <w:rFonts w:hint="eastAsia" w:ascii="Times New Roman" w:hAnsi="Times New Roman" w:eastAsia="仿宋_GB2312" w:cs="Times New Roman"/>
                <w:kern w:val="0"/>
                <w:sz w:val="21"/>
                <w:szCs w:val="21"/>
                <w:lang w:val="en-US" w:eastAsia="zh-CN" w:bidi="ar-SA"/>
              </w:rPr>
            </w:pPr>
            <w:r>
              <w:rPr>
                <w:rFonts w:eastAsia="仿宋_GB2312"/>
                <w:kern w:val="0"/>
                <w:szCs w:val="21"/>
              </w:rPr>
              <w:t>2</w:t>
            </w:r>
            <w:r>
              <w:rPr>
                <w:rFonts w:hint="eastAsia" w:eastAsia="仿宋_GB2312"/>
                <w:kern w:val="0"/>
                <w:szCs w:val="21"/>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12B6">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9.34</w:t>
            </w:r>
          </w:p>
          <w:p w14:paraId="7CD7142A">
            <w:pPr>
              <w:pStyle w:val="2"/>
              <w:rPr>
                <w:rFonts w:hint="default"/>
                <w:lang w:val="en-US" w:eastAsia="zh-CN"/>
              </w:rPr>
            </w:pPr>
          </w:p>
        </w:tc>
      </w:tr>
      <w:tr w14:paraId="3C2A96C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87691">
            <w:pPr>
              <w:widowControl/>
              <w:jc w:val="left"/>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DFD78">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1BDF">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9368">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116E">
            <w:pPr>
              <w:widowControl/>
              <w:jc w:val="center"/>
              <w:rPr>
                <w:rFonts w:ascii="Times New Roman" w:hAnsi="Times New Roman" w:eastAsia="仿宋_GB2312" w:cs="Times New Roman"/>
                <w:kern w:val="0"/>
                <w:sz w:val="21"/>
                <w:szCs w:val="21"/>
                <w:lang w:val="en-US" w:eastAsia="zh-CN" w:bidi="ar-SA"/>
              </w:rPr>
            </w:pPr>
            <w:r>
              <w:rPr>
                <w:rFonts w:eastAsia="仿宋_GB2312"/>
                <w:kern w:val="0"/>
                <w:szCs w:val="21"/>
              </w:rPr>
              <w:t>2</w:t>
            </w:r>
            <w:r>
              <w:rPr>
                <w:rFonts w:hint="eastAsia" w:eastAsia="仿宋_GB2312"/>
                <w:kern w:val="0"/>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CE01">
            <w:pPr>
              <w:widowControl/>
              <w:ind w:firstLine="420" w:firstLineChars="200"/>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2 .31</w:t>
            </w:r>
          </w:p>
        </w:tc>
      </w:tr>
      <w:tr w14:paraId="20E3A2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CDC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66D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801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CCC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336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D62A">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136.36</w:t>
            </w:r>
          </w:p>
        </w:tc>
      </w:tr>
      <w:tr w14:paraId="491166D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1EE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080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A20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889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AD8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D92F">
            <w:pPr>
              <w:rPr>
                <w:rFonts w:ascii="Times New Roman" w:hAnsi="Times New Roman" w:eastAsia="仿宋_GB2312" w:cs="Times New Roman"/>
                <w:color w:val="000000"/>
                <w:sz w:val="22"/>
              </w:rPr>
            </w:pPr>
          </w:p>
        </w:tc>
      </w:tr>
      <w:tr w14:paraId="1846107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C30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F18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55F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691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E0E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5777">
            <w:pPr>
              <w:rPr>
                <w:rFonts w:ascii="Times New Roman" w:hAnsi="Times New Roman" w:eastAsia="仿宋_GB2312" w:cs="Times New Roman"/>
                <w:color w:val="000000"/>
                <w:sz w:val="22"/>
              </w:rPr>
            </w:pPr>
          </w:p>
        </w:tc>
      </w:tr>
      <w:tr w14:paraId="0B408EE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FE73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231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DA1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136.36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1B05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130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A99E">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136.36</w:t>
            </w:r>
          </w:p>
        </w:tc>
      </w:tr>
    </w:tbl>
    <w:p w14:paraId="03FF6894">
      <w:pPr>
        <w:widowControl/>
        <w:jc w:val="left"/>
        <w:textAlignment w:val="center"/>
        <w:rPr>
          <w:rFonts w:ascii="Times New Roman" w:hAnsi="Times New Roman" w:eastAsia="宋体" w:cs="Times New Roman"/>
          <w:color w:val="000000"/>
          <w:kern w:val="0"/>
          <w:sz w:val="24"/>
          <w:szCs w:val="24"/>
        </w:rPr>
      </w:pPr>
    </w:p>
    <w:p w14:paraId="35D4AA0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34759DA3">
      <w:pPr>
        <w:rPr>
          <w:rFonts w:ascii="Times New Roman" w:hAnsi="Times New Roman" w:eastAsia="华文中宋" w:cs="Times New Roman"/>
          <w:color w:val="000000"/>
          <w:sz w:val="32"/>
          <w:szCs w:val="32"/>
        </w:rPr>
      </w:pPr>
      <w:r>
        <w:br w:type="page"/>
      </w:r>
    </w:p>
    <w:p w14:paraId="37AD9CF6">
      <w:pPr>
        <w:widowControl/>
        <w:spacing w:line="400" w:lineRule="exact"/>
        <w:jc w:val="center"/>
        <w:textAlignment w:val="center"/>
        <w:rPr>
          <w:rFonts w:ascii="Times New Roman" w:hAnsi="Times New Roman" w:eastAsia="黑体" w:cs="Times New Roman"/>
          <w:color w:val="000000"/>
          <w:kern w:val="0"/>
          <w:sz w:val="32"/>
          <w:szCs w:val="32"/>
        </w:rPr>
      </w:pPr>
    </w:p>
    <w:p w14:paraId="0B96EFA8">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1269CAA8">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FC2AC45">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4A73CE5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7F5B3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CBE24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4B4A1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9DDA0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17ED9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192BC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A77AF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A8E43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217F60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72AC8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FF588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8AF351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EF43D2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E51A13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EA4D94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3F37AB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9D0CFF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0FC36C4">
            <w:pPr>
              <w:rPr>
                <w:rFonts w:ascii="Times New Roman" w:hAnsi="Times New Roman" w:eastAsia="仿宋_GB2312" w:cs="Times New Roman"/>
                <w:sz w:val="24"/>
                <w:szCs w:val="24"/>
              </w:rPr>
            </w:pPr>
          </w:p>
        </w:tc>
      </w:tr>
      <w:tr w14:paraId="0BBDE576">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95D6A82">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7797C3A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AE95F2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8A7A41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8FF007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BA5880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EA8EC7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560DC6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F87C1A0">
            <w:pPr>
              <w:rPr>
                <w:rFonts w:ascii="Times New Roman" w:hAnsi="Times New Roman" w:eastAsia="仿宋_GB2312" w:cs="Times New Roman"/>
                <w:sz w:val="24"/>
                <w:szCs w:val="24"/>
              </w:rPr>
            </w:pPr>
          </w:p>
        </w:tc>
      </w:tr>
      <w:tr w14:paraId="02BEEAA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6B2670">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80E14">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0EB5D2">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10C175">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4EE13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13D3A2">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9DDBE">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0370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6B4D190">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7DB2A">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1853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CDB0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2C7B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F92D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9B9B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ED5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D4A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4C2609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F4D88A">
            <w:pPr>
              <w:jc w:val="both"/>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rPr>
              <w:t>20</w:t>
            </w:r>
            <w:r>
              <w:rPr>
                <w:rFonts w:hint="eastAsia" w:ascii="仿宋" w:hAnsi="仿宋" w:eastAsia="仿宋" w:cs="仿宋"/>
                <w:i w:val="0"/>
                <w:color w:val="000000"/>
                <w:sz w:val="21"/>
                <w:szCs w:val="21"/>
                <w:u w:val="none"/>
                <w:lang w:val="en-US" w:eastAsia="zh-CN"/>
              </w:rPr>
              <w:t>7</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D0D19">
            <w:pPr>
              <w:jc w:val="left"/>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文化旅游体育和传媒支出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2991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F2F1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1C03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AA2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DD03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14B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BDD2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294E1B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8B152D">
            <w:pPr>
              <w:jc w:val="both"/>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20701</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1C7E8">
            <w:pPr>
              <w:jc w:val="left"/>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文化和旅游</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FDC0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3606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F32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D45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572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CCE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BB11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9B3DB2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8E5EF7">
            <w:pPr>
              <w:jc w:val="both"/>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2070109</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EE561">
            <w:pPr>
              <w:jc w:val="left"/>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群众文化</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13A4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F56CB">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469C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C21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CF1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AE38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788C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4D5CA2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8FB3F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BDD16E">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20A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9991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DC4A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3BE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5913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7F3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8124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874FE7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514F2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D5FD33">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5C30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19C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FEF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3A48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024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BFF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9A50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665BCE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DD59B4">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60E39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FE76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48D4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4651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12B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78B5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DF3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44BA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668742B6">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C3C7A5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2714431E">
      <w:pPr>
        <w:widowControl/>
        <w:jc w:val="center"/>
        <w:textAlignment w:val="center"/>
        <w:rPr>
          <w:rFonts w:ascii="Times New Roman" w:hAnsi="Times New Roman" w:eastAsia="黑体" w:cs="Times New Roman"/>
          <w:color w:val="000000"/>
          <w:kern w:val="0"/>
          <w:sz w:val="32"/>
          <w:szCs w:val="32"/>
        </w:rPr>
      </w:pPr>
    </w:p>
    <w:p w14:paraId="61D2C1F7">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6E327D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FFFD37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7" w:type="pct"/>
        <w:jc w:val="center"/>
        <w:tblLayout w:type="autofit"/>
        <w:tblCellMar>
          <w:top w:w="0" w:type="dxa"/>
          <w:left w:w="108" w:type="dxa"/>
          <w:bottom w:w="0" w:type="dxa"/>
          <w:right w:w="108" w:type="dxa"/>
        </w:tblCellMar>
      </w:tblPr>
      <w:tblGrid>
        <w:gridCol w:w="2256"/>
        <w:gridCol w:w="2526"/>
        <w:gridCol w:w="1707"/>
        <w:gridCol w:w="1164"/>
        <w:gridCol w:w="1161"/>
        <w:gridCol w:w="1705"/>
        <w:gridCol w:w="1162"/>
        <w:gridCol w:w="2530"/>
      </w:tblGrid>
      <w:tr w14:paraId="7C983A9C">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5879B8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6D31A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7F842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E00AF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DF9E8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99A71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3E40F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A5F3C30">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8C4F9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01CC752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B1D4A40">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203DAC3">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25DC3DF1">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0D5E6785">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3D89D7B1">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688BA02A">
            <w:pPr>
              <w:widowControl/>
              <w:jc w:val="left"/>
              <w:rPr>
                <w:rFonts w:ascii="Times New Roman" w:hAnsi="Times New Roman" w:eastAsia="仿宋_GB2312" w:cs="Times New Roman"/>
                <w:b/>
                <w:bCs/>
                <w:kern w:val="0"/>
                <w:sz w:val="24"/>
                <w:szCs w:val="24"/>
              </w:rPr>
            </w:pPr>
          </w:p>
        </w:tc>
      </w:tr>
      <w:tr w14:paraId="3711721F">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61CB0375">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4CC0E16D">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3D19872">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5FC1C9A">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598FEA0A">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600845DD">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2D3A507F">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4C4C5052">
            <w:pPr>
              <w:widowControl/>
              <w:jc w:val="left"/>
              <w:rPr>
                <w:rFonts w:ascii="Times New Roman" w:hAnsi="Times New Roman" w:eastAsia="仿宋_GB2312" w:cs="Times New Roman"/>
                <w:kern w:val="0"/>
                <w:sz w:val="24"/>
                <w:szCs w:val="24"/>
              </w:rPr>
            </w:pPr>
          </w:p>
        </w:tc>
      </w:tr>
      <w:tr w14:paraId="1AA2C458">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99F93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1A0149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237E43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26C37D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69955B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07E692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0D12CC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380FA12">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4F8F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3930A42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136.36</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DD71F8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136.36</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07E013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068EA8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DB4B01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95B68E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C920BB1">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23143">
            <w:pPr>
              <w:jc w:val="both"/>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rPr>
              <w:t>20</w:t>
            </w:r>
            <w:r>
              <w:rPr>
                <w:rFonts w:hint="eastAsia" w:ascii="仿宋" w:hAnsi="仿宋" w:eastAsia="仿宋" w:cs="仿宋"/>
                <w:i w:val="0"/>
                <w:color w:val="000000"/>
                <w:sz w:val="21"/>
                <w:szCs w:val="21"/>
                <w:u w:val="none"/>
                <w:lang w:val="en-US" w:eastAsia="zh-CN"/>
              </w:rPr>
              <w:t>7</w:t>
            </w:r>
          </w:p>
        </w:tc>
        <w:tc>
          <w:tcPr>
            <w:tcW w:w="470" w:type="pct"/>
            <w:tcBorders>
              <w:top w:val="nil"/>
              <w:left w:val="nil"/>
              <w:bottom w:val="single" w:color="auto" w:sz="4" w:space="0"/>
              <w:right w:val="single" w:color="auto" w:sz="4" w:space="0"/>
            </w:tcBorders>
            <w:shd w:val="clear" w:color="auto" w:fill="auto"/>
            <w:noWrap/>
            <w:vAlign w:val="center"/>
          </w:tcPr>
          <w:p w14:paraId="0F713338">
            <w:pPr>
              <w:jc w:val="left"/>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文化旅游体育和传媒支出</w:t>
            </w:r>
          </w:p>
        </w:tc>
        <w:tc>
          <w:tcPr>
            <w:tcW w:w="660" w:type="pct"/>
            <w:tcBorders>
              <w:top w:val="nil"/>
              <w:left w:val="nil"/>
              <w:bottom w:val="single" w:color="auto" w:sz="4" w:space="0"/>
              <w:right w:val="single" w:color="auto" w:sz="4" w:space="0"/>
            </w:tcBorders>
            <w:shd w:val="clear" w:color="auto" w:fill="auto"/>
            <w:noWrap/>
            <w:vAlign w:val="center"/>
          </w:tcPr>
          <w:p w14:paraId="629D8B9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2B945A7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5B2C30F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2CAB019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AD1485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56779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BD98C1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63EBE4">
            <w:pPr>
              <w:jc w:val="both"/>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20701</w:t>
            </w:r>
          </w:p>
        </w:tc>
        <w:tc>
          <w:tcPr>
            <w:tcW w:w="470" w:type="pct"/>
            <w:tcBorders>
              <w:top w:val="nil"/>
              <w:left w:val="nil"/>
              <w:bottom w:val="single" w:color="auto" w:sz="4" w:space="0"/>
              <w:right w:val="single" w:color="auto" w:sz="4" w:space="0"/>
            </w:tcBorders>
            <w:shd w:val="clear" w:color="auto" w:fill="auto"/>
            <w:noWrap/>
            <w:vAlign w:val="center"/>
          </w:tcPr>
          <w:p w14:paraId="0196533A">
            <w:pPr>
              <w:jc w:val="left"/>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文化和旅游</w:t>
            </w:r>
          </w:p>
        </w:tc>
        <w:tc>
          <w:tcPr>
            <w:tcW w:w="660" w:type="pct"/>
            <w:tcBorders>
              <w:top w:val="nil"/>
              <w:left w:val="nil"/>
              <w:bottom w:val="single" w:color="auto" w:sz="4" w:space="0"/>
              <w:right w:val="single" w:color="auto" w:sz="4" w:space="0"/>
            </w:tcBorders>
            <w:shd w:val="clear" w:color="auto" w:fill="auto"/>
            <w:noWrap/>
            <w:vAlign w:val="center"/>
          </w:tcPr>
          <w:p w14:paraId="46DDB8B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21ABF4F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543E59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31FDDB7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2D17A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7ABE48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075AB8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46761">
            <w:pPr>
              <w:jc w:val="both"/>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2070109</w:t>
            </w:r>
          </w:p>
        </w:tc>
        <w:tc>
          <w:tcPr>
            <w:tcW w:w="470" w:type="pct"/>
            <w:tcBorders>
              <w:top w:val="nil"/>
              <w:left w:val="nil"/>
              <w:bottom w:val="single" w:color="auto" w:sz="4" w:space="0"/>
              <w:right w:val="single" w:color="auto" w:sz="4" w:space="0"/>
            </w:tcBorders>
            <w:shd w:val="clear" w:color="auto" w:fill="auto"/>
            <w:noWrap/>
            <w:vAlign w:val="center"/>
          </w:tcPr>
          <w:p w14:paraId="147FBB92">
            <w:pPr>
              <w:jc w:val="left"/>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群众文化</w:t>
            </w:r>
          </w:p>
        </w:tc>
        <w:tc>
          <w:tcPr>
            <w:tcW w:w="660" w:type="pct"/>
            <w:tcBorders>
              <w:top w:val="nil"/>
              <w:left w:val="nil"/>
              <w:bottom w:val="single" w:color="auto" w:sz="4" w:space="0"/>
              <w:right w:val="single" w:color="auto" w:sz="4" w:space="0"/>
            </w:tcBorders>
            <w:shd w:val="clear" w:color="auto" w:fill="auto"/>
            <w:noWrap/>
            <w:vAlign w:val="center"/>
          </w:tcPr>
          <w:p w14:paraId="30E2DF5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05C25957">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634D8A8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5AF6F1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20945D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7F378B1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34ED41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65C05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4D34F5C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8FC2B8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43AFB1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D67B6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DDA9C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3D183B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C9A428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B220D8A">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32AEE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7B30432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EBB548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E50F7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4AF30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7A6215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198C5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EF6AAF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F11E027">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487C3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61C45CC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1175BE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1EA1D9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3D5168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28BA6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BB4993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F0DBAC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52015815">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3CEE7D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1EF5758">
      <w:pPr>
        <w:widowControl/>
        <w:spacing w:line="400" w:lineRule="exact"/>
        <w:jc w:val="center"/>
        <w:textAlignment w:val="center"/>
        <w:rPr>
          <w:rFonts w:ascii="Times New Roman" w:hAnsi="Times New Roman" w:eastAsia="黑体" w:cs="Times New Roman"/>
          <w:color w:val="000000"/>
          <w:kern w:val="0"/>
          <w:sz w:val="32"/>
          <w:szCs w:val="32"/>
        </w:rPr>
      </w:pPr>
    </w:p>
    <w:p w14:paraId="6E583F17">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10D72CB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5B547C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821"/>
        <w:gridCol w:w="2946"/>
        <w:gridCol w:w="616"/>
        <w:gridCol w:w="1056"/>
        <w:gridCol w:w="1690"/>
        <w:gridCol w:w="1431"/>
        <w:gridCol w:w="1528"/>
      </w:tblGrid>
      <w:tr w14:paraId="7D006BDC">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2ADE8D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76D8BD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DE26C16">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E020CF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5E2641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1EFF8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63B64E0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1F08E2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A47BF6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69B6DE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64274CD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3261D7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2E128E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E5D8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A6362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5CACA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3B561C0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AD718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5D9EF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1C142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34677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EB2736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62D187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AF169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176CD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452D6C3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136.36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77243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6034C0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67536FA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7387E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28C8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49275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6FB5D4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322A1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EC0BE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65CBF8B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3346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0ADAE6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4E272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1A96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67EF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CF8BA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C52F3B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B0370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79DE4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40318D4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BB7CD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484EE8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34E9FA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B3B0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5251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F28AA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F9134F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ECF65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F770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28F60C2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B4A21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6AD8A3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229B5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CF1F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EA8F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E0433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FB74E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F32D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42E7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6D38A1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86A61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2A0E1C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7D02B7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5135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0959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D23A5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437C18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38D872">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D5B056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F7CA382">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220913A">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七、</w:t>
            </w:r>
            <w:r>
              <w:rPr>
                <w:rFonts w:hint="eastAsia" w:eastAsia="仿宋_GB2312"/>
                <w:kern w:val="0"/>
                <w:szCs w:val="21"/>
                <w:lang w:val="en-US" w:eastAsia="zh-CN"/>
              </w:rPr>
              <w:t>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07745E81">
            <w:pPr>
              <w:widowControl/>
              <w:jc w:val="center"/>
              <w:rPr>
                <w:rFonts w:eastAsia="仿宋_GB2312" w:asciiTheme="minorHAnsi" w:hAnsiTheme="minorHAnsi" w:cstheme="minorBidi"/>
                <w:kern w:val="0"/>
                <w:sz w:val="21"/>
                <w:szCs w:val="21"/>
                <w:lang w:val="en-US" w:eastAsia="zh-CN" w:bidi="ar-SA"/>
              </w:rPr>
            </w:pPr>
            <w:r>
              <w:rPr>
                <w:rFonts w:eastAsia="仿宋_GB2312"/>
                <w:kern w:val="0"/>
                <w:szCs w:val="21"/>
              </w:rPr>
              <w:t>20</w:t>
            </w:r>
          </w:p>
        </w:tc>
        <w:tc>
          <w:tcPr>
            <w:tcW w:w="0" w:type="auto"/>
            <w:tcBorders>
              <w:top w:val="nil"/>
              <w:left w:val="nil"/>
              <w:bottom w:val="single" w:color="auto" w:sz="4" w:space="0"/>
              <w:right w:val="single" w:color="auto" w:sz="4" w:space="0"/>
            </w:tcBorders>
            <w:shd w:val="clear" w:color="auto" w:fill="auto"/>
            <w:noWrap/>
            <w:vAlign w:val="center"/>
          </w:tcPr>
          <w:p w14:paraId="595D8AD9">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123.26</w:t>
            </w:r>
          </w:p>
        </w:tc>
        <w:tc>
          <w:tcPr>
            <w:tcW w:w="0" w:type="auto"/>
            <w:tcBorders>
              <w:top w:val="nil"/>
              <w:left w:val="nil"/>
              <w:bottom w:val="single" w:color="auto" w:sz="4" w:space="0"/>
              <w:right w:val="single" w:color="auto" w:sz="4" w:space="0"/>
            </w:tcBorders>
            <w:shd w:val="clear" w:color="auto" w:fill="auto"/>
            <w:noWrap/>
            <w:vAlign w:val="center"/>
          </w:tcPr>
          <w:p w14:paraId="4F592C27">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123.26</w:t>
            </w:r>
          </w:p>
        </w:tc>
        <w:tc>
          <w:tcPr>
            <w:tcW w:w="0" w:type="auto"/>
            <w:tcBorders>
              <w:top w:val="nil"/>
              <w:left w:val="nil"/>
              <w:bottom w:val="single" w:color="auto" w:sz="4" w:space="0"/>
              <w:right w:val="single" w:color="auto" w:sz="4" w:space="0"/>
            </w:tcBorders>
            <w:shd w:val="clear" w:color="auto" w:fill="auto"/>
            <w:noWrap/>
            <w:vAlign w:val="center"/>
          </w:tcPr>
          <w:p w14:paraId="0DE49D1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0769C87">
            <w:pPr>
              <w:widowControl/>
              <w:jc w:val="right"/>
              <w:rPr>
                <w:rFonts w:ascii="Times New Roman" w:hAnsi="Times New Roman" w:eastAsia="仿宋_GB2312" w:cs="Times New Roman"/>
                <w:kern w:val="0"/>
                <w:sz w:val="22"/>
              </w:rPr>
            </w:pPr>
          </w:p>
        </w:tc>
      </w:tr>
      <w:tr w14:paraId="056C5501">
        <w:tblPrEx>
          <w:tblCellMar>
            <w:top w:w="0" w:type="dxa"/>
            <w:left w:w="108" w:type="dxa"/>
            <w:bottom w:w="0" w:type="dxa"/>
            <w:right w:w="108" w:type="dxa"/>
          </w:tblCellMar>
        </w:tblPrEx>
        <w:trPr>
          <w:trHeight w:val="5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0F11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B962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05DCD49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7523A7">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八</w:t>
            </w:r>
            <w:r>
              <w:rPr>
                <w:rFonts w:hint="eastAsia" w:eastAsia="仿宋_GB2312"/>
                <w:kern w:val="0"/>
                <w:szCs w:val="21"/>
              </w:rPr>
              <w:t>、</w:t>
            </w:r>
            <w:r>
              <w:rPr>
                <w:rFonts w:hint="eastAsia" w:eastAsia="仿宋_GB2312"/>
                <w:kern w:val="0"/>
                <w:szCs w:val="21"/>
                <w:lang w:val="en-US" w:eastAsia="zh-CN"/>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06E18BE8">
            <w:pPr>
              <w:widowControl/>
              <w:jc w:val="center"/>
              <w:rPr>
                <w:rFonts w:hint="eastAsia" w:ascii="Times New Roman" w:hAnsi="Times New Roman" w:eastAsia="仿宋_GB2312" w:cs="Times New Roman"/>
                <w:kern w:val="0"/>
                <w:sz w:val="21"/>
                <w:szCs w:val="21"/>
                <w:lang w:val="en-US" w:eastAsia="zh-CN" w:bidi="ar-SA"/>
              </w:rPr>
            </w:pPr>
            <w:r>
              <w:rPr>
                <w:rFonts w:eastAsia="仿宋_GB2312"/>
                <w:kern w:val="0"/>
                <w:szCs w:val="21"/>
              </w:rPr>
              <w:t>2</w:t>
            </w:r>
            <w:r>
              <w:rPr>
                <w:rFonts w:hint="eastAsia" w:eastAsia="仿宋_GB2312"/>
                <w:kern w:val="0"/>
                <w:szCs w:val="21"/>
                <w:lang w:val="en-US"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1A7DF82B">
            <w:pPr>
              <w:widowControl/>
              <w:jc w:val="center"/>
              <w:rPr>
                <w:rFonts w:hint="default" w:asciiTheme="minorHAnsi" w:hAnsiTheme="minorHAnsi" w:eastAsiaTheme="minorEastAsia" w:cstheme="minorBidi"/>
                <w:kern w:val="2"/>
                <w:sz w:val="21"/>
                <w:szCs w:val="22"/>
                <w:lang w:val="en-US" w:eastAsia="zh-CN" w:bidi="ar-SA"/>
              </w:rPr>
            </w:pPr>
            <w:r>
              <w:rPr>
                <w:rFonts w:hint="eastAsia" w:ascii="Times New Roman" w:hAnsi="Times New Roman" w:eastAsia="仿宋_GB2312" w:cs="Times New Roman"/>
                <w:kern w:val="0"/>
                <w:sz w:val="21"/>
                <w:szCs w:val="21"/>
                <w:lang w:val="en-US" w:eastAsia="zh-CN" w:bidi="ar-SA"/>
              </w:rPr>
              <w:t>9.34</w:t>
            </w:r>
          </w:p>
        </w:tc>
        <w:tc>
          <w:tcPr>
            <w:tcW w:w="0" w:type="auto"/>
            <w:tcBorders>
              <w:top w:val="nil"/>
              <w:left w:val="nil"/>
              <w:bottom w:val="single" w:color="auto" w:sz="4" w:space="0"/>
              <w:right w:val="single" w:color="auto" w:sz="4" w:space="0"/>
            </w:tcBorders>
            <w:shd w:val="clear" w:color="auto" w:fill="auto"/>
            <w:noWrap/>
            <w:vAlign w:val="center"/>
          </w:tcPr>
          <w:p w14:paraId="08F20F4B">
            <w:pPr>
              <w:widowControl/>
              <w:jc w:val="center"/>
              <w:rPr>
                <w:rFonts w:hint="default" w:asciiTheme="minorHAnsi" w:hAnsiTheme="minorHAnsi" w:eastAsiaTheme="minorEastAsia" w:cstheme="minorBidi"/>
                <w:kern w:val="2"/>
                <w:sz w:val="21"/>
                <w:szCs w:val="22"/>
                <w:lang w:val="en-US" w:eastAsia="zh-CN" w:bidi="ar-SA"/>
              </w:rPr>
            </w:pPr>
            <w:r>
              <w:rPr>
                <w:rFonts w:hint="eastAsia" w:ascii="Times New Roman" w:hAnsi="Times New Roman" w:eastAsia="仿宋_GB2312" w:cs="Times New Roman"/>
                <w:kern w:val="0"/>
                <w:sz w:val="21"/>
                <w:szCs w:val="21"/>
                <w:lang w:val="en-US" w:eastAsia="zh-CN" w:bidi="ar-SA"/>
              </w:rPr>
              <w:t>9.34</w:t>
            </w:r>
          </w:p>
        </w:tc>
        <w:tc>
          <w:tcPr>
            <w:tcW w:w="0" w:type="auto"/>
            <w:tcBorders>
              <w:top w:val="nil"/>
              <w:left w:val="nil"/>
              <w:bottom w:val="single" w:color="auto" w:sz="4" w:space="0"/>
              <w:right w:val="single" w:color="auto" w:sz="4" w:space="0"/>
            </w:tcBorders>
            <w:shd w:val="clear" w:color="auto" w:fill="auto"/>
            <w:noWrap/>
            <w:vAlign w:val="center"/>
          </w:tcPr>
          <w:p w14:paraId="46C8F8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75612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440F5C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93DD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C76C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6D5A0E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6DB488">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15EAF8C3">
            <w:pPr>
              <w:widowControl/>
              <w:jc w:val="center"/>
              <w:rPr>
                <w:rFonts w:ascii="Times New Roman" w:hAnsi="Times New Roman" w:eastAsia="仿宋_GB2312" w:cs="Times New Roman"/>
                <w:kern w:val="0"/>
                <w:sz w:val="21"/>
                <w:szCs w:val="21"/>
                <w:lang w:val="en-US" w:eastAsia="zh-CN" w:bidi="ar-SA"/>
              </w:rPr>
            </w:pPr>
            <w:r>
              <w:rPr>
                <w:rFonts w:eastAsia="仿宋_GB2312"/>
                <w:kern w:val="0"/>
                <w:szCs w:val="21"/>
              </w:rPr>
              <w:t>2</w:t>
            </w:r>
            <w:r>
              <w:rPr>
                <w:rFonts w:hint="eastAsia" w:eastAsia="仿宋_GB2312"/>
                <w:kern w:val="0"/>
                <w:szCs w:val="21"/>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4341922E">
            <w:pPr>
              <w:widowControl/>
              <w:ind w:firstLine="420" w:firstLineChars="200"/>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2 .31</w:t>
            </w:r>
          </w:p>
        </w:tc>
        <w:tc>
          <w:tcPr>
            <w:tcW w:w="0" w:type="auto"/>
            <w:tcBorders>
              <w:top w:val="nil"/>
              <w:left w:val="nil"/>
              <w:bottom w:val="single" w:color="auto" w:sz="4" w:space="0"/>
              <w:right w:val="single" w:color="auto" w:sz="4" w:space="0"/>
            </w:tcBorders>
            <w:shd w:val="clear" w:color="auto" w:fill="auto"/>
            <w:noWrap/>
            <w:vAlign w:val="center"/>
          </w:tcPr>
          <w:p w14:paraId="7C8BC8FB">
            <w:pPr>
              <w:widowControl/>
              <w:ind w:firstLine="420" w:firstLineChars="200"/>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2 .31</w:t>
            </w:r>
          </w:p>
        </w:tc>
        <w:tc>
          <w:tcPr>
            <w:tcW w:w="0" w:type="auto"/>
            <w:tcBorders>
              <w:top w:val="nil"/>
              <w:left w:val="nil"/>
              <w:bottom w:val="single" w:color="auto" w:sz="4" w:space="0"/>
              <w:right w:val="single" w:color="auto" w:sz="4" w:space="0"/>
            </w:tcBorders>
            <w:shd w:val="clear" w:color="auto" w:fill="auto"/>
            <w:noWrap/>
            <w:vAlign w:val="center"/>
          </w:tcPr>
          <w:p w14:paraId="0A4A8C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4BCE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989C1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09FCB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4F829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2930491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136.36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33873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63E790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670C47E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136.36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A11A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136.36</w:t>
            </w:r>
          </w:p>
        </w:tc>
        <w:tc>
          <w:tcPr>
            <w:tcW w:w="0" w:type="auto"/>
            <w:tcBorders>
              <w:top w:val="nil"/>
              <w:left w:val="nil"/>
              <w:bottom w:val="single" w:color="auto" w:sz="4" w:space="0"/>
              <w:right w:val="single" w:color="auto" w:sz="4" w:space="0"/>
            </w:tcBorders>
            <w:shd w:val="clear" w:color="auto" w:fill="auto"/>
            <w:noWrap/>
            <w:vAlign w:val="center"/>
          </w:tcPr>
          <w:p w14:paraId="435429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E745B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D203F0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3730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2FFCF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35381B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DAB2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51B91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2D39E6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F13B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C06D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23EF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41CBE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84A8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A5136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FEF7C4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7F5B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D58B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4818A3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CCE9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8109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DF0A5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F43FE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D02C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6AF3A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1E31C1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E9DAB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7D18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77890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4C0E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DDFB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CD969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0B9A96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C11F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935CC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1CC431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2A510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C46A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FF096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6E76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2391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91F9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D2B79D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45B701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6268A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13A6F8B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136.36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7D14AE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CFE27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40826A2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136.36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7625B1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136.36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3A428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23669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B0115C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6D86080">
      <w:pPr>
        <w:widowControl/>
        <w:jc w:val="center"/>
        <w:rPr>
          <w:rFonts w:ascii="Times New Roman" w:hAnsi="Times New Roman" w:eastAsia="方正小标宋_GBK" w:cs="Times New Roman"/>
          <w:kern w:val="0"/>
          <w:sz w:val="36"/>
          <w:szCs w:val="36"/>
        </w:rPr>
      </w:pPr>
    </w:p>
    <w:p w14:paraId="3CDA58CE">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45C31D98">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40851BE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B3DDF3B">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FB8D03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4A632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D4168CE">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3130E7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DA408D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22EEF2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8B274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4CD6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C1011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6A34C3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63E31B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0EBEC4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3D3395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2CF02CE">
            <w:pPr>
              <w:widowControl/>
              <w:jc w:val="left"/>
              <w:rPr>
                <w:rFonts w:ascii="Times New Roman" w:hAnsi="Times New Roman" w:eastAsia="仿宋_GB2312" w:cs="Times New Roman"/>
                <w:kern w:val="0"/>
                <w:szCs w:val="21"/>
              </w:rPr>
            </w:pPr>
          </w:p>
        </w:tc>
      </w:tr>
      <w:tr w14:paraId="73279BA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531D79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B9043F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BFF019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83426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D51A57E">
            <w:pPr>
              <w:widowControl/>
              <w:jc w:val="left"/>
              <w:rPr>
                <w:rFonts w:ascii="Times New Roman" w:hAnsi="Times New Roman" w:eastAsia="仿宋_GB2312" w:cs="Times New Roman"/>
                <w:kern w:val="0"/>
                <w:szCs w:val="21"/>
              </w:rPr>
            </w:pPr>
          </w:p>
        </w:tc>
      </w:tr>
      <w:tr w14:paraId="1CFEBBD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738C6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5DF49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B96AE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B4467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1295E3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6E342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CCD9BC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12C0DC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FCAEE3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BEED3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35B784">
            <w:pPr>
              <w:jc w:val="both"/>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rPr>
              <w:t>20</w:t>
            </w:r>
            <w:r>
              <w:rPr>
                <w:rFonts w:hint="eastAsia" w:ascii="仿宋" w:hAnsi="仿宋" w:eastAsia="仿宋" w:cs="仿宋"/>
                <w:i w:val="0"/>
                <w:color w:val="000000"/>
                <w:sz w:val="21"/>
                <w:szCs w:val="21"/>
                <w:u w:val="none"/>
                <w:lang w:val="en-US" w:eastAsia="zh-CN"/>
              </w:rPr>
              <w:t>7</w:t>
            </w:r>
          </w:p>
        </w:tc>
        <w:tc>
          <w:tcPr>
            <w:tcW w:w="3527" w:type="dxa"/>
            <w:tcBorders>
              <w:top w:val="nil"/>
              <w:left w:val="nil"/>
              <w:bottom w:val="single" w:color="auto" w:sz="4" w:space="0"/>
              <w:right w:val="single" w:color="auto" w:sz="4" w:space="0"/>
            </w:tcBorders>
            <w:shd w:val="clear" w:color="auto" w:fill="auto"/>
            <w:vAlign w:val="center"/>
          </w:tcPr>
          <w:p w14:paraId="26EFFE3C">
            <w:pPr>
              <w:jc w:val="left"/>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文化旅游体育和传媒支出</w:t>
            </w:r>
          </w:p>
        </w:tc>
        <w:tc>
          <w:tcPr>
            <w:tcW w:w="3000" w:type="dxa"/>
            <w:tcBorders>
              <w:top w:val="nil"/>
              <w:left w:val="nil"/>
              <w:bottom w:val="single" w:color="auto" w:sz="4" w:space="0"/>
              <w:right w:val="single" w:color="auto" w:sz="4" w:space="0"/>
            </w:tcBorders>
            <w:shd w:val="clear" w:color="auto" w:fill="auto"/>
            <w:vAlign w:val="center"/>
          </w:tcPr>
          <w:p w14:paraId="25C2FB2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631889F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5D6F92C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1BABE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881780">
            <w:pPr>
              <w:jc w:val="both"/>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20701</w:t>
            </w:r>
          </w:p>
        </w:tc>
        <w:tc>
          <w:tcPr>
            <w:tcW w:w="3527" w:type="dxa"/>
            <w:tcBorders>
              <w:top w:val="nil"/>
              <w:left w:val="nil"/>
              <w:bottom w:val="single" w:color="auto" w:sz="4" w:space="0"/>
              <w:right w:val="single" w:color="auto" w:sz="4" w:space="0"/>
            </w:tcBorders>
            <w:shd w:val="clear" w:color="auto" w:fill="auto"/>
            <w:vAlign w:val="center"/>
          </w:tcPr>
          <w:p w14:paraId="051C6DE2">
            <w:pPr>
              <w:jc w:val="left"/>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文化和旅游</w:t>
            </w:r>
          </w:p>
        </w:tc>
        <w:tc>
          <w:tcPr>
            <w:tcW w:w="3000" w:type="dxa"/>
            <w:tcBorders>
              <w:top w:val="nil"/>
              <w:left w:val="nil"/>
              <w:bottom w:val="single" w:color="auto" w:sz="4" w:space="0"/>
              <w:right w:val="single" w:color="auto" w:sz="4" w:space="0"/>
            </w:tcBorders>
            <w:shd w:val="clear" w:color="auto" w:fill="auto"/>
            <w:vAlign w:val="center"/>
          </w:tcPr>
          <w:p w14:paraId="511ADD7F">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12DB589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482233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A895F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43F490">
            <w:pPr>
              <w:jc w:val="both"/>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2070109</w:t>
            </w:r>
          </w:p>
        </w:tc>
        <w:tc>
          <w:tcPr>
            <w:tcW w:w="3527" w:type="dxa"/>
            <w:tcBorders>
              <w:top w:val="nil"/>
              <w:left w:val="nil"/>
              <w:bottom w:val="single" w:color="auto" w:sz="4" w:space="0"/>
              <w:right w:val="single" w:color="auto" w:sz="4" w:space="0"/>
            </w:tcBorders>
            <w:shd w:val="clear" w:color="auto" w:fill="auto"/>
            <w:vAlign w:val="center"/>
          </w:tcPr>
          <w:p w14:paraId="68BF10FB">
            <w:pPr>
              <w:jc w:val="left"/>
              <w:rPr>
                <w:rFonts w:hint="eastAsia" w:ascii="仿宋" w:hAnsi="仿宋" w:eastAsia="仿宋" w:cs="仿宋"/>
                <w:kern w:val="0"/>
                <w:sz w:val="21"/>
                <w:szCs w:val="21"/>
                <w:lang w:val="en-US" w:eastAsia="zh-CN" w:bidi="ar-SA"/>
              </w:rPr>
            </w:pPr>
            <w:r>
              <w:rPr>
                <w:rFonts w:hint="eastAsia" w:ascii="仿宋" w:hAnsi="仿宋" w:eastAsia="仿宋" w:cs="仿宋"/>
                <w:i w:val="0"/>
                <w:color w:val="000000"/>
                <w:sz w:val="21"/>
                <w:szCs w:val="21"/>
                <w:u w:val="none"/>
                <w:lang w:val="en-US" w:eastAsia="zh-CN"/>
              </w:rPr>
              <w:t>群众文化</w:t>
            </w:r>
          </w:p>
        </w:tc>
        <w:tc>
          <w:tcPr>
            <w:tcW w:w="3000" w:type="dxa"/>
            <w:tcBorders>
              <w:top w:val="nil"/>
              <w:left w:val="nil"/>
              <w:bottom w:val="single" w:color="auto" w:sz="4" w:space="0"/>
              <w:right w:val="single" w:color="auto" w:sz="4" w:space="0"/>
            </w:tcBorders>
            <w:shd w:val="clear" w:color="auto" w:fill="auto"/>
            <w:vAlign w:val="center"/>
          </w:tcPr>
          <w:p w14:paraId="1965CB7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00D0760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136.36</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6863C7C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004CF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5D3F6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7DA922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C48F8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1A8B93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8B9243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D40B4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C55A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B5031E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35D89E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BF078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AF8733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BCF31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57D77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4CF6F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541A10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371F22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EB45C6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50EEC30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19C4586">
      <w:pPr>
        <w:widowControl/>
        <w:jc w:val="left"/>
        <w:rPr>
          <w:rFonts w:ascii="Times New Roman" w:hAnsi="Times New Roman" w:eastAsia="仿宋_GB2312" w:cs="Times New Roman"/>
          <w:bCs/>
          <w:kern w:val="0"/>
          <w:szCs w:val="21"/>
        </w:rPr>
      </w:pPr>
    </w:p>
    <w:p w14:paraId="5B7C1742">
      <w:pPr>
        <w:widowControl/>
        <w:jc w:val="left"/>
        <w:rPr>
          <w:rFonts w:ascii="Times New Roman" w:hAnsi="Times New Roman" w:eastAsia="仿宋_GB2312" w:cs="Times New Roman"/>
          <w:bCs/>
          <w:kern w:val="0"/>
          <w:szCs w:val="21"/>
        </w:rPr>
      </w:pPr>
      <w:r>
        <w:br w:type="page"/>
      </w:r>
    </w:p>
    <w:p w14:paraId="79187C00">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1A61CBD9">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23F5D6C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9FF4E6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7AB6C0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161654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C0D79C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E45962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7570E5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C7D283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7BDCB5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FDEDA3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AB4FC8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8E2E8F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5A1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B5D3F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BD5E73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82.73</w:t>
            </w:r>
          </w:p>
          <w:tbl>
            <w:tblPr>
              <w:tblStyle w:val="10"/>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2"/>
            </w:tblGrid>
            <w:tr w14:paraId="0864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C63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82.73</w:t>
                  </w:r>
                </w:p>
              </w:tc>
            </w:tr>
            <w:tr w14:paraId="7399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447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28.08</w:t>
                  </w:r>
                </w:p>
              </w:tc>
            </w:tr>
            <w:tr w14:paraId="25B8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28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18.64</w:t>
                  </w:r>
                </w:p>
              </w:tc>
            </w:tr>
            <w:tr w14:paraId="6722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2F0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21.31</w:t>
                  </w:r>
                </w:p>
              </w:tc>
            </w:tr>
            <w:tr w14:paraId="7A67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E97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r>
            <w:tr w14:paraId="1D39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84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E8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78F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r>
            <w:tr w14:paraId="2CF2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93B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C5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217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r>
            <w:tr w14:paraId="10D4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97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C7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84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r>
            <w:tr w14:paraId="5421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44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72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04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6A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C21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r>
          </w:tbl>
          <w:p w14:paraId="5426CDF5">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511AE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5A6AE6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769C09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51.72</w:t>
            </w:r>
          </w:p>
        </w:tc>
        <w:tc>
          <w:tcPr>
            <w:tcW w:w="1217" w:type="dxa"/>
            <w:tcBorders>
              <w:top w:val="nil"/>
              <w:left w:val="nil"/>
              <w:bottom w:val="single" w:color="auto" w:sz="4" w:space="0"/>
              <w:right w:val="single" w:color="auto" w:sz="4" w:space="0"/>
            </w:tcBorders>
            <w:shd w:val="clear" w:color="auto" w:fill="auto"/>
            <w:noWrap/>
            <w:vAlign w:val="center"/>
          </w:tcPr>
          <w:p w14:paraId="4801B3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F98FC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66FAA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86A9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52CC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70DE8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7927F8C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28.08</w:t>
            </w:r>
          </w:p>
        </w:tc>
        <w:tc>
          <w:tcPr>
            <w:tcW w:w="1116" w:type="dxa"/>
            <w:tcBorders>
              <w:top w:val="nil"/>
              <w:left w:val="nil"/>
              <w:bottom w:val="single" w:color="auto" w:sz="4" w:space="0"/>
              <w:right w:val="single" w:color="auto" w:sz="4" w:space="0"/>
            </w:tcBorders>
            <w:shd w:val="clear" w:color="auto" w:fill="auto"/>
            <w:noWrap/>
            <w:vAlign w:val="center"/>
          </w:tcPr>
          <w:p w14:paraId="781534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08DEC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3ED295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6.67</w:t>
            </w:r>
          </w:p>
        </w:tc>
        <w:tc>
          <w:tcPr>
            <w:tcW w:w="1217" w:type="dxa"/>
            <w:tcBorders>
              <w:top w:val="nil"/>
              <w:left w:val="nil"/>
              <w:bottom w:val="single" w:color="auto" w:sz="4" w:space="0"/>
              <w:right w:val="single" w:color="auto" w:sz="4" w:space="0"/>
            </w:tcBorders>
            <w:shd w:val="clear" w:color="auto" w:fill="auto"/>
            <w:noWrap/>
            <w:vAlign w:val="center"/>
          </w:tcPr>
          <w:p w14:paraId="594AD0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E56F4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3810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D95E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9C0D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44C8F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051179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18.64</w:t>
            </w:r>
          </w:p>
        </w:tc>
        <w:tc>
          <w:tcPr>
            <w:tcW w:w="1116" w:type="dxa"/>
            <w:tcBorders>
              <w:top w:val="nil"/>
              <w:left w:val="nil"/>
              <w:bottom w:val="single" w:color="auto" w:sz="4" w:space="0"/>
              <w:right w:val="single" w:color="auto" w:sz="4" w:space="0"/>
            </w:tcBorders>
            <w:shd w:val="clear" w:color="auto" w:fill="auto"/>
            <w:noWrap/>
            <w:vAlign w:val="center"/>
          </w:tcPr>
          <w:p w14:paraId="62664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9AD08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D03388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22.22</w:t>
            </w:r>
          </w:p>
        </w:tc>
        <w:tc>
          <w:tcPr>
            <w:tcW w:w="1217" w:type="dxa"/>
            <w:tcBorders>
              <w:top w:val="nil"/>
              <w:left w:val="nil"/>
              <w:bottom w:val="single" w:color="auto" w:sz="4" w:space="0"/>
              <w:right w:val="single" w:color="auto" w:sz="4" w:space="0"/>
            </w:tcBorders>
            <w:shd w:val="clear" w:color="auto" w:fill="auto"/>
            <w:noWrap/>
            <w:vAlign w:val="center"/>
          </w:tcPr>
          <w:p w14:paraId="08DCF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26F76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B7BFE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9480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33A6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F28BA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5E6DBE6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21.31</w:t>
            </w:r>
          </w:p>
        </w:tc>
        <w:tc>
          <w:tcPr>
            <w:tcW w:w="1116" w:type="dxa"/>
            <w:tcBorders>
              <w:top w:val="nil"/>
              <w:left w:val="nil"/>
              <w:bottom w:val="single" w:color="auto" w:sz="4" w:space="0"/>
              <w:right w:val="single" w:color="auto" w:sz="4" w:space="0"/>
            </w:tcBorders>
            <w:shd w:val="clear" w:color="auto" w:fill="auto"/>
            <w:noWrap/>
            <w:vAlign w:val="center"/>
          </w:tcPr>
          <w:p w14:paraId="1272D3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BD0AD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42D201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36F8E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CECA6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0E6886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026D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8C81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A4FC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2A529AD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2.21</w:t>
            </w:r>
          </w:p>
        </w:tc>
        <w:tc>
          <w:tcPr>
            <w:tcW w:w="1116" w:type="dxa"/>
            <w:tcBorders>
              <w:top w:val="nil"/>
              <w:left w:val="nil"/>
              <w:bottom w:val="single" w:color="auto" w:sz="4" w:space="0"/>
              <w:right w:val="single" w:color="auto" w:sz="4" w:space="0"/>
            </w:tcBorders>
            <w:shd w:val="clear" w:color="auto" w:fill="auto"/>
            <w:noWrap/>
            <w:vAlign w:val="center"/>
          </w:tcPr>
          <w:p w14:paraId="5A5A2A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FA512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927FF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B1A2C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CA0BC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5AD05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FD81E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E075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A06D2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049D5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AB2E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E0812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0C611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37DDD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2DAB00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706130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7466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984C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BE58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6645C4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8.42</w:t>
            </w:r>
          </w:p>
        </w:tc>
        <w:tc>
          <w:tcPr>
            <w:tcW w:w="1116" w:type="dxa"/>
            <w:tcBorders>
              <w:top w:val="nil"/>
              <w:left w:val="nil"/>
              <w:bottom w:val="single" w:color="auto" w:sz="4" w:space="0"/>
              <w:right w:val="single" w:color="auto" w:sz="4" w:space="0"/>
            </w:tcBorders>
            <w:shd w:val="clear" w:color="auto" w:fill="auto"/>
            <w:noWrap/>
            <w:vAlign w:val="center"/>
          </w:tcPr>
          <w:p w14:paraId="370D0E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41560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1F2395C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0.17</w:t>
            </w:r>
          </w:p>
        </w:tc>
        <w:tc>
          <w:tcPr>
            <w:tcW w:w="1217" w:type="dxa"/>
            <w:tcBorders>
              <w:top w:val="nil"/>
              <w:left w:val="nil"/>
              <w:bottom w:val="single" w:color="auto" w:sz="4" w:space="0"/>
              <w:right w:val="single" w:color="auto" w:sz="4" w:space="0"/>
            </w:tcBorders>
            <w:shd w:val="clear" w:color="auto" w:fill="auto"/>
            <w:noWrap/>
            <w:vAlign w:val="center"/>
          </w:tcPr>
          <w:p w14:paraId="4FFAAA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66C46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F78CE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7E47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D1A2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7DE4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75C9FB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2C703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02160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29BA02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w:t>
            </w:r>
          </w:p>
        </w:tc>
        <w:tc>
          <w:tcPr>
            <w:tcW w:w="1217" w:type="dxa"/>
            <w:tcBorders>
              <w:top w:val="nil"/>
              <w:left w:val="nil"/>
              <w:bottom w:val="single" w:color="auto" w:sz="4" w:space="0"/>
              <w:right w:val="single" w:color="auto" w:sz="4" w:space="0"/>
            </w:tcBorders>
            <w:shd w:val="clear" w:color="auto" w:fill="auto"/>
            <w:noWrap/>
            <w:vAlign w:val="center"/>
          </w:tcPr>
          <w:p w14:paraId="5C5251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3012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F30FE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CBD8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D37D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34C4C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B33482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3.71</w:t>
            </w:r>
          </w:p>
        </w:tc>
        <w:tc>
          <w:tcPr>
            <w:tcW w:w="1116" w:type="dxa"/>
            <w:tcBorders>
              <w:top w:val="nil"/>
              <w:left w:val="nil"/>
              <w:bottom w:val="single" w:color="auto" w:sz="4" w:space="0"/>
              <w:right w:val="single" w:color="auto" w:sz="4" w:space="0"/>
            </w:tcBorders>
            <w:shd w:val="clear" w:color="auto" w:fill="auto"/>
            <w:noWrap/>
            <w:vAlign w:val="center"/>
          </w:tcPr>
          <w:p w14:paraId="70A253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7A353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72B2ED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FD648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74B8D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C9B6A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E3CA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81B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01F69A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E5009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C6F59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B43E7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BB156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99560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63190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2CEA7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9AB0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E72E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F3C7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CDC227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116" w:type="dxa"/>
            <w:tcBorders>
              <w:top w:val="nil"/>
              <w:left w:val="nil"/>
              <w:bottom w:val="single" w:color="auto" w:sz="4" w:space="0"/>
              <w:right w:val="single" w:color="auto" w:sz="4" w:space="0"/>
            </w:tcBorders>
            <w:shd w:val="clear" w:color="auto" w:fill="auto"/>
            <w:noWrap/>
            <w:vAlign w:val="center"/>
          </w:tcPr>
          <w:p w14:paraId="39E6F8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BDEDA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E7653F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2.69</w:t>
            </w:r>
          </w:p>
        </w:tc>
        <w:tc>
          <w:tcPr>
            <w:tcW w:w="1217" w:type="dxa"/>
            <w:tcBorders>
              <w:top w:val="nil"/>
              <w:left w:val="nil"/>
              <w:bottom w:val="single" w:color="auto" w:sz="4" w:space="0"/>
              <w:right w:val="single" w:color="auto" w:sz="4" w:space="0"/>
            </w:tcBorders>
            <w:shd w:val="clear" w:color="auto" w:fill="auto"/>
            <w:noWrap/>
            <w:vAlign w:val="center"/>
          </w:tcPr>
          <w:p w14:paraId="05F790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DFE6B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860D0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AD8E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B99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4D594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674133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26E2A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80E2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13271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392B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E0B06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31009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13F8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B211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84A9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67AF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2B60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4EE4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3839BBF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0.26</w:t>
            </w:r>
          </w:p>
        </w:tc>
        <w:tc>
          <w:tcPr>
            <w:tcW w:w="1217" w:type="dxa"/>
            <w:tcBorders>
              <w:top w:val="nil"/>
              <w:left w:val="nil"/>
              <w:bottom w:val="single" w:color="auto" w:sz="4" w:space="0"/>
              <w:right w:val="single" w:color="auto" w:sz="4" w:space="0"/>
            </w:tcBorders>
            <w:shd w:val="clear" w:color="auto" w:fill="auto"/>
            <w:noWrap/>
            <w:vAlign w:val="center"/>
          </w:tcPr>
          <w:p w14:paraId="25DD5E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55B987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B133D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00942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02D0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E674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058828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116" w:type="dxa"/>
            <w:tcBorders>
              <w:top w:val="nil"/>
              <w:left w:val="nil"/>
              <w:bottom w:val="single" w:color="auto" w:sz="4" w:space="0"/>
              <w:right w:val="single" w:color="auto" w:sz="4" w:space="0"/>
            </w:tcBorders>
            <w:shd w:val="clear" w:color="auto" w:fill="auto"/>
            <w:noWrap/>
            <w:vAlign w:val="center"/>
          </w:tcPr>
          <w:p w14:paraId="0C0DB7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7F369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6ED612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0.87</w:t>
            </w:r>
          </w:p>
        </w:tc>
        <w:tc>
          <w:tcPr>
            <w:tcW w:w="1217" w:type="dxa"/>
            <w:tcBorders>
              <w:top w:val="nil"/>
              <w:left w:val="nil"/>
              <w:bottom w:val="single" w:color="auto" w:sz="4" w:space="0"/>
              <w:right w:val="single" w:color="auto" w:sz="4" w:space="0"/>
            </w:tcBorders>
            <w:shd w:val="clear" w:color="auto" w:fill="auto"/>
            <w:noWrap/>
            <w:vAlign w:val="center"/>
          </w:tcPr>
          <w:p w14:paraId="7621B6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DE9FE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73D41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8CC4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38BB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7A71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CA30C6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1.91</w:t>
            </w:r>
          </w:p>
        </w:tc>
        <w:tc>
          <w:tcPr>
            <w:tcW w:w="1116" w:type="dxa"/>
            <w:tcBorders>
              <w:top w:val="nil"/>
              <w:left w:val="nil"/>
              <w:bottom w:val="single" w:color="auto" w:sz="4" w:space="0"/>
              <w:right w:val="single" w:color="auto" w:sz="4" w:space="0"/>
            </w:tcBorders>
            <w:shd w:val="clear" w:color="auto" w:fill="auto"/>
            <w:noWrap/>
            <w:vAlign w:val="center"/>
          </w:tcPr>
          <w:p w14:paraId="53BEC2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7463C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B75C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E4FE3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0745C7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BD656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3C0D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D0A9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B3007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47D9C4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169C7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51A3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535F9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2668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587CB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5771D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8F1C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204A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4F456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5CA44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776F0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4254F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4406F8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0.85</w:t>
            </w:r>
          </w:p>
        </w:tc>
        <w:tc>
          <w:tcPr>
            <w:tcW w:w="1217" w:type="dxa"/>
            <w:tcBorders>
              <w:top w:val="nil"/>
              <w:left w:val="nil"/>
              <w:bottom w:val="single" w:color="auto" w:sz="4" w:space="0"/>
              <w:right w:val="single" w:color="auto" w:sz="4" w:space="0"/>
            </w:tcBorders>
            <w:shd w:val="clear" w:color="auto" w:fill="auto"/>
            <w:noWrap/>
            <w:vAlign w:val="center"/>
          </w:tcPr>
          <w:p w14:paraId="079626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54DDA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EBAAC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7B08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7E16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AE598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58A48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6B31B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94FF1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2C739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7CE84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73A7D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DEB37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DD6D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B8D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1F267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03B245E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0.41</w:t>
            </w:r>
          </w:p>
        </w:tc>
        <w:tc>
          <w:tcPr>
            <w:tcW w:w="1116" w:type="dxa"/>
            <w:tcBorders>
              <w:top w:val="nil"/>
              <w:left w:val="nil"/>
              <w:bottom w:val="single" w:color="auto" w:sz="4" w:space="0"/>
              <w:right w:val="single" w:color="auto" w:sz="4" w:space="0"/>
            </w:tcBorders>
            <w:shd w:val="clear" w:color="auto" w:fill="auto"/>
            <w:noWrap/>
            <w:vAlign w:val="center"/>
          </w:tcPr>
          <w:p w14:paraId="31FDEA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C0B03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B957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B6B2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375A5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25A79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56CD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157A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32C6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521A0F7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0.51</w:t>
            </w:r>
          </w:p>
        </w:tc>
        <w:tc>
          <w:tcPr>
            <w:tcW w:w="1116" w:type="dxa"/>
            <w:tcBorders>
              <w:top w:val="nil"/>
              <w:left w:val="nil"/>
              <w:bottom w:val="single" w:color="auto" w:sz="4" w:space="0"/>
              <w:right w:val="single" w:color="auto" w:sz="4" w:space="0"/>
            </w:tcBorders>
            <w:shd w:val="clear" w:color="auto" w:fill="auto"/>
            <w:noWrap/>
            <w:vAlign w:val="center"/>
          </w:tcPr>
          <w:p w14:paraId="181426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086684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673856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193F2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07CDB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05ACD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1AFF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26D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E01D7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6F7D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EB3CF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5058E8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2DCB71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2.51</w:t>
            </w:r>
          </w:p>
        </w:tc>
        <w:tc>
          <w:tcPr>
            <w:tcW w:w="1217" w:type="dxa"/>
            <w:tcBorders>
              <w:top w:val="nil"/>
              <w:left w:val="nil"/>
              <w:bottom w:val="single" w:color="auto" w:sz="4" w:space="0"/>
              <w:right w:val="single" w:color="auto" w:sz="4" w:space="0"/>
            </w:tcBorders>
            <w:shd w:val="clear" w:color="auto" w:fill="auto"/>
            <w:noWrap/>
            <w:vAlign w:val="center"/>
          </w:tcPr>
          <w:p w14:paraId="155E58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14E3D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586E3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2607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F159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7D9EA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68415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AD230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771F8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944AA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553B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473B8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47A83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62E2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D3B0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DB97F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4A4DA7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221A0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1C009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45D4BA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1.58</w:t>
            </w:r>
          </w:p>
        </w:tc>
        <w:tc>
          <w:tcPr>
            <w:tcW w:w="1217" w:type="dxa"/>
            <w:tcBorders>
              <w:top w:val="nil"/>
              <w:left w:val="nil"/>
              <w:bottom w:val="single" w:color="auto" w:sz="4" w:space="0"/>
              <w:right w:val="single" w:color="auto" w:sz="4" w:space="0"/>
            </w:tcBorders>
            <w:shd w:val="clear" w:color="auto" w:fill="auto"/>
            <w:noWrap/>
            <w:vAlign w:val="center"/>
          </w:tcPr>
          <w:p w14:paraId="4AC496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504CF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D835E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CD36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AC76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4D038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71B982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0.62</w:t>
            </w:r>
          </w:p>
        </w:tc>
        <w:tc>
          <w:tcPr>
            <w:tcW w:w="1116" w:type="dxa"/>
            <w:tcBorders>
              <w:top w:val="nil"/>
              <w:left w:val="nil"/>
              <w:bottom w:val="single" w:color="auto" w:sz="4" w:space="0"/>
              <w:right w:val="single" w:color="auto" w:sz="4" w:space="0"/>
            </w:tcBorders>
            <w:shd w:val="clear" w:color="auto" w:fill="auto"/>
            <w:noWrap/>
            <w:vAlign w:val="center"/>
          </w:tcPr>
          <w:p w14:paraId="62A55C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52679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3827BC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0.12</w:t>
            </w:r>
          </w:p>
        </w:tc>
        <w:tc>
          <w:tcPr>
            <w:tcW w:w="1217" w:type="dxa"/>
            <w:tcBorders>
              <w:top w:val="nil"/>
              <w:left w:val="nil"/>
              <w:bottom w:val="single" w:color="auto" w:sz="4" w:space="0"/>
              <w:right w:val="single" w:color="auto" w:sz="4" w:space="0"/>
            </w:tcBorders>
            <w:shd w:val="clear" w:color="auto" w:fill="auto"/>
            <w:noWrap/>
            <w:vAlign w:val="center"/>
          </w:tcPr>
          <w:p w14:paraId="525758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3DDF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398B6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72AB5920">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EBE558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9EE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F0D3DE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03D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593534EF">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48D9DB5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C60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5291DA8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4B2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387F18FC">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F545E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701E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447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AF55D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69FD75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EF813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8288D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103F6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5D16B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0D1C2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B54F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3903F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A9E8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3811F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FED4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D789D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C6262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630237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5.54</w:t>
            </w:r>
          </w:p>
        </w:tc>
        <w:tc>
          <w:tcPr>
            <w:tcW w:w="1217" w:type="dxa"/>
            <w:tcBorders>
              <w:top w:val="nil"/>
              <w:left w:val="nil"/>
              <w:bottom w:val="single" w:color="auto" w:sz="4" w:space="0"/>
              <w:right w:val="single" w:color="auto" w:sz="4" w:space="0"/>
            </w:tcBorders>
            <w:shd w:val="clear" w:color="auto" w:fill="auto"/>
            <w:noWrap/>
            <w:vAlign w:val="center"/>
          </w:tcPr>
          <w:p w14:paraId="3BC72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8A9B8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1F349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18A9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DC6F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16750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956A50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0.37</w:t>
            </w:r>
          </w:p>
        </w:tc>
        <w:tc>
          <w:tcPr>
            <w:tcW w:w="1116" w:type="dxa"/>
            <w:tcBorders>
              <w:top w:val="nil"/>
              <w:left w:val="nil"/>
              <w:bottom w:val="single" w:color="auto" w:sz="4" w:space="0"/>
              <w:right w:val="single" w:color="auto" w:sz="4" w:space="0"/>
            </w:tcBorders>
            <w:shd w:val="clear" w:color="auto" w:fill="auto"/>
            <w:noWrap/>
            <w:vAlign w:val="center"/>
          </w:tcPr>
          <w:p w14:paraId="27AD74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D5005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F814D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7167D9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B4CA73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5E94F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43F8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884B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422E3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9DB14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EDD89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E5489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B26939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8.04</w:t>
            </w:r>
          </w:p>
        </w:tc>
        <w:tc>
          <w:tcPr>
            <w:tcW w:w="1217" w:type="dxa"/>
            <w:tcBorders>
              <w:top w:val="nil"/>
              <w:left w:val="nil"/>
              <w:bottom w:val="single" w:color="auto" w:sz="4" w:space="0"/>
              <w:right w:val="single" w:color="auto" w:sz="4" w:space="0"/>
            </w:tcBorders>
            <w:shd w:val="clear" w:color="auto" w:fill="auto"/>
            <w:noWrap/>
            <w:vAlign w:val="center"/>
          </w:tcPr>
          <w:p w14:paraId="6ED8621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5969E1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D8DD9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57026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09396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18F4A8A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84.64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859849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FA47279">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51.72</w:t>
            </w:r>
          </w:p>
        </w:tc>
      </w:tr>
    </w:tbl>
    <w:p w14:paraId="0D28190D">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58BDC4A">
      <w:pPr>
        <w:widowControl/>
        <w:spacing w:line="400" w:lineRule="exact"/>
        <w:jc w:val="center"/>
        <w:textAlignment w:val="center"/>
        <w:rPr>
          <w:rFonts w:ascii="Times New Roman" w:hAnsi="Times New Roman" w:eastAsia="仿宋_GB2312" w:cs="Times New Roman"/>
          <w:color w:val="000000"/>
          <w:kern w:val="0"/>
          <w:sz w:val="32"/>
          <w:szCs w:val="32"/>
        </w:rPr>
      </w:pPr>
    </w:p>
    <w:p w14:paraId="24269BCE">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59BB1C5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3C54FDE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D061FC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2E75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8"/>
                <w:rFonts w:hint="default" w:ascii="Times New Roman" w:hAnsi="Times New Roman" w:eastAsia="仿宋_GB2312" w:cs="Times New Roman"/>
                <w:b/>
                <w:bCs/>
              </w:rPr>
              <w:t xml:space="preserve">   </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1266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EE9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EB7B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FC6D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7B53A6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A90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9143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364B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B52D">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296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DA16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6CF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9104">
            <w:pPr>
              <w:widowControl/>
              <w:jc w:val="center"/>
              <w:rPr>
                <w:rFonts w:ascii="Times New Roman" w:hAnsi="Times New Roman" w:eastAsia="仿宋_GB2312" w:cs="Times New Roman"/>
                <w:color w:val="000000"/>
                <w:sz w:val="24"/>
                <w:szCs w:val="24"/>
              </w:rPr>
            </w:pPr>
          </w:p>
        </w:tc>
      </w:tr>
      <w:tr w14:paraId="3B45C49B">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FBEC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C25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1E65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7100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2B8B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0B80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A7AC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8320A">
            <w:pPr>
              <w:jc w:val="center"/>
              <w:rPr>
                <w:rFonts w:ascii="Times New Roman" w:hAnsi="Times New Roman" w:eastAsia="仿宋_GB2312" w:cs="Times New Roman"/>
                <w:color w:val="000000"/>
                <w:sz w:val="24"/>
                <w:szCs w:val="24"/>
              </w:rPr>
            </w:pPr>
          </w:p>
        </w:tc>
      </w:tr>
      <w:tr w14:paraId="70C82CA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F999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419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836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FD85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CF2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CC75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B137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037E">
            <w:pPr>
              <w:jc w:val="center"/>
              <w:rPr>
                <w:rFonts w:ascii="Times New Roman" w:hAnsi="Times New Roman" w:eastAsia="仿宋_GB2312" w:cs="Times New Roman"/>
                <w:color w:val="000000"/>
                <w:sz w:val="24"/>
                <w:szCs w:val="24"/>
              </w:rPr>
            </w:pPr>
          </w:p>
        </w:tc>
      </w:tr>
      <w:tr w14:paraId="202284F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805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243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8C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BE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A8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74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2D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367E70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885F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5FFE">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101A">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0FD3">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F0F5">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9BD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CF8F">
            <w:pPr>
              <w:jc w:val="center"/>
              <w:rPr>
                <w:rFonts w:ascii="Times New Roman" w:hAnsi="Times New Roman" w:eastAsia="仿宋_GB2312" w:cs="Times New Roman"/>
                <w:color w:val="000000"/>
                <w:sz w:val="24"/>
                <w:szCs w:val="24"/>
              </w:rPr>
            </w:pPr>
          </w:p>
        </w:tc>
      </w:tr>
      <w:tr w14:paraId="30DB96D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6D7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DE3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BBD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DAE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61B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FF1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A11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755F">
            <w:pPr>
              <w:rPr>
                <w:rFonts w:ascii="Times New Roman" w:hAnsi="Times New Roman" w:eastAsia="仿宋_GB2312" w:cs="Times New Roman"/>
                <w:color w:val="000000"/>
                <w:sz w:val="24"/>
                <w:szCs w:val="24"/>
              </w:rPr>
            </w:pPr>
          </w:p>
        </w:tc>
      </w:tr>
      <w:tr w14:paraId="0F07DA0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8A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02C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86F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044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7A2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41C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8FD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2913">
            <w:pPr>
              <w:rPr>
                <w:rFonts w:ascii="Times New Roman" w:hAnsi="Times New Roman" w:eastAsia="仿宋_GB2312" w:cs="Times New Roman"/>
                <w:color w:val="000000"/>
                <w:sz w:val="24"/>
                <w:szCs w:val="24"/>
              </w:rPr>
            </w:pPr>
          </w:p>
        </w:tc>
      </w:tr>
      <w:tr w14:paraId="107034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13C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890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33D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F38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1FF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814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5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CAC0">
            <w:pPr>
              <w:rPr>
                <w:rFonts w:ascii="Times New Roman" w:hAnsi="Times New Roman" w:eastAsia="仿宋_GB2312" w:cs="Times New Roman"/>
                <w:color w:val="000000"/>
                <w:sz w:val="24"/>
                <w:szCs w:val="24"/>
              </w:rPr>
            </w:pPr>
          </w:p>
        </w:tc>
      </w:tr>
      <w:tr w14:paraId="2E8028C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0D6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A26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D5D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25C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08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1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249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57DD">
            <w:pPr>
              <w:rPr>
                <w:rFonts w:ascii="Times New Roman" w:hAnsi="Times New Roman" w:eastAsia="仿宋_GB2312" w:cs="Times New Roman"/>
                <w:color w:val="000000"/>
                <w:sz w:val="24"/>
                <w:szCs w:val="24"/>
              </w:rPr>
            </w:pPr>
          </w:p>
        </w:tc>
      </w:tr>
      <w:tr w14:paraId="56F01CB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EE6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DB8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A8B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2A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24B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99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4D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15EC">
            <w:pPr>
              <w:rPr>
                <w:rFonts w:ascii="Times New Roman" w:hAnsi="Times New Roman" w:eastAsia="仿宋_GB2312" w:cs="Times New Roman"/>
                <w:color w:val="000000"/>
                <w:sz w:val="24"/>
                <w:szCs w:val="24"/>
              </w:rPr>
            </w:pPr>
          </w:p>
        </w:tc>
      </w:tr>
      <w:tr w14:paraId="3CCA16B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DBD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32A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B3B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8F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2E2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8B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0FF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4DF5">
            <w:pPr>
              <w:rPr>
                <w:rFonts w:ascii="Times New Roman" w:hAnsi="Times New Roman" w:eastAsia="仿宋_GB2312" w:cs="Times New Roman"/>
                <w:color w:val="000000"/>
                <w:sz w:val="24"/>
                <w:szCs w:val="24"/>
              </w:rPr>
            </w:pPr>
          </w:p>
        </w:tc>
      </w:tr>
    </w:tbl>
    <w:p w14:paraId="681B850C">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5DE73B9E">
      <w:pPr>
        <w:widowControl/>
        <w:jc w:val="left"/>
        <w:textAlignment w:val="center"/>
        <w:rPr>
          <w:rFonts w:ascii="Times New Roman" w:hAnsi="Times New Roman" w:eastAsia="仿宋_GB2312" w:cs="Times New Roman"/>
          <w:color w:val="000000"/>
          <w:kern w:val="0"/>
          <w:sz w:val="24"/>
          <w:szCs w:val="24"/>
        </w:rPr>
      </w:pPr>
    </w:p>
    <w:p w14:paraId="30C5A207">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03AA5711">
      <w:pPr>
        <w:widowControl/>
        <w:jc w:val="center"/>
        <w:rPr>
          <w:rFonts w:ascii="Times New Roman" w:hAnsi="Times New Roman" w:eastAsia="方正小标宋_GBK" w:cs="Times New Roman"/>
          <w:color w:val="000000"/>
          <w:kern w:val="0"/>
          <w:sz w:val="36"/>
          <w:szCs w:val="36"/>
        </w:rPr>
      </w:pPr>
    </w:p>
    <w:p w14:paraId="74FD3546">
      <w:pPr>
        <w:widowControl/>
        <w:spacing w:line="400" w:lineRule="exact"/>
        <w:textAlignment w:val="center"/>
        <w:rPr>
          <w:rFonts w:ascii="Times New Roman" w:hAnsi="Times New Roman" w:eastAsia="黑体" w:cs="Times New Roman"/>
          <w:color w:val="000000"/>
          <w:kern w:val="0"/>
          <w:sz w:val="36"/>
          <w:szCs w:val="36"/>
        </w:rPr>
      </w:pPr>
    </w:p>
    <w:p w14:paraId="0F5CBC2D">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B2FEE4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327F0FF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CE3B29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6FF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8B45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59A0B032">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5A0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4161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343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029C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DD5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3258678">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668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CDB6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A156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D5EB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F917C">
            <w:pPr>
              <w:jc w:val="center"/>
              <w:rPr>
                <w:rFonts w:ascii="Times New Roman" w:hAnsi="Times New Roman" w:eastAsia="仿宋_GB2312" w:cs="Times New Roman"/>
                <w:color w:val="000000"/>
                <w:sz w:val="24"/>
                <w:szCs w:val="24"/>
              </w:rPr>
            </w:pPr>
          </w:p>
        </w:tc>
      </w:tr>
      <w:tr w14:paraId="7EC0F666">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CD65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F1D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1EBD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B47E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8ABA4">
            <w:pPr>
              <w:jc w:val="center"/>
              <w:rPr>
                <w:rFonts w:ascii="Times New Roman" w:hAnsi="Times New Roman" w:eastAsia="仿宋_GB2312" w:cs="Times New Roman"/>
                <w:color w:val="000000"/>
                <w:sz w:val="24"/>
                <w:szCs w:val="24"/>
              </w:rPr>
            </w:pPr>
          </w:p>
        </w:tc>
      </w:tr>
      <w:tr w14:paraId="7AD6F77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6F2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F2D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04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CE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BD05A1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226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E3B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F0A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7059">
            <w:pPr>
              <w:jc w:val="center"/>
              <w:rPr>
                <w:rFonts w:ascii="Times New Roman" w:hAnsi="Times New Roman" w:eastAsia="仿宋_GB2312" w:cs="Times New Roman"/>
                <w:color w:val="000000"/>
                <w:sz w:val="24"/>
                <w:szCs w:val="24"/>
              </w:rPr>
            </w:pPr>
          </w:p>
        </w:tc>
      </w:tr>
      <w:tr w14:paraId="2A269B6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A25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EE93">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E1F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705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4366">
            <w:pPr>
              <w:rPr>
                <w:rFonts w:ascii="Times New Roman" w:hAnsi="Times New Roman" w:eastAsia="仿宋_GB2312" w:cs="Times New Roman"/>
                <w:color w:val="000000"/>
                <w:sz w:val="24"/>
                <w:szCs w:val="24"/>
              </w:rPr>
            </w:pPr>
          </w:p>
        </w:tc>
      </w:tr>
      <w:tr w14:paraId="33068F0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C5F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85C7">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FFF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D22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D287">
            <w:pPr>
              <w:rPr>
                <w:rFonts w:ascii="Times New Roman" w:hAnsi="Times New Roman" w:eastAsia="仿宋_GB2312" w:cs="Times New Roman"/>
                <w:color w:val="000000"/>
                <w:sz w:val="24"/>
                <w:szCs w:val="24"/>
              </w:rPr>
            </w:pPr>
          </w:p>
        </w:tc>
      </w:tr>
      <w:tr w14:paraId="6B279DF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1BC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22AC">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FAA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148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70E4">
            <w:pPr>
              <w:rPr>
                <w:rFonts w:ascii="Times New Roman" w:hAnsi="Times New Roman" w:eastAsia="宋体" w:cs="Times New Roman"/>
                <w:color w:val="000000"/>
                <w:sz w:val="24"/>
                <w:szCs w:val="24"/>
              </w:rPr>
            </w:pPr>
          </w:p>
        </w:tc>
      </w:tr>
      <w:tr w14:paraId="7F90712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9BE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E7C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E8A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322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5D82">
            <w:pPr>
              <w:rPr>
                <w:rFonts w:ascii="Times New Roman" w:hAnsi="Times New Roman" w:eastAsia="宋体" w:cs="Times New Roman"/>
                <w:color w:val="000000"/>
                <w:sz w:val="24"/>
                <w:szCs w:val="24"/>
              </w:rPr>
            </w:pPr>
          </w:p>
        </w:tc>
      </w:tr>
      <w:tr w14:paraId="44B01CF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4E9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578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AF1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C65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F659">
            <w:pPr>
              <w:rPr>
                <w:rFonts w:ascii="Times New Roman" w:hAnsi="Times New Roman" w:eastAsia="宋体" w:cs="Times New Roman"/>
                <w:color w:val="000000"/>
                <w:sz w:val="24"/>
                <w:szCs w:val="24"/>
              </w:rPr>
            </w:pPr>
          </w:p>
        </w:tc>
      </w:tr>
      <w:tr w14:paraId="5E51DDA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1C4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52B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768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2B9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6AAD">
            <w:pPr>
              <w:rPr>
                <w:rFonts w:ascii="Times New Roman" w:hAnsi="Times New Roman" w:eastAsia="宋体" w:cs="Times New Roman"/>
                <w:color w:val="000000"/>
                <w:sz w:val="24"/>
                <w:szCs w:val="24"/>
              </w:rPr>
            </w:pPr>
          </w:p>
        </w:tc>
      </w:tr>
    </w:tbl>
    <w:p w14:paraId="0F09B9EB">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7F33B86">
      <w:pPr>
        <w:widowControl/>
        <w:jc w:val="left"/>
        <w:textAlignment w:val="center"/>
        <w:rPr>
          <w:rFonts w:ascii="Times New Roman" w:hAnsi="Times New Roman" w:eastAsia="宋体" w:cs="Times New Roman"/>
          <w:color w:val="000000"/>
          <w:kern w:val="0"/>
          <w:sz w:val="24"/>
          <w:szCs w:val="24"/>
        </w:rPr>
      </w:pPr>
    </w:p>
    <w:p w14:paraId="3CD6318A">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0F518BA1">
      <w:pPr>
        <w:widowControl/>
        <w:jc w:val="center"/>
        <w:rPr>
          <w:rFonts w:ascii="Times New Roman" w:hAnsi="Times New Roman" w:eastAsia="方正小标宋_GBK" w:cs="Times New Roman"/>
          <w:color w:val="000000"/>
          <w:kern w:val="0"/>
          <w:sz w:val="36"/>
          <w:szCs w:val="36"/>
        </w:rPr>
      </w:pPr>
    </w:p>
    <w:p w14:paraId="70EA49D1">
      <w:pPr>
        <w:pStyle w:val="9"/>
        <w:spacing w:line="400" w:lineRule="exact"/>
        <w:rPr>
          <w:rFonts w:ascii="Times New Roman" w:hAnsi="Times New Roman" w:eastAsia="华文中宋" w:cs="Times New Roman"/>
          <w:color w:val="000000"/>
          <w:kern w:val="0"/>
          <w:sz w:val="32"/>
          <w:szCs w:val="32"/>
        </w:rPr>
      </w:pPr>
    </w:p>
    <w:p w14:paraId="551327CF">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0C2270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15CBCED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E6E0ABF">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CB175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8666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CB3FD67">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A3A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A45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C44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1FF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2D35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F99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52E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93F5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6909B9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1BD5">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E96E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927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B2C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7E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971B4">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4A63E">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5FC96">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BA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8F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07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381CC">
            <w:pPr>
              <w:jc w:val="center"/>
              <w:rPr>
                <w:rFonts w:ascii="Times New Roman" w:hAnsi="Times New Roman" w:eastAsia="仿宋_GB2312" w:cs="Times New Roman"/>
                <w:color w:val="000000"/>
                <w:sz w:val="22"/>
              </w:rPr>
            </w:pPr>
          </w:p>
        </w:tc>
      </w:tr>
      <w:tr w14:paraId="59B0D7F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0A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D8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21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0E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32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17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0F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CE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57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E3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1E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41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514D6698">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E90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6558">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C9DF">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1AF1">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B775">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AD35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9D9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0.85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3ABC">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BBFA">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8A44">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9786">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637F">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0.85</w:t>
            </w:r>
          </w:p>
        </w:tc>
      </w:tr>
    </w:tbl>
    <w:p w14:paraId="42AE7DF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05F95B5">
      <w:pPr>
        <w:autoSpaceDE w:val="0"/>
        <w:autoSpaceDN w:val="0"/>
        <w:adjustRightInd w:val="0"/>
        <w:ind w:left="315" w:leftChars="150"/>
        <w:jc w:val="left"/>
        <w:rPr>
          <w:rFonts w:ascii="Times New Roman" w:hAnsi="Times New Roman" w:eastAsia="宋体" w:cs="Times New Roman"/>
          <w:kern w:val="0"/>
          <w:sz w:val="24"/>
          <w:szCs w:val="24"/>
        </w:rPr>
      </w:pPr>
    </w:p>
    <w:p w14:paraId="00EA52D1">
      <w:pPr>
        <w:autoSpaceDE w:val="0"/>
        <w:autoSpaceDN w:val="0"/>
        <w:adjustRightInd w:val="0"/>
        <w:ind w:left="315" w:leftChars="150"/>
        <w:jc w:val="left"/>
        <w:rPr>
          <w:rFonts w:ascii="Times New Roman" w:hAnsi="Times New Roman" w:eastAsia="宋体" w:cs="Times New Roman"/>
          <w:kern w:val="0"/>
          <w:sz w:val="24"/>
          <w:szCs w:val="24"/>
        </w:rPr>
      </w:pPr>
    </w:p>
    <w:p w14:paraId="0CE7FF93">
      <w:pPr>
        <w:autoSpaceDE w:val="0"/>
        <w:autoSpaceDN w:val="0"/>
        <w:adjustRightInd w:val="0"/>
        <w:ind w:left="315" w:leftChars="150"/>
        <w:jc w:val="left"/>
        <w:rPr>
          <w:rFonts w:ascii="Times New Roman" w:hAnsi="Times New Roman" w:eastAsia="宋体" w:cs="Times New Roman"/>
          <w:kern w:val="0"/>
          <w:sz w:val="24"/>
          <w:szCs w:val="24"/>
        </w:rPr>
      </w:pPr>
    </w:p>
    <w:p w14:paraId="36E6DE1F">
      <w:pPr>
        <w:autoSpaceDE w:val="0"/>
        <w:autoSpaceDN w:val="0"/>
        <w:adjustRightInd w:val="0"/>
        <w:ind w:left="315" w:leftChars="150"/>
        <w:jc w:val="left"/>
        <w:rPr>
          <w:rFonts w:ascii="Times New Roman" w:hAnsi="Times New Roman" w:eastAsia="宋体" w:cs="Times New Roman"/>
          <w:kern w:val="0"/>
          <w:sz w:val="24"/>
          <w:szCs w:val="24"/>
        </w:rPr>
      </w:pPr>
    </w:p>
    <w:p w14:paraId="6264A071">
      <w:pPr>
        <w:autoSpaceDE w:val="0"/>
        <w:autoSpaceDN w:val="0"/>
        <w:adjustRightInd w:val="0"/>
        <w:ind w:left="315" w:leftChars="150"/>
        <w:jc w:val="left"/>
        <w:rPr>
          <w:rFonts w:ascii="Times New Roman" w:hAnsi="Times New Roman" w:eastAsia="宋体" w:cs="Times New Roman"/>
          <w:kern w:val="0"/>
          <w:sz w:val="24"/>
          <w:szCs w:val="24"/>
        </w:rPr>
      </w:pPr>
    </w:p>
    <w:p w14:paraId="2E94463F">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024E81A2">
      <w:pPr>
        <w:pStyle w:val="15"/>
        <w:rPr>
          <w:rFonts w:ascii="Times New Roman" w:hAnsi="Times New Roman" w:cs="Times New Roman"/>
          <w:sz w:val="72"/>
          <w:szCs w:val="72"/>
        </w:rPr>
      </w:pPr>
    </w:p>
    <w:p w14:paraId="646016A6">
      <w:pPr>
        <w:pStyle w:val="15"/>
        <w:rPr>
          <w:rFonts w:ascii="Times New Roman" w:hAnsi="Times New Roman" w:cs="Times New Roman"/>
          <w:sz w:val="72"/>
          <w:szCs w:val="72"/>
        </w:rPr>
      </w:pPr>
    </w:p>
    <w:p w14:paraId="4033D9BF">
      <w:pPr>
        <w:pStyle w:val="15"/>
        <w:rPr>
          <w:rFonts w:ascii="Times New Roman" w:hAnsi="Times New Roman" w:cs="Times New Roman"/>
          <w:sz w:val="72"/>
          <w:szCs w:val="72"/>
        </w:rPr>
      </w:pPr>
    </w:p>
    <w:p w14:paraId="1FA4DD4B">
      <w:pPr>
        <w:pStyle w:val="15"/>
        <w:jc w:val="center"/>
        <w:rPr>
          <w:rFonts w:ascii="Times New Roman" w:hAnsi="Times New Roman" w:cs="Times New Roman"/>
          <w:sz w:val="72"/>
          <w:szCs w:val="72"/>
        </w:rPr>
      </w:pPr>
    </w:p>
    <w:p w14:paraId="536D63C5">
      <w:pPr>
        <w:pStyle w:val="15"/>
        <w:jc w:val="center"/>
        <w:rPr>
          <w:rFonts w:ascii="Times New Roman" w:hAnsi="Times New Roman" w:eastAsia="方正小标宋_GBK" w:cs="Times New Roman"/>
          <w:sz w:val="72"/>
          <w:szCs w:val="72"/>
        </w:rPr>
      </w:pPr>
    </w:p>
    <w:p w14:paraId="7BA8C9D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BCCD30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38253F1">
      <w:pPr>
        <w:widowControl/>
        <w:jc w:val="left"/>
        <w:rPr>
          <w:rFonts w:ascii="Times New Roman" w:hAnsi="Times New Roman" w:cs="Times New Roman"/>
          <w:sz w:val="32"/>
          <w:szCs w:val="32"/>
        </w:rPr>
      </w:pPr>
      <w:r>
        <w:br w:type="page"/>
      </w:r>
    </w:p>
    <w:p w14:paraId="4047A98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A60A4F9">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136.36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32.82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31.70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普调工资增长、</w:t>
      </w:r>
      <w:r>
        <w:rPr>
          <w:rFonts w:hint="eastAsia" w:ascii="Times New Roman" w:hAnsi="Times New Roman" w:eastAsia="仿宋_GB2312" w:cs="Times New Roman"/>
          <w:color w:val="auto"/>
          <w:sz w:val="32"/>
          <w:szCs w:val="32"/>
          <w:lang w:val="en-US" w:eastAsia="zh-CN"/>
        </w:rPr>
        <w:t>上年存在尚未走账部分开支，</w:t>
      </w:r>
      <w:r>
        <w:rPr>
          <w:rFonts w:hint="default" w:ascii="Times New Roman" w:hAnsi="Times New Roman" w:eastAsia="仿宋_GB2312" w:cs="Times New Roman"/>
          <w:color w:val="auto"/>
          <w:sz w:val="32"/>
          <w:szCs w:val="32"/>
          <w:lang w:val="en-US" w:eastAsia="zh-CN"/>
        </w:rPr>
        <w:t>从而增加人员经费及公用经费的支出</w:t>
      </w:r>
      <w:r>
        <w:rPr>
          <w:rFonts w:hint="default" w:ascii="Times New Roman" w:hAnsi="Times New Roman" w:eastAsia="仿宋_GB2312" w:cs="Times New Roman"/>
          <w:color w:val="auto"/>
          <w:sz w:val="32"/>
          <w:szCs w:val="32"/>
        </w:rPr>
        <w:t>。</w:t>
      </w:r>
    </w:p>
    <w:p w14:paraId="7E7A5C9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E1B4BF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136.36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136.36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D419BF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891129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136.36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136.36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F68D19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D5B9A6B">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136.36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32.82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31.70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普调工资增长、</w:t>
      </w:r>
      <w:r>
        <w:rPr>
          <w:rFonts w:hint="eastAsia" w:ascii="Times New Roman" w:hAnsi="Times New Roman" w:eastAsia="仿宋_GB2312" w:cs="Times New Roman"/>
          <w:color w:val="auto"/>
          <w:sz w:val="32"/>
          <w:szCs w:val="32"/>
          <w:lang w:val="en-US" w:eastAsia="zh-CN"/>
        </w:rPr>
        <w:t>上年存在尚未走账部分开支，</w:t>
      </w:r>
      <w:r>
        <w:rPr>
          <w:rFonts w:hint="default" w:ascii="Times New Roman" w:hAnsi="Times New Roman" w:eastAsia="仿宋_GB2312" w:cs="Times New Roman"/>
          <w:color w:val="auto"/>
          <w:sz w:val="32"/>
          <w:szCs w:val="32"/>
          <w:lang w:val="en-US" w:eastAsia="zh-CN"/>
        </w:rPr>
        <w:t>从而增加人员经费及公用经费的支出</w:t>
      </w:r>
      <w:r>
        <w:rPr>
          <w:rFonts w:hint="default" w:ascii="Times New Roman" w:hAnsi="Times New Roman" w:eastAsia="仿宋_GB2312" w:cs="Times New Roman"/>
          <w:color w:val="auto"/>
          <w:sz w:val="32"/>
          <w:szCs w:val="32"/>
        </w:rPr>
        <w:t>。</w:t>
      </w:r>
    </w:p>
    <w:p w14:paraId="6FBD4EB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42438F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46B6989">
      <w:pPr>
        <w:pStyle w:val="15"/>
        <w:spacing w:line="60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136.36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%，与上年相比，财政拨款支出增加增加</w:t>
      </w:r>
      <w:r>
        <w:rPr>
          <w:rFonts w:hint="eastAsia" w:ascii="Times New Roman" w:hAnsi="Times New Roman" w:eastAsia="仿宋_GB2312" w:cs="Times New Roman"/>
          <w:sz w:val="32"/>
          <w:szCs w:val="32"/>
          <w:lang w:val="en-US" w:eastAsia="zh-CN"/>
        </w:rPr>
        <w:t>32.82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31.70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普调工资增长、</w:t>
      </w:r>
      <w:r>
        <w:rPr>
          <w:rFonts w:hint="eastAsia" w:ascii="Times New Roman" w:hAnsi="Times New Roman" w:eastAsia="仿宋_GB2312" w:cs="Times New Roman"/>
          <w:color w:val="auto"/>
          <w:sz w:val="32"/>
          <w:szCs w:val="32"/>
          <w:lang w:val="en-US" w:eastAsia="zh-CN"/>
        </w:rPr>
        <w:t>上年存在尚未走账部分开支，</w:t>
      </w:r>
      <w:r>
        <w:rPr>
          <w:rFonts w:hint="default" w:ascii="Times New Roman" w:hAnsi="Times New Roman" w:eastAsia="仿宋_GB2312" w:cs="Times New Roman"/>
          <w:color w:val="auto"/>
          <w:sz w:val="32"/>
          <w:szCs w:val="32"/>
          <w:lang w:val="en-US" w:eastAsia="zh-CN"/>
        </w:rPr>
        <w:t>从而增加人员经费及公用经费的支出</w:t>
      </w:r>
      <w:r>
        <w:rPr>
          <w:rFonts w:hint="default" w:ascii="Times New Roman" w:hAnsi="Times New Roman" w:eastAsia="仿宋_GB2312" w:cs="Times New Roman"/>
          <w:color w:val="auto"/>
          <w:sz w:val="32"/>
          <w:szCs w:val="32"/>
        </w:rPr>
        <w:t>。</w:t>
      </w:r>
    </w:p>
    <w:p w14:paraId="1AA967D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F484D0E">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w:t>
      </w:r>
      <w:r>
        <w:rPr>
          <w:rFonts w:ascii="Times New Roman" w:hAnsi="Times New Roman" w:eastAsia="仿宋_GB2312" w:cs="Times New Roman"/>
          <w:color w:val="auto"/>
          <w:sz w:val="32"/>
          <w:szCs w:val="32"/>
        </w:rPr>
        <w:t>度财政拨款支出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136.36</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万元，主要用于以下方面：</w:t>
      </w:r>
      <w:r>
        <w:rPr>
          <w:rFonts w:hint="eastAsia" w:ascii="Times New Roman" w:hAnsi="Times New Roman" w:eastAsia="仿宋_GB2312" w:cs="Times New Roman"/>
          <w:color w:val="auto"/>
          <w:sz w:val="32"/>
          <w:szCs w:val="32"/>
          <w:u w:val="none"/>
          <w:lang w:val="en-US" w:eastAsia="zh-CN"/>
        </w:rPr>
        <w:t>文化旅游体育与传媒类</w:t>
      </w:r>
      <w:r>
        <w:rPr>
          <w:rFonts w:ascii="Times New Roman" w:hAnsi="Times New Roman" w:eastAsia="仿宋_GB2312" w:cs="Times New Roman"/>
          <w:color w:val="auto"/>
          <w:sz w:val="32"/>
          <w:szCs w:val="32"/>
          <w:u w:val="none"/>
        </w:rPr>
        <w:t>支出</w:t>
      </w:r>
      <w:r>
        <w:rPr>
          <w:rFonts w:hint="eastAsia" w:ascii="Times New Roman" w:hAnsi="Times New Roman" w:eastAsia="仿宋_GB2312" w:cs="Times New Roman"/>
          <w:color w:val="auto"/>
          <w:sz w:val="32"/>
          <w:szCs w:val="32"/>
          <w:u w:val="none"/>
          <w:lang w:val="en-US" w:eastAsia="zh-CN"/>
        </w:rPr>
        <w:t>136.36万元，占比100%</w:t>
      </w:r>
    </w:p>
    <w:p w14:paraId="358964D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865E8E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136.36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136.36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05BD81C1">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u w:val="none"/>
          <w:lang w:val="en-US" w:eastAsia="zh-CN"/>
        </w:rPr>
        <w:t>文化旅游体育与传媒支出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文化和旅游</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群众文化</w:t>
      </w:r>
      <w:r>
        <w:rPr>
          <w:rFonts w:ascii="Times New Roman" w:hAnsi="Times New Roman" w:eastAsia="仿宋_GB2312" w:cs="Times New Roman"/>
          <w:color w:val="auto"/>
          <w:sz w:val="32"/>
          <w:szCs w:val="32"/>
          <w:u w:val="none"/>
        </w:rPr>
        <w:t>（项）</w:t>
      </w:r>
      <w:r>
        <w:rPr>
          <w:rFonts w:ascii="Times New Roman" w:hAnsi="Times New Roman" w:eastAsia="仿宋_GB2312" w:cs="Times New Roman"/>
          <w:color w:val="auto"/>
          <w:sz w:val="32"/>
          <w:szCs w:val="32"/>
        </w:rPr>
        <w:t>。</w:t>
      </w:r>
    </w:p>
    <w:p w14:paraId="25113D5C">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136.36</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136.36</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万元，完成年初预算的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100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p>
    <w:p w14:paraId="61AD8BF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74735C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136.36</w:t>
      </w:r>
      <w:r>
        <w:rPr>
          <w:rFonts w:ascii="Times New Roman" w:hAnsi="Times New Roman" w:eastAsia="仿宋_GB2312" w:cs="Times New Roman"/>
          <w:sz w:val="32"/>
          <w:szCs w:val="32"/>
        </w:rPr>
        <w:t>万元，其中：</w:t>
      </w:r>
    </w:p>
    <w:p w14:paraId="46974DB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84.64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62.07</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主要包括基本工资、津贴补贴、奖金、伙食补助费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u w:val="none"/>
          <w:lang w:val="en-US" w:eastAsia="zh-CN"/>
        </w:rPr>
        <w:t>机关养老保险、医疗保险等其他工资福利支出、对个人及家庭补助支出</w:t>
      </w:r>
      <w:r>
        <w:rPr>
          <w:rFonts w:hint="eastAsia" w:ascii="Times New Roman" w:hAnsi="Times New Roman" w:eastAsia="仿宋_GB2312" w:cs="Times New Roman"/>
          <w:color w:val="auto"/>
          <w:sz w:val="32"/>
          <w:szCs w:val="32"/>
          <w:lang w:eastAsia="zh-CN"/>
        </w:rPr>
        <w:t>。</w:t>
      </w:r>
    </w:p>
    <w:p w14:paraId="27784388">
      <w:pPr>
        <w:pStyle w:val="15"/>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51.72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37.03</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主要包括办公费、印刷费、</w:t>
      </w:r>
      <w:r>
        <w:rPr>
          <w:rFonts w:hint="eastAsia" w:ascii="Times New Roman" w:hAnsi="Times New Roman" w:eastAsia="仿宋_GB2312" w:cs="Times New Roman"/>
          <w:color w:val="auto"/>
          <w:sz w:val="32"/>
          <w:szCs w:val="32"/>
          <w:u w:val="none"/>
          <w:lang w:val="en-US" w:eastAsia="zh-CN"/>
        </w:rPr>
        <w:t>水电费、差旅费、工会经费、福利费、公务接待费、其他交通费（车补）、其他商品和服务支出等</w:t>
      </w:r>
      <w:r>
        <w:rPr>
          <w:rFonts w:ascii="Times New Roman" w:hAnsi="Times New Roman" w:eastAsia="仿宋_GB2312" w:cs="Times New Roman"/>
          <w:color w:val="auto"/>
          <w:sz w:val="32"/>
          <w:szCs w:val="32"/>
          <w:u w:val="none"/>
        </w:rPr>
        <w:t>。</w:t>
      </w:r>
    </w:p>
    <w:p w14:paraId="4BC8AA47">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382CF8ED">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64B1A1B">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53.12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23.19</w:t>
      </w:r>
      <w:r>
        <w:rPr>
          <w:rFonts w:ascii="Times New Roman" w:hAnsi="Times New Roman" w:eastAsia="仿宋_GB2312" w:cs="Times New Roman"/>
          <w:sz w:val="32"/>
          <w:szCs w:val="32"/>
        </w:rPr>
        <w:t>%。决算数小于预算数的</w:t>
      </w:r>
      <w:r>
        <w:rPr>
          <w:rFonts w:ascii="Times New Roman" w:hAnsi="Times New Roman" w:eastAsia="仿宋_GB2312" w:cs="Times New Roman"/>
          <w:color w:val="auto"/>
          <w:sz w:val="32"/>
          <w:szCs w:val="32"/>
          <w:u w:val="none"/>
        </w:rPr>
        <w:t>主要原因是</w:t>
      </w:r>
      <w:r>
        <w:rPr>
          <w:rFonts w:hint="eastAsia" w:ascii="Times New Roman" w:hAnsi="Times New Roman" w:eastAsia="仿宋_GB2312" w:cs="Times New Roman"/>
          <w:color w:val="auto"/>
          <w:sz w:val="32"/>
          <w:szCs w:val="32"/>
          <w:u w:val="none"/>
          <w:lang w:val="en-US" w:eastAsia="zh-CN"/>
        </w:rPr>
        <w:t>勤俭节约、压缩公务接待开支</w:t>
      </w:r>
      <w:r>
        <w:rPr>
          <w:rFonts w:ascii="Times New Roman" w:hAnsi="Times New Roman" w:eastAsia="仿宋_GB2312" w:cs="Times New Roman"/>
          <w:sz w:val="32"/>
          <w:szCs w:val="32"/>
        </w:rPr>
        <w:t>。</w:t>
      </w:r>
    </w:p>
    <w:p w14:paraId="613E1AE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431A123">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lang w:val="en-US" w:eastAsia="zh-CN"/>
        </w:rPr>
        <w:t>决算数与年初预算数一致，无增减变动，与上年相比保持一致，无增减变动，主要原因是本单位严格按预算执行决算，</w:t>
      </w:r>
      <w:r>
        <w:rPr>
          <w:rFonts w:ascii="Times New Roman" w:hAnsi="Times New Roman" w:eastAsia="仿宋_GB2312" w:cs="Times New Roman"/>
          <w:color w:val="auto"/>
          <w:sz w:val="32"/>
          <w:szCs w:val="32"/>
        </w:rPr>
        <w:t>因公出国（境）费支出</w:t>
      </w:r>
      <w:r>
        <w:rPr>
          <w:rFonts w:hint="eastAsia" w:ascii="Times New Roman" w:hAnsi="Times New Roman" w:eastAsia="仿宋_GB2312" w:cs="Times New Roman"/>
          <w:color w:val="auto"/>
          <w:sz w:val="32"/>
          <w:szCs w:val="32"/>
          <w:lang w:val="en-US" w:eastAsia="zh-CN"/>
        </w:rPr>
        <w:t>与上年持平。</w:t>
      </w:r>
    </w:p>
    <w:p w14:paraId="56A3CD85">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w:t>
      </w:r>
      <w:r>
        <w:rPr>
          <w:rFonts w:ascii="Times New Roman" w:hAnsi="Times New Roman" w:eastAsia="仿宋_GB2312" w:cs="Times New Roman"/>
          <w:color w:val="auto"/>
          <w:sz w:val="32"/>
          <w:szCs w:val="32"/>
        </w:rPr>
        <w:t>公务用车购置费及运行维护费支出预算为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万元，完成预算的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决算数与年初预算数一致，无增减变动，与上年相比保持一致，无增减变动，主要原因是本单位无公务用车。</w:t>
      </w:r>
    </w:p>
    <w:p w14:paraId="52B5449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53.12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23.19</w:t>
      </w:r>
      <w:r>
        <w:rPr>
          <w:rFonts w:ascii="Times New Roman" w:hAnsi="Times New Roman" w:eastAsia="仿宋_GB2312" w:cs="Times New Roman"/>
          <w:sz w:val="32"/>
          <w:szCs w:val="32"/>
        </w:rPr>
        <w:t>%。决算数小于上年数的主要原因是</w:t>
      </w:r>
      <w:r>
        <w:rPr>
          <w:rFonts w:ascii="Times New Roman" w:hAnsi="Times New Roman" w:eastAsia="仿宋_GB2312" w:cs="Times New Roman"/>
          <w:color w:val="auto"/>
          <w:sz w:val="32"/>
          <w:szCs w:val="32"/>
          <w:u w:val="none"/>
        </w:rPr>
        <w:t>是</w:t>
      </w:r>
      <w:r>
        <w:rPr>
          <w:rFonts w:hint="eastAsia" w:ascii="Times New Roman" w:hAnsi="Times New Roman" w:eastAsia="仿宋_GB2312" w:cs="Times New Roman"/>
          <w:color w:val="auto"/>
          <w:sz w:val="32"/>
          <w:szCs w:val="32"/>
          <w:u w:val="none"/>
          <w:lang w:val="en-US" w:eastAsia="zh-CN"/>
        </w:rPr>
        <w:t>勤俭节约、压缩公务接待开支</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全年共接待来访团组</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79</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u w:val="none"/>
          <w:lang w:val="en-US" w:eastAsia="zh-CN"/>
        </w:rPr>
        <w:t>各协会活动过程中</w:t>
      </w:r>
      <w:r>
        <w:rPr>
          <w:rFonts w:ascii="Times New Roman" w:hAnsi="Times New Roman" w:eastAsia="仿宋_GB2312" w:cs="Times New Roman"/>
          <w:color w:val="auto"/>
          <w:sz w:val="32"/>
          <w:szCs w:val="32"/>
          <w:u w:val="none"/>
        </w:rPr>
        <w:t>发生的接待支出。</w:t>
      </w:r>
    </w:p>
    <w:p w14:paraId="136E03C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96070C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本单位无政府性基金收支</w:t>
      </w:r>
      <w:r>
        <w:rPr>
          <w:rFonts w:hint="default" w:ascii="Times New Roman" w:hAnsi="Times New Roman" w:eastAsia="仿宋_GB2312" w:cs="Times New Roman"/>
          <w:color w:val="auto"/>
          <w:sz w:val="32"/>
          <w:szCs w:val="32"/>
          <w:u w:val="none"/>
          <w:lang w:eastAsia="zh-CN"/>
        </w:rPr>
        <w:t>。</w:t>
      </w:r>
    </w:p>
    <w:p w14:paraId="7605083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6BD4F79">
      <w:pPr>
        <w:spacing w:line="600" w:lineRule="exact"/>
        <w:ind w:firstLine="640" w:firstLineChars="200"/>
        <w:rPr>
          <w:rFonts w:hint="default" w:eastAsia="仿宋_GB2312"/>
          <w:kern w:val="0"/>
          <w:sz w:val="32"/>
          <w:szCs w:val="32"/>
          <w:lang w:val="en-US"/>
        </w:rPr>
      </w:pPr>
      <w:r>
        <w:rPr>
          <w:rFonts w:ascii="Times New Roman" w:hAnsi="Times New Roman" w:eastAsia="仿宋_GB2312" w:cs="Times New Roman"/>
          <w:color w:val="auto"/>
          <w:sz w:val="32"/>
          <w:szCs w:val="32"/>
        </w:rPr>
        <w:t>本部门2024年度</w:t>
      </w:r>
      <w:r>
        <w:rPr>
          <w:rFonts w:ascii="Times New Roman" w:hAnsi="Times New Roman" w:eastAsia="仿宋_GB2312" w:cs="Times New Roman"/>
          <w:sz w:val="32"/>
          <w:szCs w:val="32"/>
        </w:rPr>
        <w:t>机关运行经费支出</w:t>
      </w:r>
      <w:r>
        <w:rPr>
          <w:rFonts w:hint="eastAsia" w:ascii="Times New Roman" w:hAnsi="Times New Roman" w:eastAsia="仿宋_GB2312" w:cs="Times New Roman"/>
          <w:sz w:val="32"/>
          <w:szCs w:val="32"/>
          <w:lang w:val="en-US" w:eastAsia="zh-CN"/>
        </w:rPr>
        <w:t>51.72</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18.28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54.67</w:t>
      </w:r>
      <w:r>
        <w:rPr>
          <w:rFonts w:ascii="Times New Roman" w:hAnsi="Times New Roman" w:eastAsia="仿宋_GB2312" w:cs="Times New Roman"/>
          <w:sz w:val="32"/>
          <w:szCs w:val="32"/>
        </w:rPr>
        <w:t>%。主要原因是：</w:t>
      </w:r>
      <w:r>
        <w:rPr>
          <w:rFonts w:ascii="Times New Roman" w:hAnsi="Times New Roman" w:eastAsia="仿宋_GB2312" w:cs="Times New Roman"/>
          <w:color w:val="auto"/>
          <w:sz w:val="32"/>
          <w:szCs w:val="32"/>
          <w:u w:val="none"/>
        </w:rPr>
        <w:t>是</w:t>
      </w:r>
      <w:r>
        <w:rPr>
          <w:rFonts w:hint="eastAsia" w:ascii="Times New Roman" w:hAnsi="Times New Roman" w:eastAsia="仿宋_GB2312" w:cs="Times New Roman"/>
          <w:color w:val="auto"/>
          <w:sz w:val="32"/>
          <w:szCs w:val="32"/>
          <w:u w:val="none"/>
          <w:lang w:val="en-US" w:eastAsia="zh-CN"/>
        </w:rPr>
        <w:t>本年度发生</w:t>
      </w:r>
      <w:r>
        <w:rPr>
          <w:rFonts w:hint="eastAsia" w:ascii="Times New Roman" w:hAnsi="Times New Roman" w:eastAsia="仿宋_GB2312" w:cs="Times New Roman"/>
          <w:color w:val="auto"/>
          <w:sz w:val="32"/>
          <w:szCs w:val="32"/>
          <w:lang w:val="en-US" w:eastAsia="zh-CN"/>
        </w:rPr>
        <w:t>各协会及美术展等活动开支</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上年尚未走账部分开支，</w:t>
      </w:r>
      <w:r>
        <w:rPr>
          <w:rFonts w:hint="default" w:ascii="Times New Roman" w:hAnsi="Times New Roman" w:eastAsia="仿宋_GB2312" w:cs="Times New Roman"/>
          <w:color w:val="auto"/>
          <w:sz w:val="32"/>
          <w:szCs w:val="32"/>
          <w:lang w:val="en-US" w:eastAsia="zh-CN"/>
        </w:rPr>
        <w:t>从而增加人员经费及公用经费的支出</w:t>
      </w:r>
      <w:r>
        <w:rPr>
          <w:rFonts w:hint="default" w:ascii="Times New Roman" w:hAnsi="Times New Roman" w:eastAsia="仿宋_GB2312" w:cs="Times New Roman"/>
          <w:color w:val="auto"/>
          <w:sz w:val="32"/>
          <w:szCs w:val="32"/>
        </w:rPr>
        <w:t>。</w:t>
      </w:r>
    </w:p>
    <w:p w14:paraId="04779D9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6B374D2">
      <w:pPr>
        <w:spacing w:line="600" w:lineRule="exact"/>
        <w:ind w:firstLine="640" w:firstLineChars="200"/>
        <w:rPr>
          <w:rFonts w:eastAsia="仿宋_GB2312"/>
          <w:kern w:val="0"/>
          <w:sz w:val="32"/>
          <w:szCs w:val="32"/>
          <w:u w:val="none"/>
        </w:rPr>
      </w:pPr>
      <w:r>
        <w:rPr>
          <w:rFonts w:ascii="Times New Roman" w:hAnsi="Times New Roman" w:eastAsia="仿宋_GB2312" w:cs="Times New Roman"/>
          <w:sz w:val="32"/>
          <w:szCs w:val="32"/>
        </w:rPr>
        <w:t>2024年</w:t>
      </w:r>
      <w:r>
        <w:rPr>
          <w:rFonts w:hint="eastAsia" w:eastAsia="仿宋_GB2312"/>
          <w:kern w:val="0"/>
          <w:sz w:val="32"/>
          <w:szCs w:val="32"/>
          <w:u w:val="none"/>
          <w:lang w:eastAsia="zh-CN"/>
        </w:rPr>
        <w:t>蓝山县文学艺术界联合会</w:t>
      </w:r>
      <w:r>
        <w:rPr>
          <w:rFonts w:eastAsia="仿宋_GB2312"/>
          <w:kern w:val="0"/>
          <w:sz w:val="32"/>
          <w:szCs w:val="32"/>
          <w:u w:val="none"/>
        </w:rPr>
        <w:t>年本部门开支会议费</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val="en-US" w:eastAsia="zh-CN"/>
        </w:rPr>
        <w:t>未计划召开会议，</w:t>
      </w:r>
      <w:r>
        <w:rPr>
          <w:rFonts w:eastAsia="仿宋_GB2312"/>
          <w:kern w:val="0"/>
          <w:sz w:val="32"/>
          <w:szCs w:val="32"/>
          <w:u w:val="none"/>
        </w:rPr>
        <w:t>人数</w:t>
      </w:r>
      <w:r>
        <w:rPr>
          <w:rFonts w:hint="eastAsia" w:eastAsia="仿宋_GB2312"/>
          <w:sz w:val="32"/>
          <w:szCs w:val="32"/>
          <w:u w:val="none"/>
          <w:lang w:val="en-US" w:eastAsia="zh-CN"/>
        </w:rPr>
        <w:t>0</w:t>
      </w:r>
      <w:r>
        <w:rPr>
          <w:rFonts w:eastAsia="仿宋_GB2312"/>
          <w:kern w:val="0"/>
          <w:sz w:val="32"/>
          <w:szCs w:val="32"/>
          <w:u w:val="none"/>
        </w:rPr>
        <w:t>人；开支培训费</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val="en-US" w:eastAsia="zh-CN"/>
        </w:rPr>
        <w:t>未计划召开培训，</w:t>
      </w:r>
      <w:r>
        <w:rPr>
          <w:rFonts w:eastAsia="仿宋_GB2312"/>
          <w:kern w:val="0"/>
          <w:sz w:val="32"/>
          <w:szCs w:val="32"/>
          <w:u w:val="none"/>
        </w:rPr>
        <w:t>人数</w:t>
      </w:r>
      <w:r>
        <w:rPr>
          <w:rFonts w:hint="eastAsia" w:eastAsia="仿宋_GB2312"/>
          <w:sz w:val="32"/>
          <w:szCs w:val="32"/>
          <w:u w:val="none"/>
          <w:lang w:val="en-US" w:eastAsia="zh-CN"/>
        </w:rPr>
        <w:t>0</w:t>
      </w:r>
      <w:r>
        <w:rPr>
          <w:rFonts w:eastAsia="仿宋_GB2312"/>
          <w:kern w:val="0"/>
          <w:sz w:val="32"/>
          <w:szCs w:val="32"/>
          <w:u w:val="none"/>
        </w:rPr>
        <w:t>人；</w:t>
      </w:r>
      <w:r>
        <w:rPr>
          <w:rFonts w:hint="eastAsia" w:eastAsia="仿宋_GB2312"/>
          <w:kern w:val="0"/>
          <w:sz w:val="32"/>
          <w:szCs w:val="32"/>
          <w:u w:val="none"/>
          <w:lang w:val="en-US" w:eastAsia="zh-CN"/>
        </w:rPr>
        <w:t>未计划</w:t>
      </w:r>
      <w:r>
        <w:rPr>
          <w:rFonts w:eastAsia="仿宋_GB2312"/>
          <w:kern w:val="0"/>
          <w:sz w:val="32"/>
          <w:szCs w:val="32"/>
          <w:u w:val="none"/>
        </w:rPr>
        <w:t>举办节庆、晚会、论坛、赛事活动，开支</w:t>
      </w:r>
      <w:r>
        <w:rPr>
          <w:rFonts w:hint="eastAsia" w:eastAsia="仿宋_GB2312"/>
          <w:sz w:val="32"/>
          <w:szCs w:val="32"/>
          <w:u w:val="none"/>
          <w:lang w:val="en-US" w:eastAsia="zh-CN"/>
        </w:rPr>
        <w:t>0</w:t>
      </w:r>
      <w:r>
        <w:rPr>
          <w:rFonts w:eastAsia="仿宋_GB2312"/>
          <w:kern w:val="0"/>
          <w:sz w:val="32"/>
          <w:szCs w:val="32"/>
          <w:u w:val="none"/>
        </w:rPr>
        <w:t>万元，主要是</w:t>
      </w:r>
      <w:r>
        <w:rPr>
          <w:rFonts w:hint="eastAsia" w:eastAsia="仿宋_GB2312"/>
          <w:kern w:val="0"/>
          <w:sz w:val="32"/>
          <w:szCs w:val="32"/>
          <w:u w:val="none"/>
          <w:lang w:val="en-US" w:eastAsia="zh-CN"/>
        </w:rPr>
        <w:t>本年度开支会议、培训及活动实际未发生支出</w:t>
      </w:r>
      <w:r>
        <w:rPr>
          <w:rFonts w:eastAsia="仿宋_GB2312"/>
          <w:kern w:val="0"/>
          <w:sz w:val="32"/>
          <w:szCs w:val="32"/>
          <w:u w:val="none"/>
        </w:rPr>
        <w:t>。</w:t>
      </w:r>
    </w:p>
    <w:p w14:paraId="75B5153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1C992E7">
      <w:pPr>
        <w:spacing w:line="600" w:lineRule="exact"/>
        <w:ind w:firstLine="640" w:firstLineChars="200"/>
        <w:rPr>
          <w:rFonts w:eastAsia="仿宋_GB2312"/>
          <w:kern w:val="0"/>
          <w:sz w:val="32"/>
          <w:szCs w:val="32"/>
        </w:rPr>
      </w:pPr>
      <w:r>
        <w:rPr>
          <w:rFonts w:eastAsia="仿宋_GB2312"/>
          <w:kern w:val="0"/>
          <w:sz w:val="32"/>
          <w:szCs w:val="32"/>
        </w:rPr>
        <w:t>本部门</w:t>
      </w: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度政府采购支出总额</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万元，其中：政府采购货物支出</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万元、政府采购工程支出</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万元、政府采购服务支出</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万元。授予中小企业合同金额</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万元，占政府采购支出总额的</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 xml:space="preserve"> %，其中：授予小微企业合同金额</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万元，占政府采购支出总额的</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 xml:space="preserve"> %。</w:t>
      </w:r>
    </w:p>
    <w:p w14:paraId="0B2ECFB3">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9CB3FB7">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辆、主要负责人用车XX辆、机要通信用车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5028126">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十三、关于2024年度预算绩效情况的说明</w:t>
      </w:r>
    </w:p>
    <w:p w14:paraId="553BAEC7">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我单位2024年收到财政资金136.36万元。其中基本支出136.36万元，项目支出 0万元；2024年全年实际支出136.36万元；结余财政资金0万元。基本支出结余0元，项目支出结余0元。</w:t>
      </w:r>
    </w:p>
    <w:p w14:paraId="5272D559">
      <w:pPr>
        <w:pStyle w:val="15"/>
        <w:jc w:val="center"/>
        <w:rPr>
          <w:rFonts w:ascii="Times New Roman" w:hAnsi="Times New Roman" w:cs="Times New Roman"/>
          <w:sz w:val="72"/>
          <w:szCs w:val="72"/>
        </w:rPr>
      </w:pPr>
    </w:p>
    <w:p w14:paraId="5FBA23B5">
      <w:pPr>
        <w:pStyle w:val="15"/>
        <w:jc w:val="center"/>
        <w:rPr>
          <w:rFonts w:ascii="Times New Roman" w:hAnsi="Times New Roman" w:cs="Times New Roman"/>
          <w:sz w:val="72"/>
          <w:szCs w:val="72"/>
        </w:rPr>
      </w:pPr>
    </w:p>
    <w:p w14:paraId="3E33AE68">
      <w:pPr>
        <w:pStyle w:val="15"/>
        <w:jc w:val="center"/>
        <w:rPr>
          <w:rFonts w:ascii="Times New Roman" w:hAnsi="Times New Roman" w:cs="Times New Roman"/>
          <w:sz w:val="72"/>
          <w:szCs w:val="72"/>
        </w:rPr>
      </w:pPr>
    </w:p>
    <w:p w14:paraId="6231CF71">
      <w:pPr>
        <w:pStyle w:val="15"/>
        <w:jc w:val="center"/>
        <w:rPr>
          <w:rFonts w:ascii="Times New Roman" w:hAnsi="Times New Roman" w:cs="Times New Roman"/>
          <w:sz w:val="72"/>
          <w:szCs w:val="72"/>
        </w:rPr>
      </w:pPr>
    </w:p>
    <w:p w14:paraId="12522910">
      <w:pPr>
        <w:pStyle w:val="15"/>
        <w:jc w:val="center"/>
        <w:rPr>
          <w:rFonts w:ascii="Times New Roman" w:hAnsi="Times New Roman" w:cs="Times New Roman"/>
          <w:sz w:val="72"/>
          <w:szCs w:val="72"/>
        </w:rPr>
      </w:pPr>
    </w:p>
    <w:p w14:paraId="7469FFB3">
      <w:pPr>
        <w:pStyle w:val="15"/>
        <w:jc w:val="center"/>
        <w:rPr>
          <w:rFonts w:ascii="Times New Roman" w:hAnsi="Times New Roman" w:cs="Times New Roman"/>
          <w:sz w:val="72"/>
          <w:szCs w:val="72"/>
        </w:rPr>
      </w:pPr>
    </w:p>
    <w:p w14:paraId="59BAE544">
      <w:pPr>
        <w:pStyle w:val="15"/>
        <w:jc w:val="center"/>
        <w:rPr>
          <w:rFonts w:ascii="Times New Roman" w:hAnsi="Times New Roman" w:cs="Times New Roman"/>
          <w:sz w:val="72"/>
          <w:szCs w:val="72"/>
        </w:rPr>
      </w:pPr>
    </w:p>
    <w:p w14:paraId="3A3D6980">
      <w:pPr>
        <w:pStyle w:val="15"/>
        <w:jc w:val="center"/>
        <w:rPr>
          <w:rFonts w:ascii="Times New Roman" w:hAnsi="Times New Roman" w:cs="Times New Roman"/>
          <w:sz w:val="72"/>
          <w:szCs w:val="72"/>
        </w:rPr>
      </w:pPr>
    </w:p>
    <w:p w14:paraId="47FDCF5A">
      <w:pPr>
        <w:pStyle w:val="15"/>
        <w:jc w:val="center"/>
        <w:rPr>
          <w:rFonts w:ascii="Times New Roman" w:hAnsi="Times New Roman" w:cs="Times New Roman"/>
          <w:sz w:val="72"/>
          <w:szCs w:val="72"/>
        </w:rPr>
      </w:pPr>
    </w:p>
    <w:p w14:paraId="6C27ABA9">
      <w:pPr>
        <w:pStyle w:val="15"/>
        <w:jc w:val="center"/>
        <w:rPr>
          <w:rFonts w:ascii="Times New Roman" w:hAnsi="Times New Roman" w:cs="Times New Roman"/>
          <w:sz w:val="72"/>
          <w:szCs w:val="72"/>
        </w:rPr>
      </w:pPr>
    </w:p>
    <w:p w14:paraId="090D73F1">
      <w:pPr>
        <w:pStyle w:val="15"/>
        <w:jc w:val="center"/>
        <w:rPr>
          <w:rFonts w:ascii="Times New Roman" w:hAnsi="Times New Roman" w:cs="Times New Roman"/>
          <w:sz w:val="72"/>
          <w:szCs w:val="72"/>
        </w:rPr>
      </w:pPr>
    </w:p>
    <w:p w14:paraId="5853CEF8">
      <w:pPr>
        <w:pStyle w:val="15"/>
        <w:jc w:val="center"/>
        <w:rPr>
          <w:rFonts w:ascii="Times New Roman" w:hAnsi="Times New Roman" w:cs="Times New Roman"/>
          <w:sz w:val="72"/>
          <w:szCs w:val="72"/>
        </w:rPr>
      </w:pPr>
    </w:p>
    <w:p w14:paraId="00EFB2D8">
      <w:pPr>
        <w:pStyle w:val="15"/>
        <w:jc w:val="both"/>
        <w:rPr>
          <w:rFonts w:ascii="Times New Roman" w:hAnsi="Times New Roman" w:cs="Times New Roman"/>
          <w:sz w:val="72"/>
          <w:szCs w:val="72"/>
        </w:rPr>
      </w:pPr>
    </w:p>
    <w:p w14:paraId="18B7140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C294B1D">
      <w:pPr>
        <w:widowControl/>
        <w:jc w:val="left"/>
        <w:rPr>
          <w:rFonts w:ascii="Times New Roman" w:hAnsi="Times New Roman" w:cs="Times New Roman"/>
          <w:color w:val="000000"/>
          <w:kern w:val="0"/>
          <w:sz w:val="32"/>
          <w:szCs w:val="32"/>
        </w:rPr>
      </w:pPr>
    </w:p>
    <w:p w14:paraId="33080264">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（一）</w:t>
      </w:r>
      <w:r>
        <w:rPr>
          <w:rFonts w:hint="eastAsia" w:ascii="楷体_GB2312" w:hAnsi="楷体_GB2312" w:eastAsia="楷体_GB2312" w:cs="楷体_GB2312"/>
          <w:b/>
          <w:bCs/>
          <w:i w:val="0"/>
          <w:caps w:val="0"/>
          <w:color w:val="000000"/>
          <w:spacing w:val="0"/>
          <w:sz w:val="32"/>
          <w:szCs w:val="32"/>
          <w:u w:val="none"/>
          <w:shd w:val="clear" w:color="auto" w:fill="FFFFFF"/>
        </w:rPr>
        <w:t>机关运行经费</w:t>
      </w:r>
      <w:r>
        <w:rPr>
          <w:rFonts w:hint="eastAsia" w:ascii="仿宋_GB2312" w:hAnsi="仿宋_GB2312" w:eastAsia="仿宋_GB2312" w:cs="仿宋_GB2312"/>
          <w:i w:val="0"/>
          <w:caps w:val="0"/>
          <w:color w:val="000000"/>
          <w:spacing w:val="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1345A27C">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（二）</w:t>
      </w:r>
      <w:r>
        <w:rPr>
          <w:rFonts w:hint="eastAsia" w:ascii="楷体_GB2312" w:hAnsi="楷体_GB2312" w:eastAsia="楷体_GB2312" w:cs="楷体_GB2312"/>
          <w:b/>
          <w:bCs/>
          <w:i w:val="0"/>
          <w:caps w:val="0"/>
          <w:color w:val="000000"/>
          <w:spacing w:val="0"/>
          <w:sz w:val="32"/>
          <w:szCs w:val="32"/>
          <w:u w:val="none"/>
          <w:shd w:val="clear" w:color="auto" w:fill="FFFFFF"/>
        </w:rPr>
        <w:t>“三公”经费。</w:t>
      </w:r>
      <w:r>
        <w:rPr>
          <w:rFonts w:hint="eastAsia" w:ascii="仿宋_GB2312" w:hAnsi="仿宋_GB2312" w:eastAsia="仿宋_GB2312" w:cs="仿宋_GB2312"/>
          <w:i w:val="0"/>
          <w:caps w:val="0"/>
          <w:color w:val="000000"/>
          <w:spacing w:val="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14:paraId="3C5B351A">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（三）</w:t>
      </w:r>
      <w:r>
        <w:rPr>
          <w:rFonts w:hint="eastAsia" w:ascii="楷体_GB2312" w:hAnsi="楷体_GB2312" w:eastAsia="楷体_GB2312" w:cs="楷体_GB2312"/>
          <w:b/>
          <w:bCs/>
          <w:i w:val="0"/>
          <w:caps w:val="0"/>
          <w:color w:val="000000"/>
          <w:spacing w:val="0"/>
          <w:sz w:val="32"/>
          <w:szCs w:val="32"/>
          <w:u w:val="none"/>
          <w:shd w:val="clear" w:color="auto" w:fill="FFFFFF"/>
        </w:rPr>
        <w:t>基本支出。</w:t>
      </w:r>
      <w:r>
        <w:rPr>
          <w:rFonts w:hint="eastAsia" w:ascii="仿宋_GB2312" w:hAnsi="仿宋_GB2312" w:eastAsia="仿宋_GB2312" w:cs="仿宋_GB2312"/>
          <w:i w:val="0"/>
          <w:caps w:val="0"/>
          <w:color w:val="000000"/>
          <w:spacing w:val="0"/>
          <w:sz w:val="32"/>
          <w:szCs w:val="32"/>
          <w:u w:val="none"/>
          <w:shd w:val="clear" w:color="auto" w:fill="FFFFFF"/>
        </w:rPr>
        <w:t>指为保障机构正常运转、完成日常工作任务而发生的人员支出和公用支出。</w:t>
      </w:r>
    </w:p>
    <w:p w14:paraId="144EDBAB">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（四）</w:t>
      </w:r>
      <w:r>
        <w:rPr>
          <w:rFonts w:hint="eastAsia" w:ascii="楷体_GB2312" w:hAnsi="楷体_GB2312" w:eastAsia="楷体_GB2312" w:cs="楷体_GB2312"/>
          <w:b/>
          <w:bCs/>
          <w:i w:val="0"/>
          <w:caps w:val="0"/>
          <w:color w:val="000000"/>
          <w:spacing w:val="0"/>
          <w:sz w:val="32"/>
          <w:szCs w:val="32"/>
          <w:u w:val="none"/>
          <w:shd w:val="clear" w:color="auto" w:fill="FFFFFF"/>
        </w:rPr>
        <w:t>项目支出。</w:t>
      </w:r>
      <w:r>
        <w:rPr>
          <w:rFonts w:hint="eastAsia" w:ascii="仿宋_GB2312" w:hAnsi="仿宋_GB2312" w:eastAsia="仿宋_GB2312" w:cs="仿宋_GB2312"/>
          <w:i w:val="0"/>
          <w:caps w:val="0"/>
          <w:color w:val="000000"/>
          <w:spacing w:val="0"/>
          <w:sz w:val="32"/>
          <w:szCs w:val="32"/>
          <w:u w:val="none"/>
          <w:shd w:val="clear" w:color="auto" w:fill="FFFFFF"/>
        </w:rPr>
        <w:t>指在基本支出之外为完成特定行政任务和事业发展目标所发生的支出。</w:t>
      </w:r>
    </w:p>
    <w:p w14:paraId="32AB1EF3">
      <w:pPr>
        <w:widowControl/>
        <w:jc w:val="left"/>
        <w:rPr>
          <w:rFonts w:hint="default" w:ascii="宋体" w:hAnsi="宋体" w:eastAsia="宋体" w:cs="黑体"/>
          <w:color w:val="000000"/>
          <w:kern w:val="0"/>
          <w:sz w:val="32"/>
          <w:szCs w:val="32"/>
          <w:lang w:val="en-US" w:eastAsia="zh-CN"/>
        </w:rPr>
      </w:pPr>
    </w:p>
    <w:p w14:paraId="376F2FE6">
      <w:pPr>
        <w:widowControl/>
        <w:jc w:val="left"/>
        <w:rPr>
          <w:rFonts w:hint="eastAsia" w:ascii="宋体" w:hAnsi="宋体"/>
          <w:i/>
          <w:color w:val="FF0000"/>
          <w:kern w:val="0"/>
          <w:sz w:val="32"/>
          <w:szCs w:val="32"/>
        </w:rPr>
      </w:pPr>
    </w:p>
    <w:p w14:paraId="7D88A636">
      <w:pPr>
        <w:pStyle w:val="15"/>
        <w:jc w:val="center"/>
        <w:rPr>
          <w:rFonts w:ascii="Times New Roman" w:hAnsi="Times New Roman" w:cs="Times New Roman"/>
          <w:sz w:val="72"/>
          <w:szCs w:val="72"/>
        </w:rPr>
      </w:pPr>
    </w:p>
    <w:p w14:paraId="2E15E131">
      <w:pPr>
        <w:pStyle w:val="15"/>
        <w:jc w:val="both"/>
        <w:rPr>
          <w:rFonts w:ascii="Times New Roman" w:hAnsi="Times New Roman" w:cs="Times New Roman"/>
          <w:sz w:val="72"/>
          <w:szCs w:val="72"/>
        </w:rPr>
      </w:pPr>
    </w:p>
    <w:p w14:paraId="2FFBC3CD">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51C7EA3">
      <w:pPr>
        <w:rPr>
          <w:rFonts w:ascii="Times New Roman" w:hAnsi="Times New Roman" w:cs="Times New Roman"/>
          <w:sz w:val="72"/>
          <w:szCs w:val="72"/>
        </w:rPr>
      </w:pPr>
    </w:p>
    <w:p w14:paraId="77DB484C">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13E0DABA">
      <w:pPr>
        <w:pStyle w:val="15"/>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1966419B">
      <w:pPr>
        <w:pStyle w:val="15"/>
        <w:spacing w:line="600" w:lineRule="exact"/>
        <w:ind w:firstLine="640" w:firstLineChars="200"/>
        <w:rPr>
          <w:rFonts w:ascii="Times New Roman" w:hAnsi="Times New Roman" w:eastAsia="仿宋_GB2312" w:cs="Times New Roman"/>
          <w:sz w:val="32"/>
          <w:szCs w:val="32"/>
        </w:rPr>
      </w:pPr>
    </w:p>
    <w:p w14:paraId="36F77B67">
      <w:pPr>
        <w:pStyle w:val="15"/>
        <w:jc w:val="center"/>
        <w:rPr>
          <w:rFonts w:ascii="Times New Roman" w:hAnsi="Times New Roman" w:cs="Times New Roman"/>
          <w:sz w:val="72"/>
          <w:szCs w:val="72"/>
        </w:rPr>
      </w:pPr>
    </w:p>
    <w:p w14:paraId="4180A061">
      <w:pPr>
        <w:pStyle w:val="15"/>
        <w:jc w:val="center"/>
        <w:rPr>
          <w:rFonts w:ascii="Times New Roman" w:hAnsi="Times New Roman" w:cs="Times New Roman"/>
          <w:sz w:val="72"/>
          <w:szCs w:val="72"/>
        </w:rPr>
      </w:pPr>
    </w:p>
    <w:p w14:paraId="14F64805">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F7B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4A4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268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79290DA">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XW5UtAAAAAFAQAADwAAAAAAAAAB&#10;ACAAAAAiAAAAZHJzL2Rvd25yZXYueG1sUEsBAhQAFAAAAAgAh07iQK9y6wQYAgAANgQAAA4AAAAA&#10;AAAAAQAgAAAAHwEAAGRycy9lMm9Eb2MueG1sUEsFBgAAAAAGAAYAWQEAAKkFAAAAAA==&#10;">
              <v:fill on="f" focussize="0,0"/>
              <v:stroke on="f"/>
              <v:imagedata o:title=""/>
              <o:lock v:ext="edit" aspectratio="t"/>
              <v:textbox inset="0mm,0mm,0mm,0mm" style="mso-fit-shape-to-text:t;">
                <w:txbxContent>
                  <w:p w14:paraId="379290DA">
                    <w:pPr>
                      <w:pStyle w:val="7"/>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AC016"/>
    <w:multiLevelType w:val="singleLevel"/>
    <w:tmpl w:val="005AC01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97DA5"/>
    <w:rsid w:val="09154DB4"/>
    <w:rsid w:val="09C6146A"/>
    <w:rsid w:val="10356AC5"/>
    <w:rsid w:val="1182036D"/>
    <w:rsid w:val="18673396"/>
    <w:rsid w:val="18D66B0E"/>
    <w:rsid w:val="1BFF5931"/>
    <w:rsid w:val="1E6257AE"/>
    <w:rsid w:val="22667FFA"/>
    <w:rsid w:val="235071AC"/>
    <w:rsid w:val="239F4DAE"/>
    <w:rsid w:val="25C1725E"/>
    <w:rsid w:val="27483067"/>
    <w:rsid w:val="30C145B6"/>
    <w:rsid w:val="32827D75"/>
    <w:rsid w:val="368463BC"/>
    <w:rsid w:val="37936580"/>
    <w:rsid w:val="3D9A097F"/>
    <w:rsid w:val="3E1E66D1"/>
    <w:rsid w:val="3ED16C8F"/>
    <w:rsid w:val="3F5C2187"/>
    <w:rsid w:val="3F982986"/>
    <w:rsid w:val="417D1397"/>
    <w:rsid w:val="41EC62E1"/>
    <w:rsid w:val="466E61EE"/>
    <w:rsid w:val="485306C2"/>
    <w:rsid w:val="4E251A5E"/>
    <w:rsid w:val="4FCB6460"/>
    <w:rsid w:val="52F50AA3"/>
    <w:rsid w:val="54E7647B"/>
    <w:rsid w:val="576A0C54"/>
    <w:rsid w:val="59CB3F29"/>
    <w:rsid w:val="5D3C274B"/>
    <w:rsid w:val="5DD602BD"/>
    <w:rsid w:val="631877B6"/>
    <w:rsid w:val="63302D52"/>
    <w:rsid w:val="635B7E28"/>
    <w:rsid w:val="68097FA4"/>
    <w:rsid w:val="75970A0E"/>
    <w:rsid w:val="78DB3308"/>
    <w:rsid w:val="7DC4436B"/>
    <w:rsid w:val="F7BD382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pid="2" fmtid="{D5CDD505-2E9C-101B-9397-08002B2CF9AE}" name="KSOProductBuildVer">
    <vt:lpwstr xmlns:vt="http://schemas.openxmlformats.org/officeDocument/2006/docPropsVTypes">2052-11.8.2.12009</vt:lpwstr>
  </property>
  <property xmlns="http://schemas.openxmlformats.org/officeDocument/2006/custom-properties" pid="3" fmtid="{D5CDD505-2E9C-101B-9397-08002B2CF9AE}" name="ICV">
    <vt:lpwstr xmlns:vt="http://schemas.openxmlformats.org/officeDocument/2006/docPropsVTypes">BB7B6AA21D207914D6FDA268992A22D6</vt:lpwstr>
  </property>
</Properties>
</file>

<file path=customXml/item3.xml><?xml version="1.0" encoding="utf-8"?>
<cp:coreProperties xmlns:cp="http://schemas.openxmlformats.org/package/2006/metadata/core-properties" xmlns:xsi="http://www.w3.org/2001/XMLSchema-instance" xmlns:dc="http://purl.org/dc/elements/1.1/" xmlns:dcmitype="http://purl.org/dc/dcmitype/" xmlns:dcterms="http://purl.org/dc/terms/">
  <dc:creator xmlns:dc="http://purl.org/dc/elements/1.1/">李航 null</dc:creator>
  <cp:lastModifiedBy xmlns:cp="http://schemas.openxmlformats.org/package/2006/metadata/core-properties">周亮辉 null</cp:lastModifiedBy>
  <cp:revision xmlns:cp="http://schemas.openxmlformats.org/package/2006/metadata/core-properties">2</cp:revision>
  <cp:lastPrinted xmlns:cp="http://schemas.openxmlformats.org/package/2006/metadata/core-properties">2024-08-08T18:20:00Z</cp:lastPrinted>
  <dcterms:created xmlns:dcterms="http://purl.org/dc/terms/" xmlns:xsi="http://www.w3.org/2001/XMLSchema-instance" xsi:type="dcterms:W3CDTF">2025-08-18T10:17:00Z</dcterms:created>
  <dcterms:modified xmlns:dcterms="http://purl.org/dc/terms/" xmlns:xsi="http://www.w3.org/2001/XMLSchema-instance" xsi:type="dcterms:W3CDTF">2025-08-18T10:17:00Z</dcterms:modified>
</cp:coreProperties>
</file>

<file path=customXml/item4.xml><?xml version="1.0" encoding="utf-8"?>
<Properties xmlns="http://schemas.openxmlformats.org/officeDocument/2006/extended-properties" xmlns:vt="http://schemas.openxmlformats.org/officeDocument/2006/docPropsVTypes">
  <Template xmlns="http://schemas.openxmlformats.org/officeDocument/2006/extended-properties">Normal</Template>
  <TotalTime xmlns="http://schemas.openxmlformats.org/officeDocument/2006/extended-properties">1</TotalTime>
  <Pages xmlns="http://schemas.openxmlformats.org/officeDocument/2006/extended-properties">25</Pages>
  <Words xmlns="http://schemas.openxmlformats.org/officeDocument/2006/extended-properties">1463</Words>
  <Characters xmlns="http://schemas.openxmlformats.org/officeDocument/2006/extended-properties">8342</Characters>
  <Application xmlns="http://schemas.openxmlformats.org/officeDocument/2006/extended-properties">Microsoft Office Word</Application>
  <DocSecurity xmlns="http://schemas.openxmlformats.org/officeDocument/2006/extended-properties">0</DocSecurity>
  <Lines xmlns="http://schemas.openxmlformats.org/officeDocument/2006/extended-properties">69</Lines>
  <Paragraphs xmlns="http://schemas.openxmlformats.org/officeDocument/2006/extended-properties">19</Paragraphs>
  <ScaleCrop xmlns="http://schemas.openxmlformats.org/officeDocument/2006/extended-properties">false</ScaleCrop>
  <Company xmlns="http://schemas.openxmlformats.org/officeDocument/2006/extended-properties">Microsoft</Company>
  <LinksUpToDate xmlns="http://schemas.openxmlformats.org/officeDocument/2006/extended-properties">false</LinksUpToDate>
  <CharactersWithSpaces xmlns="http://schemas.openxmlformats.org/officeDocument/2006/extended-properties">9786</CharactersWithSpaces>
  <SharedDoc xmlns="http://schemas.openxmlformats.org/officeDocument/2006/extended-properties">false</SharedDoc>
  <HyperlinksChanged xmlns="http://schemas.openxmlformats.org/officeDocument/2006/extended-properties">false</HyperlinksChanged>
  <AppVersion xmlns="http://schemas.openxmlformats.org/officeDocument/2006/extended-properties">14.0000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6167a-c4ce-4d39-841d-55b703757eaa}">
  <ds:schemaRefs/>
</ds:datastoreItem>
</file>

<file path=customXml/itemProps3.xml><?xml version="1.0" encoding="utf-8"?>
<ds:datastoreItem xmlns:ds="http://schemas.openxmlformats.org/officeDocument/2006/customXml" ds:itemID="{58eb62c7-6d52-4285-b421-e901231b56ef}">
  <ds:schemaRefs/>
</ds:datastoreItem>
</file>

<file path=customXml/itemProps4.xml><?xml version="1.0" encoding="utf-8"?>
<ds:datastoreItem xmlns:ds="http://schemas.openxmlformats.org/officeDocument/2006/customXml" ds:itemID="{48dde68d-1933-4998-9ea1-ddb43a512e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1231</Words>
  <Characters>1352</Characters>
  <Lines>69</Lines>
  <Paragraphs>19</Paragraphs>
  <TotalTime>0</TotalTime>
  <ScaleCrop>false</ScaleCrop>
  <LinksUpToDate>false</LinksUpToDate>
  <CharactersWithSpaces>1567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kylin</cp:lastModifiedBy>
  <cp:lastPrinted>2024-08-09T02:20:00Z</cp:lastPrinted>
  <dcterms:modified xsi:type="dcterms:W3CDTF">2025-12-05T09:07:33Z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88565A722AB54D1887A3320FA809A6C2_13</vt:lpwstr>
  </property>
  <property fmtid="{D5CDD505-2E9C-101B-9397-08002B2CF9AE}" pid="4" name="KSOTemplateDocerSaveRecord">
    <vt:lpwstr>eyJoZGlkIjoiMDRmNmJjYjIxZjlkYjg3ZWE5ZjczYTFjZDFlOTUyODMiLCJ1c2VySWQiOiIzNTIzMzE5NjgifQ==</vt:lpwstr>
  </property>
</Properties>
</file>