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line="33" w:lineRule="atLeast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附件1</w:t>
      </w:r>
    </w:p>
    <w:p>
      <w:pPr>
        <w:pStyle w:val="5"/>
        <w:widowControl/>
        <w:spacing w:line="33" w:lineRule="atLeast"/>
        <w:ind w:firstLine="723" w:firstLineChars="20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蓝山县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犁头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瑶族乡人民政府整体支出绩效</w:t>
      </w:r>
    </w:p>
    <w:p>
      <w:pPr>
        <w:pStyle w:val="5"/>
        <w:widowControl/>
        <w:spacing w:line="33" w:lineRule="atLeast"/>
        <w:ind w:firstLine="723" w:firstLineChars="20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评价报告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根据《《中华人民共和国预算法》、中共湖南省委办公厅湖南省人民政府办公厅《关于全面实施预算绩效管理的实施意见》（湘办发[2019]10号）、《蓝山县财政局关于开展202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年度财政支出绩效自评工作的通知》精神，我单位领导高度重视，认真组织，对202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年部门整体支出进行了绩效自评，现将我单位部门整体支出绩效自评情况报告如下：</w:t>
      </w:r>
    </w:p>
    <w:p>
      <w:pPr>
        <w:pStyle w:val="5"/>
        <w:widowControl/>
        <w:spacing w:line="33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一、部门概况</w:t>
      </w:r>
    </w:p>
    <w:p>
      <w:pPr>
        <w:pStyle w:val="5"/>
        <w:widowControl/>
        <w:spacing w:line="33" w:lineRule="atLeas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（一）部门基本情况。</w:t>
      </w:r>
    </w:p>
    <w:p>
      <w:pPr>
        <w:spacing w:line="560" w:lineRule="atLeas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犁头瑶族乡是全额拨款的乡镇级单位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根据乡镇机构改革精神，以基层人民政府作为行政主体，直属事业单位机构3个，为别为社会事业综合服务中心、农业综合服务中心、政务服务中心。综合行政执法机构1个，为综合行政执法大队。负责乡机关日常工作，负责乡纪检监察、组织人事、宣传统战等方面党务工作和工青妇科协残联等群团工作，承担人大、政协相关工作。负责辖区内社会治安综合治理和信访维稳等方面工作，指导和协调公安派出所、法庭和司法所相关工作。负责人口和计划生育方面政务工作。负责乡民政、卫生、教育、体育、旅游、科技、文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广电、民族宗教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劳动和社会保障等方面政务工作。负责乡农业、林业、水利、农机、经管、国土、畜牧水产、规划建设、环境保护、交通运输、工业经济、招商引资、安全生产监督、食品药品监管等方面政务工作。依法履行国防动员、民兵训练、预备役管理等职</w:t>
      </w:r>
      <w:r>
        <w:rPr>
          <w:rFonts w:hint="eastAsia" w:ascii="仿宋_GB2312" w:hAnsi="仿宋" w:eastAsia="仿宋_GB2312" w:cs="仿宋"/>
          <w:sz w:val="32"/>
          <w:szCs w:val="32"/>
        </w:rPr>
        <w:t>能。</w:t>
      </w:r>
    </w:p>
    <w:p>
      <w:pPr>
        <w:pStyle w:val="5"/>
        <w:widowControl/>
        <w:spacing w:line="33" w:lineRule="atLeas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（二）人员情况。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犁头</w:t>
      </w:r>
      <w:r>
        <w:rPr>
          <w:rFonts w:hint="eastAsia" w:ascii="仿宋_GB2312" w:hAnsi="仿宋_GB2312" w:eastAsia="仿宋_GB2312" w:cs="仿宋_GB2312"/>
          <w:sz w:val="30"/>
          <w:szCs w:val="30"/>
        </w:rPr>
        <w:t>瑶族乡202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年机关行政编制人员为1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名，事业单位编制人员1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人。年底编制人员共计3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人。变动原因为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人员变动。</w:t>
      </w:r>
    </w:p>
    <w:p>
      <w:pPr>
        <w:pStyle w:val="5"/>
        <w:widowControl/>
        <w:spacing w:line="33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二、部门整体支出管理及使用情况</w:t>
      </w:r>
    </w:p>
    <w:p>
      <w:pPr>
        <w:pStyle w:val="5"/>
        <w:widowControl/>
        <w:spacing w:line="33" w:lineRule="atLeas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（一）基本支出管理情况</w:t>
      </w:r>
    </w:p>
    <w:p>
      <w:pPr>
        <w:pStyle w:val="5"/>
        <w:shd w:val="clear" w:color="070000" w:fill="FFFFFF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年，我单位积极履职，强化管理，较好地完成了年度工作目标。根据部门整体支出绩效评价指标体系，我单位202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年度评价得分为9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9.65</w:t>
      </w:r>
      <w:r>
        <w:rPr>
          <w:rFonts w:hint="eastAsia" w:ascii="仿宋_GB2312" w:hAnsi="仿宋_GB2312" w:eastAsia="仿宋_GB2312" w:cs="仿宋_GB2312"/>
          <w:sz w:val="30"/>
          <w:szCs w:val="30"/>
        </w:rPr>
        <w:t>分。部门整体支出绩效情况如下：</w:t>
      </w:r>
    </w:p>
    <w:p>
      <w:pPr>
        <w:pStyle w:val="5"/>
        <w:shd w:val="clear" w:color="070000" w:fill="FFFFFF"/>
        <w:ind w:firstLine="600" w:firstLineChars="200"/>
        <w:jc w:val="both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1、投入10分</w:t>
      </w:r>
    </w:p>
    <w:p>
      <w:pPr>
        <w:pStyle w:val="5"/>
        <w:shd w:val="clear" w:color="080000" w:fill="FFFFFF"/>
        <w:ind w:firstLine="600" w:firstLineChars="200"/>
        <w:jc w:val="both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预算配置得10分。其中：在职人员控制率：在职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32</w:t>
      </w:r>
      <w:r>
        <w:rPr>
          <w:rFonts w:hint="eastAsia" w:ascii="仿宋" w:hAnsi="仿宋" w:eastAsia="仿宋" w:cs="仿宋"/>
          <w:bCs/>
          <w:sz w:val="30"/>
          <w:szCs w:val="30"/>
        </w:rPr>
        <w:t>人/编制3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人*1%=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bCs/>
          <w:sz w:val="30"/>
          <w:szCs w:val="30"/>
        </w:rPr>
        <w:t>%，得 5分；“三公”经费预算数无变动，得5分。</w:t>
      </w:r>
    </w:p>
    <w:p>
      <w:pPr>
        <w:pStyle w:val="5"/>
        <w:shd w:val="clear" w:color="080000" w:fill="FFFFFF"/>
        <w:ind w:firstLine="600" w:firstLineChars="200"/>
        <w:jc w:val="both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2、过程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49.85</w:t>
      </w:r>
      <w:r>
        <w:rPr>
          <w:rFonts w:hint="eastAsia" w:ascii="仿宋" w:hAnsi="仿宋" w:eastAsia="仿宋" w:cs="仿宋"/>
          <w:bCs/>
          <w:sz w:val="30"/>
          <w:szCs w:val="30"/>
        </w:rPr>
        <w:t>分</w:t>
      </w:r>
    </w:p>
    <w:p>
      <w:pPr>
        <w:ind w:firstLine="600" w:firstLineChars="200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（1）预算执行得10分。预算完成率1%得5分；预算控制率得5分；</w:t>
      </w:r>
    </w:p>
    <w:p>
      <w:pPr>
        <w:ind w:firstLine="60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（2）预算管理得3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8.85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分。公用经费控制率：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97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/98.5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万元＝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98.5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%，得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9.85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分；“三公经费”控制率：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4.87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万元/1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40.58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%，得9分；管理制度健全有相关财务管理制度等得8分；资金使用符合规定得8分；预决算信息公开按规定内容在规定时限在县政府门户网站公开，基础信息完善，得5分。</w:t>
      </w:r>
    </w:p>
    <w:p>
      <w:pPr>
        <w:pStyle w:val="5"/>
        <w:shd w:val="clear" w:color="080000" w:fill="FFFFFF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3、履职效益得39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.8</w:t>
      </w:r>
      <w:r>
        <w:rPr>
          <w:rFonts w:hint="eastAsia" w:ascii="仿宋_GB2312" w:hAnsi="仿宋_GB2312" w:eastAsia="仿宋_GB2312" w:cs="仿宋_GB2312"/>
          <w:sz w:val="30"/>
          <w:szCs w:val="30"/>
        </w:rPr>
        <w:t>分。</w:t>
      </w:r>
    </w:p>
    <w:p>
      <w:pPr>
        <w:pStyle w:val="5"/>
        <w:shd w:val="clear" w:color="060000" w:fill="FFFFFF"/>
        <w:spacing w:line="360" w:lineRule="atLeast"/>
        <w:ind w:firstLine="48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产出指标内容：</w:t>
      </w:r>
    </w:p>
    <w:p>
      <w:pPr>
        <w:pStyle w:val="5"/>
        <w:shd w:val="clear" w:color="060000" w:fill="FFFFFF"/>
        <w:spacing w:line="360" w:lineRule="atLeast"/>
        <w:ind w:firstLine="48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数量指标：工作完成情况，实际完成情况≥9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%，得20分</w:t>
      </w:r>
    </w:p>
    <w:p>
      <w:pPr>
        <w:pStyle w:val="5"/>
        <w:widowControl/>
        <w:numPr>
          <w:ilvl w:val="0"/>
          <w:numId w:val="1"/>
        </w:numPr>
        <w:shd w:val="clear" w:color="070000" w:fill="FFFFFF"/>
        <w:adjustRightInd w:val="0"/>
        <w:snapToGrid w:val="0"/>
        <w:spacing w:line="360" w:lineRule="atLeast"/>
        <w:ind w:firstLine="4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效益指标方面：</w:t>
      </w:r>
    </w:p>
    <w:p>
      <w:pPr>
        <w:pStyle w:val="5"/>
        <w:shd w:val="clear" w:color="060000" w:fill="FFFFFF"/>
        <w:spacing w:line="360" w:lineRule="atLeast"/>
        <w:ind w:firstLine="4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社会效益指标：群众受益情况内容</w:t>
      </w:r>
      <w:r>
        <w:rPr>
          <w:rFonts w:hint="eastAsia" w:ascii="仿宋_GB2312" w:hAnsi="仿宋_GB2312" w:eastAsia="仿宋_GB2312" w:cs="仿宋_GB2312"/>
          <w:sz w:val="30"/>
          <w:szCs w:val="30"/>
        </w:rPr>
        <w:t>≥9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指标描述，实际完成情况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≥9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，得10 分</w:t>
      </w:r>
    </w:p>
    <w:p>
      <w:pPr>
        <w:pStyle w:val="5"/>
        <w:shd w:val="clear" w:color="060000" w:fill="FFFFFF"/>
        <w:spacing w:line="360" w:lineRule="atLeast"/>
        <w:ind w:firstLine="480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社会公众或服务对象满意度得9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.8</w:t>
      </w:r>
      <w:r>
        <w:rPr>
          <w:rFonts w:hint="eastAsia" w:ascii="仿宋" w:hAnsi="仿宋" w:eastAsia="仿宋" w:cs="仿宋"/>
          <w:sz w:val="32"/>
          <w:szCs w:val="32"/>
        </w:rPr>
        <w:t>分：在年度绩效考核中成绩优异，综合服务能力</w:t>
      </w:r>
      <w:r>
        <w:rPr>
          <w:rFonts w:hint="eastAsia" w:ascii="仿宋" w:hAnsi="仿宋" w:eastAsia="仿宋" w:cs="仿宋"/>
          <w:bCs/>
          <w:sz w:val="32"/>
          <w:szCs w:val="32"/>
        </w:rPr>
        <w:t>需进一步提升。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2、基本支出预算执行情况</w:t>
      </w:r>
    </w:p>
    <w:p>
      <w:pPr>
        <w:pStyle w:val="5"/>
        <w:widowControl/>
        <w:spacing w:line="33" w:lineRule="atLeast"/>
        <w:ind w:firstLine="602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（二）“三公经费”支出使用和管理情况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1、本年“三公经费”预算1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万元，其中：公车运行维护7万，公务接待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2、本年“三公经费”预算执行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4.87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万元，其中：公车运行维护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4.27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万元，公务接待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3、与上年比较，“三公经费”减少支出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2.25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万元，“三公经费”减少原因是</w:t>
      </w:r>
      <w:r>
        <w:rPr>
          <w:rFonts w:hint="eastAsia" w:ascii="仿宋_GB2312" w:hAnsi="仿宋" w:eastAsia="仿宋_GB2312"/>
          <w:sz w:val="32"/>
          <w:szCs w:val="32"/>
        </w:rPr>
        <w:t>经费开支的控制。</w:t>
      </w:r>
    </w:p>
    <w:p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（三）项目支出管理和使用情况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1、项目资金预算投入情况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犁头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乡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消防设备购置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预算投入资金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27.48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2、项目资金实际投入使用情况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犁头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乡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消防设备购置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实际投入资金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27.48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万元，本年度已完工并投入使用，群众满意度达到98%。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3、项目资金管理情况。</w:t>
      </w:r>
    </w:p>
    <w:p>
      <w:pPr>
        <w:spacing w:before="156" w:beforeLines="50" w:after="156" w:afterLines="50"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为切实规范项目资金管理，保障资金安全、高效运行，发挥资金使用效益，特制定以下管理制度：</w:t>
      </w:r>
    </w:p>
    <w:p>
      <w:pPr>
        <w:spacing w:before="156" w:beforeLines="50" w:after="156" w:afterLines="50"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一、专项资金实行“专人管理、专户储存、专账核算、专项使用”。</w:t>
      </w:r>
    </w:p>
    <w:p>
      <w:pPr>
        <w:spacing w:before="156" w:beforeLines="50" w:after="156" w:afterLines="50"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二、资金的拨付本着专款专用的原则，严格执行项目资金批准的使用计划和项目批复资料，不准擅自调项、扩项、缩项，更不准拆借、挪用、挤占和随意扣压；资金拨付动向，按不同专项资金的要求执行，不准任意改变：特殊状况，务必请示。</w:t>
      </w:r>
    </w:p>
    <w:p>
      <w:pPr>
        <w:spacing w:before="156" w:beforeLines="50" w:after="156" w:afterLines="50"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三、严格专项资金初审、审核、审核制度，不准缺项和越程序办理手续，各类专项资金审批程序，以该专项资金审批表所列资料和文件要求为准。</w:t>
      </w:r>
    </w:p>
    <w:p>
      <w:pPr>
        <w:spacing w:before="156" w:beforeLines="50" w:after="156" w:afterLines="50"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四、专项资金报账拨付要附真实、有效、合法的凭证。</w:t>
      </w:r>
    </w:p>
    <w:p>
      <w:pPr>
        <w:spacing w:before="156" w:beforeLines="50" w:after="156" w:afterLines="50"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五、加强审计监督，实行单项工程决算审计，整体项目验收审计，年度资金收支审计。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六、对专项资金要定期或不定期进行督查，确保项目资金专款专用，要全程参与项目验收和采购项目接交</w:t>
      </w:r>
    </w:p>
    <w:p>
      <w:pPr>
        <w:pStyle w:val="5"/>
        <w:widowControl/>
        <w:spacing w:line="33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三、部门（单位）绩效评价工作组织实施情况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确定绩效评价工作人员情况、绩效评价方案制订情况、相关资料收集审查核实情况、撰写与提交评价报告情况等。</w:t>
      </w:r>
    </w:p>
    <w:p>
      <w:pPr>
        <w:pStyle w:val="5"/>
        <w:widowControl/>
        <w:spacing w:line="33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四、部门（单位）整体支出绩效情况</w:t>
      </w:r>
    </w:p>
    <w:p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（一）经济性。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本年度“三公经费”控制良好，与上年先比减少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2.25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万元，本年度公务接待次数减少，公车运行维护费开支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有所减少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。 </w:t>
      </w:r>
    </w:p>
    <w:p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（二）效率性和有效性。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职工工作积极性较高，各项工作开展顺利，工作完成情况达到9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%以上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全年工作经费使用情况完成100%。各项工作都达标，群众满意度高。</w:t>
      </w:r>
    </w:p>
    <w:p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（三）社会和公众满意度。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社会和公众满意度较高，群众的问题得到解决。</w:t>
      </w:r>
    </w:p>
    <w:p>
      <w:pPr>
        <w:pStyle w:val="5"/>
        <w:widowControl/>
        <w:spacing w:line="33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五、存在的主要问题</w:t>
      </w:r>
    </w:p>
    <w:p>
      <w:pPr>
        <w:ind w:firstLine="600" w:firstLineChars="2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一部门整体绩效目标设立简单，绩效目标制定不清晰，定性指标居多，量化指标偏少。</w:t>
      </w:r>
    </w:p>
    <w:p>
      <w:pPr>
        <w:pStyle w:val="5"/>
        <w:widowControl/>
        <w:spacing w:line="33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六、改进措施和有关建议</w:t>
      </w:r>
    </w:p>
    <w:p>
      <w:pPr>
        <w:pStyle w:val="5"/>
        <w:widowControl/>
        <w:spacing w:line="33" w:lineRule="atLeast"/>
        <w:ind w:firstLine="60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</w:rPr>
        <w:t>加强绩效目标意识，提高绩效目标申报规范性。绩效目标是财政预算资金计划在一定期限内达到的产出和效果，是预算绩效管理的基础，是整个预算管理系统的前提。进一步加强预算编制管理，提高年初预算绩效目标制定的可行性、科学性、梳理全年重点工作，制定切实可行的项目执行绩效目标，确保绩效目标完成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8D594"/>
    <w:multiLevelType w:val="singleLevel"/>
    <w:tmpl w:val="45C8D594"/>
    <w:lvl w:ilvl="0" w:tentative="0">
      <w:start w:val="2"/>
      <w:numFmt w:val="decimal"/>
      <w:suff w:val="nothing"/>
      <w:lvlText w:val="（%1）"/>
      <w:lvlJc w:val="left"/>
      <w:rPr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1FC6"/>
    <w:rsid w:val="001D5740"/>
    <w:rsid w:val="00264E67"/>
    <w:rsid w:val="002A474F"/>
    <w:rsid w:val="002B35AA"/>
    <w:rsid w:val="00356D3E"/>
    <w:rsid w:val="003B7E8D"/>
    <w:rsid w:val="004D49AD"/>
    <w:rsid w:val="00554E75"/>
    <w:rsid w:val="00632B11"/>
    <w:rsid w:val="006F6B5A"/>
    <w:rsid w:val="007063D5"/>
    <w:rsid w:val="00816F55"/>
    <w:rsid w:val="00881E49"/>
    <w:rsid w:val="0091290D"/>
    <w:rsid w:val="00986416"/>
    <w:rsid w:val="00B44DFC"/>
    <w:rsid w:val="00B8609F"/>
    <w:rsid w:val="00C100F4"/>
    <w:rsid w:val="00D42C13"/>
    <w:rsid w:val="00DD19C4"/>
    <w:rsid w:val="00E57A1C"/>
    <w:rsid w:val="00E93FEA"/>
    <w:rsid w:val="00EE6573"/>
    <w:rsid w:val="00F03BD7"/>
    <w:rsid w:val="00F511AF"/>
    <w:rsid w:val="00F70A03"/>
    <w:rsid w:val="00FA1657"/>
    <w:rsid w:val="00FB42FF"/>
    <w:rsid w:val="05EC62CB"/>
    <w:rsid w:val="0A98224A"/>
    <w:rsid w:val="102538FC"/>
    <w:rsid w:val="115562A5"/>
    <w:rsid w:val="25A542B7"/>
    <w:rsid w:val="26543725"/>
    <w:rsid w:val="2C711DA1"/>
    <w:rsid w:val="40D25703"/>
    <w:rsid w:val="5ADE7F1B"/>
    <w:rsid w:val="62411228"/>
    <w:rsid w:val="6B471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376</Words>
  <Characters>2146</Characters>
  <Lines>17</Lines>
  <Paragraphs>5</Paragraphs>
  <TotalTime>4</TotalTime>
  <ScaleCrop>false</ScaleCrop>
  <LinksUpToDate>false</LinksUpToDate>
  <CharactersWithSpaces>2517</CharactersWithSpaces>
  <Application>WPS Office_11.1.0.9584_F1E327BC-269C-435d-A152-05C5408002CA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2024-05-17T04:44:00Z</dcterms:created>
  <dc:creator>Administrator</dc:creator>
  <cp:lastModifiedBy>ltx2996368</cp:lastModifiedBy>
  <cp:lastPrinted>2017-04-24T02:32:00Z</cp:lastPrinted>
  <dcterms:modified xsi:type="dcterms:W3CDTF">2025-05-13T02:52:03Z</dcterms:modified>
  <dc:title>五、评价报告综述（文字部分）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CCBBB53C7D554CADB72024E714075B68</vt:lpwstr>
  </property>
</Properties>
</file>