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蓝山县楠市中学</w:t>
      </w:r>
      <w:r>
        <w:rPr>
          <w:rFonts w:ascii="Times New Roman" w:hAnsi="Times New Roman" w:eastAsia="方正小标宋简体" w:cs="Times New Roman"/>
          <w:sz w:val="72"/>
          <w:szCs w:val="72"/>
        </w:rPr>
        <w:t>部门决算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蓝山县楠市中学</w:t>
      </w:r>
      <w:r>
        <w:rPr>
          <w:rFonts w:ascii="Times New Roman" w:hAnsi="Times New Roman" w:cs="Times New Roman"/>
          <w:bCs/>
          <w:sz w:val="32"/>
          <w:szCs w:val="32"/>
        </w:rPr>
        <w:t>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蓝山县楠市镇楠市中学</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仿宋_GB2312" w:hAnsi="仿宋_GB2312" w:eastAsia="仿宋_GB2312" w:cs="仿宋_GB2312"/>
          <w:bCs/>
          <w:kern w:val="0"/>
          <w:sz w:val="32"/>
          <w:szCs w:val="32"/>
        </w:rPr>
        <w:t>主要职能：实施中学义务教育，促进义务教育中学阶段的发展，做好教育教学工作。</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hint="default"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（一）内设机构设置。</w:t>
      </w:r>
      <w:r>
        <w:rPr>
          <w:rFonts w:hint="eastAsia" w:ascii="仿宋_GB2312" w:hAnsi="仿宋_GB2312" w:eastAsia="仿宋_GB2312" w:cs="仿宋_GB2312"/>
          <w:bCs/>
          <w:kern w:val="0"/>
          <w:sz w:val="32"/>
          <w:szCs w:val="32"/>
        </w:rPr>
        <w:t>蓝山县楠市中学</w:t>
      </w:r>
      <w:r>
        <w:rPr>
          <w:rFonts w:ascii="Times New Roman" w:hAnsi="Times New Roman" w:eastAsia="仿宋_GB2312" w:cs="Times New Roman"/>
          <w:bCs/>
          <w:kern w:val="0"/>
          <w:sz w:val="32"/>
          <w:szCs w:val="32"/>
        </w:rPr>
        <w:t>内设机构包括：</w:t>
      </w:r>
      <w:r>
        <w:rPr>
          <w:rFonts w:hint="eastAsia" w:ascii="仿宋_GB2312" w:hAnsi="仿宋_GB2312" w:eastAsia="仿宋_GB2312" w:cs="仿宋_GB2312"/>
          <w:bCs/>
          <w:kern w:val="0"/>
          <w:sz w:val="32"/>
          <w:szCs w:val="32"/>
          <w:lang w:val="en-US" w:eastAsia="zh-CN"/>
        </w:rPr>
        <w:t>2023</w:t>
      </w:r>
      <w:r>
        <w:rPr>
          <w:rFonts w:hint="eastAsia" w:ascii="仿宋_GB2312" w:hAnsi="仿宋_GB2312" w:eastAsia="仿宋_GB2312" w:cs="仿宋_GB2312"/>
          <w:bCs/>
          <w:kern w:val="0"/>
          <w:sz w:val="32"/>
          <w:szCs w:val="32"/>
        </w:rPr>
        <w:t>年学生</w:t>
      </w:r>
      <w:r>
        <w:rPr>
          <w:rFonts w:hint="eastAsia" w:ascii="仿宋_GB2312" w:hAnsi="仿宋_GB2312" w:eastAsia="仿宋_GB2312" w:cs="仿宋_GB2312"/>
          <w:bCs/>
          <w:kern w:val="0"/>
          <w:sz w:val="32"/>
          <w:szCs w:val="32"/>
          <w:lang w:val="en-US" w:eastAsia="zh-CN"/>
        </w:rPr>
        <w:t>412</w:t>
      </w:r>
      <w:r>
        <w:rPr>
          <w:rFonts w:hint="eastAsia" w:ascii="仿宋_GB2312" w:hAnsi="仿宋_GB2312" w:eastAsia="仿宋_GB2312" w:cs="仿宋_GB2312"/>
          <w:bCs/>
          <w:kern w:val="0"/>
          <w:sz w:val="32"/>
          <w:szCs w:val="32"/>
        </w:rPr>
        <w:t>人，班级</w:t>
      </w:r>
      <w:r>
        <w:rPr>
          <w:rFonts w:hint="eastAsia" w:ascii="仿宋_GB2312" w:hAnsi="仿宋_GB2312" w:eastAsia="仿宋_GB2312" w:cs="仿宋_GB2312"/>
          <w:bCs/>
          <w:kern w:val="0"/>
          <w:sz w:val="32"/>
          <w:szCs w:val="32"/>
          <w:lang w:val="en-US" w:eastAsia="zh-CN"/>
        </w:rPr>
        <w:t>9</w:t>
      </w:r>
      <w:r>
        <w:rPr>
          <w:rFonts w:hint="eastAsia" w:ascii="仿宋_GB2312" w:hAnsi="仿宋_GB2312" w:eastAsia="仿宋_GB2312" w:cs="仿宋_GB2312"/>
          <w:bCs/>
          <w:kern w:val="0"/>
          <w:sz w:val="32"/>
          <w:szCs w:val="32"/>
        </w:rPr>
        <w:t>个</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24</w:t>
      </w:r>
      <w:r>
        <w:rPr>
          <w:rFonts w:hint="eastAsia" w:ascii="仿宋_GB2312" w:hAnsi="仿宋_GB2312" w:eastAsia="仿宋_GB2312" w:cs="仿宋_GB2312"/>
          <w:bCs/>
          <w:kern w:val="0"/>
          <w:sz w:val="32"/>
          <w:szCs w:val="32"/>
        </w:rPr>
        <w:t>年学生</w:t>
      </w:r>
      <w:r>
        <w:rPr>
          <w:rFonts w:hint="eastAsia" w:ascii="仿宋_GB2312" w:hAnsi="仿宋_GB2312" w:eastAsia="仿宋_GB2312" w:cs="仿宋_GB2312"/>
          <w:bCs/>
          <w:kern w:val="0"/>
          <w:sz w:val="32"/>
          <w:szCs w:val="32"/>
          <w:lang w:val="en-US" w:eastAsia="zh-CN"/>
        </w:rPr>
        <w:t>357</w:t>
      </w:r>
      <w:r>
        <w:rPr>
          <w:rFonts w:hint="eastAsia" w:ascii="仿宋_GB2312" w:hAnsi="仿宋_GB2312" w:eastAsia="仿宋_GB2312" w:cs="仿宋_GB2312"/>
          <w:bCs/>
          <w:kern w:val="0"/>
          <w:sz w:val="32"/>
          <w:szCs w:val="32"/>
        </w:rPr>
        <w:t>人，班级</w:t>
      </w:r>
      <w:r>
        <w:rPr>
          <w:rFonts w:hint="eastAsia" w:ascii="仿宋_GB2312" w:hAnsi="仿宋_GB2312" w:eastAsia="仿宋_GB2312" w:cs="仿宋_GB2312"/>
          <w:bCs/>
          <w:kern w:val="0"/>
          <w:sz w:val="32"/>
          <w:szCs w:val="32"/>
          <w:lang w:val="en-US" w:eastAsia="zh-CN"/>
        </w:rPr>
        <w:t>8</w:t>
      </w:r>
      <w:r>
        <w:rPr>
          <w:rFonts w:hint="eastAsia" w:ascii="仿宋_GB2312" w:hAnsi="仿宋_GB2312" w:eastAsia="仿宋_GB2312" w:cs="仿宋_GB2312"/>
          <w:bCs/>
          <w:kern w:val="0"/>
          <w:sz w:val="32"/>
          <w:szCs w:val="32"/>
        </w:rPr>
        <w:t>个</w:t>
      </w:r>
      <w:r>
        <w:rPr>
          <w:rFonts w:hint="eastAsia" w:ascii="仿宋_GB2312" w:hAnsi="仿宋_GB2312" w:eastAsia="仿宋_GB2312" w:cs="仿宋_GB2312"/>
          <w:bCs/>
          <w:kern w:val="0"/>
          <w:sz w:val="32"/>
          <w:szCs w:val="32"/>
          <w:lang w:eastAsia="zh-CN"/>
        </w:rPr>
        <w:t>。教职工</w:t>
      </w:r>
      <w:r>
        <w:rPr>
          <w:rFonts w:hint="eastAsia" w:ascii="仿宋_GB2312" w:hAnsi="仿宋_GB2312" w:eastAsia="仿宋_GB2312" w:cs="仿宋_GB2312"/>
          <w:bCs/>
          <w:kern w:val="0"/>
          <w:sz w:val="32"/>
          <w:szCs w:val="32"/>
          <w:lang w:val="en-US" w:eastAsia="zh-CN"/>
        </w:rPr>
        <w:t>33人，在编在岗33人，退休教师19人。</w:t>
      </w:r>
    </w:p>
    <w:p>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仿宋_GB2312" w:hAnsi="仿宋_GB2312" w:eastAsia="仿宋_GB2312" w:cs="仿宋_GB2312"/>
          <w:bCs/>
          <w:kern w:val="0"/>
          <w:sz w:val="32"/>
          <w:szCs w:val="32"/>
        </w:rPr>
        <w:t>蓝山县楠市中学</w:t>
      </w:r>
      <w:r>
        <w:rPr>
          <w:rFonts w:ascii="Times New Roman" w:hAnsi="Times New Roman" w:eastAsia="仿宋_GB2312" w:cs="Times New Roman"/>
          <w:bCs/>
          <w:kern w:val="0"/>
          <w:sz w:val="32"/>
          <w:szCs w:val="32"/>
        </w:rPr>
        <w:t>2024年部门决算汇总公开单位构成包括：</w:t>
      </w:r>
      <w:r>
        <w:rPr>
          <w:rFonts w:hint="eastAsia" w:ascii="仿宋_GB2312" w:hAnsi="仿宋_GB2312" w:eastAsia="仿宋_GB2312" w:cs="仿宋_GB2312"/>
          <w:bCs/>
          <w:kern w:val="0"/>
          <w:sz w:val="32"/>
          <w:szCs w:val="32"/>
        </w:rPr>
        <w:t>蓝山县楠市中学学校本级。</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564.98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52.43</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546.97</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65.02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5.43</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617.42</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617.42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617.42</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617.42</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Ind w:w="0" w:type="dxa"/>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617.42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564.98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52.43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2050203</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546.97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494.54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52.43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事业单位离退休</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0.18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0.18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53.34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53.34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2080801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死亡抚恤</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2089999</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其他社会保障和就业支出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0.3</w:t>
            </w:r>
            <w:r>
              <w:rPr>
                <w:rFonts w:ascii="Times New Roman" w:hAnsi="Times New Roman" w:eastAsia="仿宋_GB2312" w:cs="Times New Roman"/>
              </w:rPr>
              <w:t>　</w:t>
            </w:r>
          </w:p>
        </w:tc>
        <w:tc>
          <w:tcPr>
            <w:tcW w:w="16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0.3</w:t>
            </w:r>
            <w:r>
              <w:rPr>
                <w:rFonts w:ascii="Times New Roman" w:hAnsi="Times New Roman" w:eastAsia="仿宋_GB2312" w:cs="Times New Roman"/>
              </w:rPr>
              <w:t>　</w:t>
            </w:r>
          </w:p>
        </w:tc>
        <w:tc>
          <w:tcPr>
            <w:tcW w:w="16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jc w:val="left"/>
              <w:rPr>
                <w:rFonts w:ascii="Times New Roman" w:hAnsi="Times New Roman" w:eastAsia="仿宋_GB2312" w:cs="Times New Roman"/>
              </w:rPr>
            </w:pPr>
            <w:r>
              <w:rPr>
                <w:rFonts w:hint="eastAsia" w:ascii="Times New Roman" w:hAnsi="Times New Roman" w:eastAsia="仿宋_GB2312" w:cs="Times New Roman"/>
              </w:rPr>
              <w:t>2101102</w:t>
            </w:r>
          </w:p>
        </w:tc>
        <w:tc>
          <w:tcPr>
            <w:tcW w:w="1300" w:type="dxa"/>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事业单位医疗</w:t>
            </w:r>
          </w:p>
        </w:tc>
        <w:tc>
          <w:tcPr>
            <w:tcW w:w="164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5.43</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5.43</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214" w:type="dxa"/>
        <w:jc w:val="center"/>
        <w:tblInd w:w="0" w:type="dxa"/>
        <w:tblLayout w:type="fixed"/>
        <w:tblCellMar>
          <w:top w:w="0" w:type="dxa"/>
          <w:left w:w="108" w:type="dxa"/>
          <w:bottom w:w="0" w:type="dxa"/>
          <w:right w:w="108" w:type="dxa"/>
        </w:tblCellMar>
      </w:tblPr>
      <w:tblGrid>
        <w:gridCol w:w="2001"/>
        <w:gridCol w:w="4296"/>
        <w:gridCol w:w="1454"/>
        <w:gridCol w:w="911"/>
        <w:gridCol w:w="911"/>
        <w:gridCol w:w="1454"/>
        <w:gridCol w:w="912"/>
        <w:gridCol w:w="2275"/>
      </w:tblGrid>
      <w:tr>
        <w:tblPrEx>
          <w:tblLayout w:type="fixed"/>
          <w:tblCellMar>
            <w:top w:w="0" w:type="dxa"/>
            <w:left w:w="108" w:type="dxa"/>
            <w:bottom w:w="0" w:type="dxa"/>
            <w:right w:w="108" w:type="dxa"/>
          </w:tblCellMar>
        </w:tblPrEx>
        <w:trPr>
          <w:trHeight w:val="595" w:hRule="atLeast"/>
          <w:jc w:val="center"/>
        </w:trPr>
        <w:tc>
          <w:tcPr>
            <w:tcW w:w="629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4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91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91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4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9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0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29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29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629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91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91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5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91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2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629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617.42</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617.42</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2050203</w:t>
            </w:r>
          </w:p>
        </w:tc>
        <w:tc>
          <w:tcPr>
            <w:tcW w:w="42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初中教育</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546.97</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546.97</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2080502</w:t>
            </w:r>
          </w:p>
        </w:tc>
        <w:tc>
          <w:tcPr>
            <w:tcW w:w="42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事业单位离退休</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0.18</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0.18</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2080505</w:t>
            </w:r>
          </w:p>
        </w:tc>
        <w:tc>
          <w:tcPr>
            <w:tcW w:w="42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机关事业单位基本养老保险缴费支出</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53.34</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53.34</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2080599</w:t>
            </w:r>
          </w:p>
        </w:tc>
        <w:tc>
          <w:tcPr>
            <w:tcW w:w="42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其他行政事业单位养老支出</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5.4</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5.4</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2080801</w:t>
            </w:r>
          </w:p>
        </w:tc>
        <w:tc>
          <w:tcPr>
            <w:tcW w:w="42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死亡抚恤</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5.8</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5.8</w:t>
            </w:r>
            <w:r>
              <w:rPr>
                <w:rFonts w:ascii="Times New Roman" w:hAnsi="Times New Roman" w:eastAsia="仿宋_GB2312" w:cs="Times New Roman"/>
                <w:kern w:val="0"/>
                <w:sz w:val="24"/>
                <w:szCs w:val="24"/>
              </w:rPr>
              <w:t>　</w:t>
            </w:r>
          </w:p>
        </w:tc>
        <w:tc>
          <w:tcPr>
            <w:tcW w:w="9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2089999</w:t>
            </w:r>
          </w:p>
        </w:tc>
        <w:tc>
          <w:tcPr>
            <w:tcW w:w="429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其他社会保障和就业支出</w:t>
            </w:r>
          </w:p>
        </w:tc>
        <w:tc>
          <w:tcPr>
            <w:tcW w:w="1454"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0.3</w:t>
            </w:r>
            <w:r>
              <w:rPr>
                <w:rFonts w:ascii="Times New Roman" w:hAnsi="Times New Roman" w:eastAsia="仿宋_GB2312" w:cs="Times New Roman"/>
                <w:kern w:val="0"/>
                <w:sz w:val="24"/>
                <w:szCs w:val="24"/>
              </w:rPr>
              <w:t>　</w:t>
            </w:r>
          </w:p>
        </w:tc>
        <w:tc>
          <w:tcPr>
            <w:tcW w:w="91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0.3</w:t>
            </w:r>
            <w:r>
              <w:rPr>
                <w:rFonts w:ascii="Times New Roman" w:hAnsi="Times New Roman" w:eastAsia="仿宋_GB2312" w:cs="Times New Roman"/>
                <w:kern w:val="0"/>
                <w:sz w:val="24"/>
                <w:szCs w:val="24"/>
              </w:rPr>
              <w:t>　</w:t>
            </w:r>
          </w:p>
        </w:tc>
        <w:tc>
          <w:tcPr>
            <w:tcW w:w="91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4"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275"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2089999</w:t>
            </w:r>
          </w:p>
        </w:tc>
        <w:tc>
          <w:tcPr>
            <w:tcW w:w="4296" w:type="dxa"/>
            <w:tcBorders>
              <w:top w:val="single" w:color="auto" w:sz="4" w:space="0"/>
              <w:left w:val="nil"/>
              <w:bottom w:val="single" w:color="auto" w:sz="4" w:space="0"/>
              <w:right w:val="single" w:color="auto" w:sz="4" w:space="0"/>
            </w:tcBorders>
            <w:shd w:val="clear" w:color="000000" w:fill="FFFFFF"/>
            <w:vAlign w:val="center"/>
          </w:tcPr>
          <w:p>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事业单位医疗</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5.43</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5.43</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20" w:type="dxa"/>
        <w:jc w:val="center"/>
        <w:tblInd w:w="0" w:type="dxa"/>
        <w:tblLayout w:type="fixed"/>
        <w:tblCellMar>
          <w:top w:w="0" w:type="dxa"/>
          <w:left w:w="108" w:type="dxa"/>
          <w:bottom w:w="0" w:type="dxa"/>
          <w:right w:w="108" w:type="dxa"/>
        </w:tblCellMar>
      </w:tblPr>
      <w:tblGrid>
        <w:gridCol w:w="3516"/>
        <w:gridCol w:w="616"/>
        <w:gridCol w:w="821"/>
        <w:gridCol w:w="2856"/>
        <w:gridCol w:w="616"/>
        <w:gridCol w:w="1041"/>
        <w:gridCol w:w="1708"/>
        <w:gridCol w:w="1472"/>
        <w:gridCol w:w="1574"/>
      </w:tblGrid>
      <w:tr>
        <w:tblPrEx>
          <w:tblLayout w:type="fixed"/>
          <w:tblCellMar>
            <w:top w:w="0" w:type="dxa"/>
            <w:left w:w="108" w:type="dxa"/>
            <w:bottom w:w="0" w:type="dxa"/>
            <w:right w:w="108" w:type="dxa"/>
          </w:tblCellMar>
        </w:tblPrEx>
        <w:trPr>
          <w:trHeight w:val="402" w:hRule="atLeast"/>
          <w:jc w:val="center"/>
        </w:trPr>
        <w:tc>
          <w:tcPr>
            <w:tcW w:w="495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5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5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564.98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494.54</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494.54</w:t>
            </w: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65.02</w:t>
            </w: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65.02</w:t>
            </w: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5.43</w:t>
            </w: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5.43</w:t>
            </w: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564.98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546.98</w:t>
            </w: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564.98</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8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564.98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041"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564.98</w:t>
            </w:r>
          </w:p>
        </w:tc>
        <w:tc>
          <w:tcPr>
            <w:tcW w:w="170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564.98</w:t>
            </w:r>
            <w:r>
              <w:rPr>
                <w:rFonts w:ascii="Times New Roman" w:hAnsi="Times New Roman" w:eastAsia="仿宋_GB2312" w:cs="Times New Roman"/>
                <w:kern w:val="0"/>
                <w:sz w:val="22"/>
              </w:rPr>
              <w:t>　</w:t>
            </w:r>
          </w:p>
        </w:tc>
        <w:tc>
          <w:tcPr>
            <w:tcW w:w="1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57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564.98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564.98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2050203</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初中教育</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494.54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494.54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事业单位离退休</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53.34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53.34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死亡抚恤</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2089999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其他社会保障和就业支出</w:t>
            </w:r>
          </w:p>
        </w:tc>
        <w:tc>
          <w:tcPr>
            <w:tcW w:w="3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w:t>
            </w:r>
          </w:p>
        </w:tc>
        <w:tc>
          <w:tcPr>
            <w:tcW w:w="34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w:t>
            </w:r>
          </w:p>
        </w:tc>
        <w:tc>
          <w:tcPr>
            <w:tcW w:w="3000"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2101102</w:t>
            </w:r>
          </w:p>
        </w:tc>
        <w:tc>
          <w:tcPr>
            <w:tcW w:w="3527" w:type="dxa"/>
            <w:tcBorders>
              <w:top w:val="single" w:color="auto" w:sz="4" w:space="0"/>
              <w:left w:val="nil"/>
              <w:bottom w:val="single" w:color="auto" w:sz="8"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事业单位医疗</w:t>
            </w:r>
          </w:p>
        </w:tc>
        <w:tc>
          <w:tcPr>
            <w:tcW w:w="3000"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5.43</w:t>
            </w:r>
          </w:p>
        </w:tc>
        <w:tc>
          <w:tcPr>
            <w:tcW w:w="3492"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5.43</w:t>
            </w:r>
          </w:p>
        </w:tc>
        <w:tc>
          <w:tcPr>
            <w:tcW w:w="3000"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502.66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47.6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172.34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13.69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34.32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128.62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1.91</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0.93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90.29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51.82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4.72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1.91</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3.93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12.82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4.35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3.91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1.6247.6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4.62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515.48</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0.19</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617.42</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117.62</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23.53</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eastAsia="zh-CN"/>
        </w:rPr>
        <w:t>财政增拨经费增加，事业收入增加。</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617.42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564.98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52.43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617.42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617.42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546.98</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65.18</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13.04</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eastAsia="zh-CN"/>
        </w:rPr>
        <w:t>增拨经费增加</w:t>
      </w:r>
      <w:r>
        <w:rPr>
          <w:rFonts w:hint="eastAsia"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564.98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91.5</w:t>
      </w:r>
      <w:r>
        <w:rPr>
          <w:rFonts w:ascii="Times New Roman" w:hAnsi="Times New Roman" w:eastAsia="仿宋_GB2312" w:cs="Times New Roman"/>
          <w:sz w:val="32"/>
          <w:szCs w:val="32"/>
        </w:rPr>
        <w:t>%，与上年相比，财政拨款支出增加（减少）</w:t>
      </w:r>
      <w:r>
        <w:rPr>
          <w:rFonts w:hint="eastAsia" w:ascii="Times New Roman" w:hAnsi="Times New Roman" w:eastAsia="仿宋_GB2312" w:cs="Times New Roman"/>
          <w:sz w:val="32"/>
          <w:szCs w:val="32"/>
          <w:lang w:val="en-US" w:eastAsia="zh-CN"/>
        </w:rPr>
        <w:t>65.18</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13.04</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lang w:eastAsia="zh-CN"/>
        </w:rPr>
        <w:t>增拨经费增加</w:t>
      </w:r>
      <w:r>
        <w:rPr>
          <w:rFonts w:hint="eastAsia"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564.98</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lang w:val="en-US" w:eastAsia="zh-CN"/>
        </w:rPr>
        <w:t>564.98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lang w:eastAsia="zh-CN"/>
        </w:rPr>
        <w:t>其中教育支出</w:t>
      </w:r>
      <w:r>
        <w:rPr>
          <w:rFonts w:hint="eastAsia" w:ascii="Times New Roman" w:hAnsi="Times New Roman" w:eastAsia="仿宋_GB2312" w:cs="Times New Roman"/>
          <w:color w:val="auto"/>
          <w:sz w:val="32"/>
          <w:szCs w:val="32"/>
          <w:lang w:val="en-US" w:eastAsia="zh-CN"/>
        </w:rPr>
        <w:t>494.54万元，</w:t>
      </w:r>
      <w:r>
        <w:rPr>
          <w:rFonts w:hint="eastAsia" w:ascii="Times New Roman" w:hAnsi="Times New Roman" w:eastAsia="仿宋_GB2312" w:cs="Times New Roman"/>
          <w:color w:val="auto"/>
          <w:sz w:val="32"/>
          <w:szCs w:val="32"/>
          <w:lang w:eastAsia="zh-CN"/>
        </w:rPr>
        <w:t>社会保障就业支出</w:t>
      </w:r>
      <w:r>
        <w:rPr>
          <w:rFonts w:hint="eastAsia" w:ascii="Times New Roman" w:hAnsi="Times New Roman" w:eastAsia="仿宋_GB2312" w:cs="Times New Roman"/>
          <w:color w:val="auto"/>
          <w:sz w:val="32"/>
          <w:szCs w:val="32"/>
          <w:lang w:val="en-US" w:eastAsia="zh-CN"/>
        </w:rPr>
        <w:t>65.02万元，卫生健康支出5.43万元.</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564.98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564.98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2"/>
        <w:numPr>
          <w:ilvl w:val="0"/>
          <w:numId w:val="1"/>
        </w:numPr>
        <w:spacing w:line="560" w:lineRule="atLeast"/>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教育支出（类）普通教育（款）初中教育（项）</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w:t>
      </w:r>
      <w:r>
        <w:rPr>
          <w:rFonts w:hint="eastAsia" w:ascii="Times New Roman" w:hAnsi="Times New Roman" w:eastAsia="仿宋_GB2312" w:cs="Times New Roman"/>
          <w:color w:val="auto"/>
          <w:sz w:val="32"/>
          <w:szCs w:val="32"/>
          <w:lang w:val="en-US" w:eastAsia="zh-CN"/>
        </w:rPr>
        <w:t>数为564.98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564.98</w:t>
      </w:r>
      <w:r>
        <w:rPr>
          <w:rFonts w:ascii="Times New Roman" w:hAnsi="Times New Roman" w:eastAsia="仿宋_GB2312" w:cs="Times New Roman"/>
          <w:color w:val="auto"/>
          <w:sz w:val="32"/>
          <w:szCs w:val="32"/>
        </w:rPr>
        <w:t>万元，完成年初预算的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100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，其中教育支出</w:t>
      </w:r>
      <w:r>
        <w:rPr>
          <w:rFonts w:hint="eastAsia" w:ascii="Times New Roman" w:hAnsi="Times New Roman" w:eastAsia="仿宋_GB2312" w:cs="Times New Roman"/>
          <w:color w:val="auto"/>
          <w:sz w:val="32"/>
          <w:szCs w:val="32"/>
          <w:lang w:val="en-US" w:eastAsia="zh-CN"/>
        </w:rPr>
        <w:t>494.54万元，</w:t>
      </w:r>
      <w:r>
        <w:rPr>
          <w:rFonts w:hint="eastAsia" w:ascii="Times New Roman" w:hAnsi="Times New Roman" w:eastAsia="仿宋_GB2312" w:cs="Times New Roman"/>
          <w:color w:val="auto"/>
          <w:sz w:val="32"/>
          <w:szCs w:val="32"/>
          <w:lang w:eastAsia="zh-CN"/>
        </w:rPr>
        <w:t>社会保障就业支出</w:t>
      </w:r>
      <w:r>
        <w:rPr>
          <w:rFonts w:hint="eastAsia" w:ascii="Times New Roman" w:hAnsi="Times New Roman" w:eastAsia="仿宋_GB2312" w:cs="Times New Roman"/>
          <w:color w:val="auto"/>
          <w:sz w:val="32"/>
          <w:szCs w:val="32"/>
          <w:lang w:val="en-US" w:eastAsia="zh-CN"/>
        </w:rPr>
        <w:t>65.02万元，</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5.43万元。</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564.98</w:t>
      </w:r>
      <w:r>
        <w:rPr>
          <w:rFonts w:ascii="Times New Roman" w:hAnsi="Times New Roman" w:eastAsia="仿宋_GB2312" w:cs="Times New Roman"/>
          <w:sz w:val="32"/>
          <w:szCs w:val="32"/>
        </w:rPr>
        <w:t>万元，其中：</w:t>
      </w:r>
    </w:p>
    <w:p>
      <w:pPr>
        <w:pStyle w:val="12"/>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515.48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91.23</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p>
    <w:p>
      <w:pPr>
        <w:pStyle w:val="12"/>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lang w:val="en-US" w:eastAsia="zh-CN"/>
        </w:rPr>
        <w:t>49.5</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8.8</w:t>
      </w:r>
      <w:r>
        <w:rPr>
          <w:rFonts w:ascii="Times New Roman" w:hAnsi="Times New Roman" w:eastAsia="仿宋_GB2312" w:cs="Times New Roman"/>
          <w:color w:val="auto"/>
          <w:sz w:val="32"/>
          <w:szCs w:val="32"/>
        </w:rPr>
        <w:t>%，主要包括办公费、印刷费、咨询费、手续费。</w:t>
      </w:r>
      <w:r>
        <w:rPr>
          <w:rFonts w:hint="eastAsia" w:ascii="Times New Roman" w:hAnsi="Times New Roman" w:eastAsia="仿宋_GB2312" w:cs="Times New Roman"/>
          <w:color w:val="auto"/>
          <w:sz w:val="32"/>
          <w:szCs w:val="32"/>
          <w:lang w:eastAsia="zh-CN"/>
        </w:rPr>
        <w:t>对家庭和个人的补助</w:t>
      </w:r>
      <w:r>
        <w:rPr>
          <w:rFonts w:hint="eastAsia" w:ascii="Times New Roman" w:hAnsi="Times New Roman" w:eastAsia="仿宋_GB2312" w:cs="Times New Roman"/>
          <w:color w:val="auto"/>
          <w:sz w:val="32"/>
          <w:szCs w:val="32"/>
          <w:lang w:val="en-US" w:eastAsia="zh-CN"/>
        </w:rPr>
        <w:t>1.62万元，占基本支出的0.28%</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43.18</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color w:val="auto"/>
          <w:sz w:val="32"/>
          <w:szCs w:val="32"/>
          <w:lang w:eastAsia="zh-CN"/>
        </w:rPr>
        <w:t>部分公务接待费用</w:t>
      </w:r>
      <w:r>
        <w:rPr>
          <w:rFonts w:hint="eastAsia" w:ascii="Times New Roman" w:hAnsi="Times New Roman" w:eastAsia="仿宋_GB2312" w:cs="Times New Roman"/>
          <w:color w:val="auto"/>
          <w:sz w:val="32"/>
          <w:szCs w:val="32"/>
          <w:lang w:val="en-US" w:eastAsia="zh-CN"/>
        </w:rPr>
        <w:t>2025年支付</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cs="Times New Roman"/>
          <w:color w:val="auto"/>
          <w:sz w:val="32"/>
          <w:szCs w:val="32"/>
          <w:lang w:val="en-US" w:eastAsia="zh-CN"/>
        </w:rPr>
        <w:t>2024年公务接待开支了一部分。</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43.18</w:t>
      </w:r>
      <w:r>
        <w:rPr>
          <w:rFonts w:ascii="Times New Roman" w:hAnsi="Times New Roman" w:eastAsia="仿宋_GB2312" w:cs="Times New Roman"/>
          <w:sz w:val="32"/>
          <w:szCs w:val="32"/>
        </w:rPr>
        <w:t>%；与上年相比增加（减少）万元，增长（降低）</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color w:val="auto"/>
          <w:sz w:val="32"/>
          <w:szCs w:val="32"/>
          <w:lang w:eastAsia="zh-CN"/>
        </w:rPr>
        <w:t>部分公务接待费用</w:t>
      </w:r>
      <w:r>
        <w:rPr>
          <w:rFonts w:hint="eastAsia" w:ascii="Times New Roman" w:hAnsi="Times New Roman" w:eastAsia="仿宋_GB2312" w:cs="Times New Roman"/>
          <w:color w:val="auto"/>
          <w:sz w:val="32"/>
          <w:szCs w:val="32"/>
          <w:lang w:val="en-US" w:eastAsia="zh-CN"/>
        </w:rPr>
        <w:t>2025年支付</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cs="Times New Roman"/>
          <w:color w:val="auto"/>
          <w:sz w:val="32"/>
          <w:szCs w:val="32"/>
          <w:lang w:val="en-US" w:eastAsia="zh-CN"/>
        </w:rPr>
        <w:t>2024年公务接待开支了一部分</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人次，主要是</w:t>
      </w:r>
      <w:r>
        <w:rPr>
          <w:rFonts w:hint="eastAsia" w:ascii="Times New Roman" w:hAnsi="Times New Roman" w:eastAsia="仿宋_GB2312" w:cs="Times New Roman"/>
          <w:color w:val="auto"/>
          <w:sz w:val="32"/>
          <w:szCs w:val="32"/>
          <w:lang w:val="en-US" w:eastAsia="zh-CN"/>
        </w:rPr>
        <w:t>2024年上期开学督查会议</w:t>
      </w:r>
      <w:r>
        <w:rPr>
          <w:rFonts w:ascii="Times New Roman" w:hAnsi="Times New Roman" w:eastAsia="仿宋_GB2312" w:cs="Times New Roman"/>
          <w:color w:val="auto"/>
          <w:sz w:val="32"/>
          <w:szCs w:val="32"/>
        </w:rPr>
        <w:t>接待支出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2024年下期开学督查会议接待等</w:t>
      </w:r>
      <w:r>
        <w:rPr>
          <w:rFonts w:ascii="Times New Roman" w:hAnsi="Times New Roman" w:eastAsia="仿宋_GB2312" w:cs="Times New Roman"/>
          <w:sz w:val="32"/>
          <w:szCs w:val="32"/>
        </w:rPr>
        <w:t>发生的接待支出。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hint="default" w:eastAsia="仿宋_GB2312"/>
          <w:kern w:val="0"/>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49.5</w:t>
      </w:r>
      <w:r>
        <w:rPr>
          <w:rFonts w:ascii="Times New Roman" w:hAnsi="Times New Roman" w:eastAsia="仿宋_GB2312" w:cs="Times New Roman"/>
          <w:sz w:val="32"/>
          <w:szCs w:val="32"/>
        </w:rPr>
        <w:t>万元，比年初预算数（或者上年决算数）增加（减少）</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 xml:space="preserve"> 万元，增长（降低）</w:t>
      </w:r>
      <w:r>
        <w:rPr>
          <w:rFonts w:hint="eastAsia" w:ascii="Times New Roman" w:hAnsi="Times New Roman" w:eastAsia="仿宋_GB2312" w:cs="Times New Roman"/>
          <w:sz w:val="32"/>
          <w:szCs w:val="32"/>
          <w:lang w:val="en-US" w:eastAsia="zh-CN"/>
        </w:rPr>
        <w:t>4.65</w:t>
      </w:r>
      <w:r>
        <w:rPr>
          <w:rFonts w:ascii="Times New Roman" w:hAnsi="Times New Roman" w:eastAsia="仿宋_GB2312" w:cs="Times New Roman"/>
          <w:sz w:val="32"/>
          <w:szCs w:val="32"/>
        </w:rPr>
        <w:t>%。主要原因是：</w:t>
      </w:r>
      <w:r>
        <w:rPr>
          <w:rFonts w:hint="eastAsia" w:eastAsia="仿宋_GB2312"/>
          <w:kern w:val="0"/>
          <w:sz w:val="32"/>
          <w:szCs w:val="32"/>
          <w:lang w:val="en-US" w:eastAsia="zh-CN"/>
        </w:rPr>
        <w:t>2024年初支付了2023年年未支付的办公费，仪电费用等费用。</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2"/>
        <w:overflowPunct w:val="0"/>
        <w:autoSpaceDE/>
        <w:autoSpaceDN/>
        <w:spacing w:line="600" w:lineRule="exact"/>
        <w:ind w:firstLine="640" w:firstLineChars="200"/>
        <w:jc w:val="both"/>
        <w:rPr>
          <w:rFonts w:hint="eastAsia" w:eastAsia="仿宋_GB2312"/>
          <w:kern w:val="0"/>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2.03</w:t>
      </w:r>
      <w:r>
        <w:rPr>
          <w:rFonts w:ascii="Times New Roman" w:hAnsi="Times New Roman" w:eastAsia="仿宋_GB2312" w:cs="Times New Roman"/>
          <w:sz w:val="32"/>
          <w:szCs w:val="32"/>
        </w:rPr>
        <w:t>万元，用于召开</w:t>
      </w:r>
      <w:r>
        <w:rPr>
          <w:rFonts w:hint="eastAsia" w:eastAsia="仿宋_GB2312"/>
          <w:kern w:val="0"/>
          <w:sz w:val="32"/>
          <w:szCs w:val="32"/>
          <w:lang w:eastAsia="zh-CN"/>
        </w:rPr>
        <w:t>中学抽考、毕业统考会议</w:t>
      </w:r>
      <w:r>
        <w:rPr>
          <w:rFonts w:hint="eastAsia" w:eastAsia="仿宋_GB2312"/>
          <w:kern w:val="0"/>
          <w:sz w:val="32"/>
          <w:szCs w:val="32"/>
          <w:lang w:val="en-US" w:eastAsia="zh-CN"/>
        </w:rPr>
        <w:t>0.27万元</w:t>
      </w:r>
      <w:r>
        <w:rPr>
          <w:rFonts w:hint="eastAsia" w:eastAsia="仿宋_GB2312"/>
          <w:kern w:val="0"/>
          <w:sz w:val="32"/>
          <w:szCs w:val="32"/>
          <w:lang w:eastAsia="zh-CN"/>
        </w:rPr>
        <w:t>，蓝山县中小学田径运动会</w:t>
      </w:r>
      <w:r>
        <w:rPr>
          <w:rFonts w:hint="eastAsia" w:eastAsia="仿宋_GB2312"/>
          <w:kern w:val="0"/>
          <w:sz w:val="32"/>
          <w:szCs w:val="32"/>
          <w:lang w:val="en-US" w:eastAsia="zh-CN"/>
        </w:rPr>
        <w:t>0.8万元</w:t>
      </w:r>
      <w:r>
        <w:rPr>
          <w:rFonts w:hint="eastAsia" w:eastAsia="仿宋_GB2312"/>
          <w:kern w:val="0"/>
          <w:sz w:val="32"/>
          <w:szCs w:val="32"/>
          <w:lang w:eastAsia="zh-CN"/>
        </w:rPr>
        <w:t>，蓝山县中小学男子篮球赛等</w:t>
      </w:r>
      <w:r>
        <w:rPr>
          <w:rFonts w:hint="eastAsia" w:eastAsia="仿宋_GB2312"/>
          <w:kern w:val="0"/>
          <w:sz w:val="32"/>
          <w:szCs w:val="32"/>
          <w:lang w:val="en-US" w:eastAsia="zh-CN"/>
        </w:rPr>
        <w:t>0.5</w:t>
      </w:r>
      <w:r>
        <w:rPr>
          <w:rFonts w:hint="eastAsia" w:eastAsia="仿宋_GB2312"/>
          <w:kern w:val="0"/>
          <w:sz w:val="32"/>
          <w:szCs w:val="32"/>
          <w:lang w:eastAsia="zh-CN"/>
        </w:rPr>
        <w:t>万元</w:t>
      </w:r>
      <w:r>
        <w:rPr>
          <w:rFonts w:eastAsia="仿宋_GB2312"/>
          <w:kern w:val="0"/>
          <w:sz w:val="32"/>
          <w:szCs w:val="32"/>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1.42</w:t>
      </w:r>
      <w:r>
        <w:rPr>
          <w:rFonts w:ascii="Times New Roman" w:hAnsi="Times New Roman" w:eastAsia="仿宋_GB2312" w:cs="Times New Roman"/>
          <w:sz w:val="32"/>
          <w:szCs w:val="32"/>
        </w:rPr>
        <w:t>万元，</w:t>
      </w:r>
      <w:r>
        <w:rPr>
          <w:rFonts w:eastAsia="仿宋_GB2312"/>
          <w:kern w:val="0"/>
          <w:sz w:val="32"/>
          <w:szCs w:val="32"/>
        </w:rPr>
        <w:t>用于开展</w:t>
      </w:r>
      <w:r>
        <w:rPr>
          <w:rFonts w:hint="eastAsia" w:eastAsia="仿宋_GB2312"/>
          <w:kern w:val="0"/>
          <w:sz w:val="32"/>
          <w:szCs w:val="32"/>
          <w:lang w:eastAsia="zh-CN"/>
        </w:rPr>
        <w:t>教学教学技能</w:t>
      </w:r>
      <w:r>
        <w:rPr>
          <w:rFonts w:eastAsia="仿宋_GB2312"/>
          <w:kern w:val="0"/>
          <w:sz w:val="32"/>
          <w:szCs w:val="32"/>
        </w:rPr>
        <w:t>培训</w:t>
      </w:r>
      <w:r>
        <w:rPr>
          <w:rFonts w:hint="eastAsia" w:eastAsia="仿宋_GB2312"/>
          <w:kern w:val="0"/>
          <w:sz w:val="32"/>
          <w:szCs w:val="32"/>
          <w:lang w:val="en-US" w:eastAsia="zh-CN"/>
        </w:rPr>
        <w:t>0.91万元</w:t>
      </w:r>
      <w:r>
        <w:rPr>
          <w:rFonts w:ascii="Times New Roman" w:hAnsi="Times New Roman" w:eastAsia="仿宋_GB2312" w:cs="Times New Roman"/>
          <w:sz w:val="32"/>
          <w:szCs w:val="32"/>
        </w:rPr>
        <w:t>，</w:t>
      </w:r>
      <w:r>
        <w:rPr>
          <w:rFonts w:hint="eastAsia" w:eastAsia="仿宋_GB2312"/>
          <w:kern w:val="0"/>
          <w:sz w:val="32"/>
          <w:szCs w:val="32"/>
          <w:lang w:val="en-US" w:eastAsia="zh-CN"/>
        </w:rPr>
        <w:t>2024年会计内部审计培训0.51万元</w:t>
      </w:r>
      <w:r>
        <w:rPr>
          <w:rFonts w:eastAsia="仿宋_GB2312"/>
          <w:kern w:val="0"/>
          <w:sz w:val="32"/>
          <w:szCs w:val="32"/>
        </w:rPr>
        <w:t>，人数</w:t>
      </w:r>
      <w:r>
        <w:rPr>
          <w:rFonts w:eastAsia="仿宋_GB2312"/>
          <w:sz w:val="32"/>
          <w:szCs w:val="32"/>
          <w:u w:val="single"/>
        </w:rPr>
        <w:t xml:space="preserve"> </w:t>
      </w:r>
      <w:r>
        <w:rPr>
          <w:rFonts w:hint="eastAsia" w:eastAsia="仿宋_GB2312"/>
          <w:sz w:val="32"/>
          <w:szCs w:val="32"/>
          <w:u w:val="single"/>
          <w:lang w:val="en-US" w:eastAsia="zh-CN"/>
        </w:rPr>
        <w:t>60</w:t>
      </w:r>
      <w:r>
        <w:rPr>
          <w:rFonts w:eastAsia="仿宋_GB2312"/>
          <w:kern w:val="0"/>
          <w:sz w:val="32"/>
          <w:szCs w:val="32"/>
        </w:rPr>
        <w:t>人</w:t>
      </w:r>
      <w:r>
        <w:rPr>
          <w:rFonts w:hint="eastAsia" w:eastAsia="仿宋_GB2312"/>
          <w:kern w:val="0"/>
          <w:sz w:val="32"/>
          <w:szCs w:val="32"/>
          <w:lang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w:t>
      </w:r>
      <w:r>
        <w:rPr>
          <w:rFonts w:ascii="Times New Roman" w:hAnsi="Times New Roman" w:cs="Times New Roman"/>
          <w:bCs/>
          <w:color w:val="auto"/>
          <w:sz w:val="32"/>
          <w:szCs w:val="32"/>
        </w:rPr>
        <w:t>十二、关于国有资产占用情况说明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617.42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585.17</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94.8</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w:t>
      </w:r>
      <w:r>
        <w:rPr>
          <w:rFonts w:hint="eastAsia" w:ascii="Times New Roman" w:hAnsi="Times New Roman" w:eastAsia="仿宋_GB2312" w:cs="Times New Roman"/>
          <w:kern w:val="0"/>
          <w:sz w:val="32"/>
          <w:szCs w:val="32"/>
          <w:lang w:val="en-US" w:eastAsia="zh-CN"/>
        </w:rPr>
        <w:t>蓝山县楠市中学</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公用经费</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三公</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经费、会议费、培训费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color w:val="auto"/>
          <w:sz w:val="32"/>
          <w:szCs w:val="32"/>
          <w:lang w:val="en-US" w:eastAsia="zh-CN"/>
        </w:rPr>
        <w:t>617.42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numPr>
          <w:ilvl w:val="0"/>
          <w:numId w:val="2"/>
        </w:numPr>
        <w:overflowPunct w:val="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617.42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617.42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w:t>
      </w:r>
    </w:p>
    <w:p>
      <w:pPr>
        <w:numPr>
          <w:ilvl w:val="0"/>
          <w:numId w:val="3"/>
        </w:numPr>
        <w:overflowPunct w:val="0"/>
        <w:spacing w:line="600" w:lineRule="exact"/>
        <w:ind w:firstLine="960" w:firstLineChars="3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项目质量与满意度双优，本单位负责项目完成质量高，师生满意度评价结果良好。</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财务管理工作规范：经评价，各项目实施单位财务管理制度健全并得到严格执行，账务处理及时，会计核算规范。</w:t>
      </w:r>
    </w:p>
    <w:p>
      <w:pPr>
        <w:numPr>
          <w:ilvl w:val="0"/>
          <w:numId w:val="3"/>
        </w:numPr>
        <w:overflowPunct w:val="0"/>
        <w:spacing w:line="600" w:lineRule="exact"/>
        <w:ind w:firstLine="960" w:firstLineChars="300"/>
        <w:rPr>
          <w:rFonts w:ascii="Times New Roman" w:hAnsi="Times New Roman" w:eastAsia="仿宋_GB2312" w:cs="Times New Roman"/>
          <w:bCs/>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绩效评价工作机制有待完善：相关宣传与综合协调机制尚不健全，在人力、物力和财力方面的保障力度仍需加强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val="en-US" w:eastAsia="zh-CN"/>
        </w:rPr>
        <w:t>生源变化加剧资源与经费压力：学生人数逐年下降，在现有教育资源总量固定的情况下，生均成本上升，加大了单位经费负担。</w:t>
      </w:r>
    </w:p>
    <w:p>
      <w:pPr>
        <w:numPr>
          <w:ilvl w:val="0"/>
          <w:numId w:val="3"/>
        </w:numPr>
        <w:overflowPunct w:val="0"/>
        <w:spacing w:line="600" w:lineRule="exact"/>
        <w:ind w:firstLine="960" w:firstLineChars="300"/>
        <w:rPr>
          <w:rFonts w:ascii="Times New Roman" w:hAnsi="Times New Roman" w:eastAsia="仿宋_GB2312" w:cs="Times New Roman"/>
          <w:bCs/>
          <w:sz w:val="32"/>
          <w:szCs w:val="32"/>
        </w:rPr>
      </w:pP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一是跟踪项目绩效，确保目标达成：加强项目全过程进度监控，并建立绩效评价机制，及时评估项目产出与效果，确保绩效目标如期完成。二</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val="en-US" w:eastAsia="zh-CN"/>
        </w:rPr>
        <w:t>强化财务管控：将进一步加强财务管理，严格执行财务审批流程，确保资金使用规范性与有效性。所有费用报销支付必须符合预算项目与用途规定，执行严格的资金使用审核</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列报与核算程序，从源头杜绝超支现象。</w:t>
      </w:r>
    </w:p>
    <w:p>
      <w:pPr>
        <w:pStyle w:val="2"/>
        <w:rPr>
          <w:rFonts w:hint="default"/>
          <w:lang w:val="en-US"/>
        </w:rPr>
      </w:pP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宋体" w:hAnsi="宋体" w:cs="黑体"/>
          <w:color w:val="000000"/>
          <w:kern w:val="0"/>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Times New Roman" w:hAnsi="Times New Roman" w:eastAsia="仿宋_GB2312" w:cs="Times New Roman"/>
          <w:color w:val="000000"/>
          <w:kern w:val="0"/>
          <w:sz w:val="32"/>
          <w:szCs w:val="32"/>
          <w:lang w:val="en-US" w:eastAsia="zh-CN"/>
        </w:rPr>
        <w:t>3、</w:t>
      </w:r>
      <w:r>
        <w:rPr>
          <w:rFonts w:hint="eastAsia" w:ascii="楷体_GB2312" w:hAnsi="楷体_GB2312" w:eastAsia="楷体_GB2312" w:cs="楷体_GB2312"/>
          <w:b w:val="0"/>
          <w:bCs w:val="0"/>
          <w:color w:val="000000"/>
          <w:sz w:val="32"/>
          <w:szCs w:val="32"/>
          <w:u w:val="none"/>
          <w:shd w:val="clear" w:color="auto" w:fill="FFFFFF"/>
        </w:rPr>
        <w:t>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Times New Roman" w:hAnsi="Times New Roman" w:eastAsia="仿宋_GB2312" w:cs="Times New Roman"/>
          <w:color w:val="000000"/>
          <w:kern w:val="0"/>
          <w:sz w:val="32"/>
          <w:szCs w:val="32"/>
          <w:lang w:val="en-US" w:eastAsia="zh-CN"/>
        </w:rPr>
        <w:t>4、</w:t>
      </w:r>
      <w:r>
        <w:rPr>
          <w:rFonts w:hint="eastAsia" w:ascii="楷体_GB2312" w:hAnsi="楷体_GB2312" w:eastAsia="楷体_GB2312" w:cs="楷体_GB2312"/>
          <w:b w:val="0"/>
          <w:bCs w:val="0"/>
          <w:color w:val="000000"/>
          <w:sz w:val="32"/>
          <w:szCs w:val="32"/>
          <w:u w:val="none"/>
          <w:shd w:val="clear" w:color="auto" w:fill="FFFFFF"/>
        </w:rPr>
        <w:t>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12"/>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bookmarkStart w:id="3" w:name="_GoBack"/>
      <w:bookmarkEnd w:id="3"/>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2"/>
        <w:tabs>
          <w:tab w:val="left" w:pos="2466"/>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2024年度部门(单位)</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支出绩效自评报告。</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DD13C6-2C16-4427-B5F1-C28C1BE028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2AC5F1CE-ECF4-4B9D-9DE2-38F22E916F83}"/>
  </w:font>
  <w:font w:name="方正小标宋_GBK">
    <w:panose1 w:val="02000000000000000000"/>
    <w:charset w:val="86"/>
    <w:family w:val="script"/>
    <w:pitch w:val="default"/>
    <w:sig w:usb0="A00002BF" w:usb1="38CF7CFA" w:usb2="00082016" w:usb3="00000000" w:csb0="00040001" w:csb1="00000000"/>
    <w:embedRegular r:id="rId3" w:fontKey="{D8DF141D-48E9-40D5-989D-F1F128B1C0F9}"/>
  </w:font>
  <w:font w:name="仿宋_GB2312">
    <w:panose1 w:val="02010609030101010101"/>
    <w:charset w:val="86"/>
    <w:family w:val="modern"/>
    <w:pitch w:val="default"/>
    <w:sig w:usb0="00000001" w:usb1="080E0000" w:usb2="00000000" w:usb3="00000000" w:csb0="00040000" w:csb1="00000000"/>
    <w:embedRegular r:id="rId4" w:fontKey="{BFD4EC7E-A616-4023-AC6C-5161A2967DFA}"/>
  </w:font>
  <w:font w:name="华文中宋">
    <w:altName w:val="宋体"/>
    <w:panose1 w:val="02010600040101010101"/>
    <w:charset w:val="86"/>
    <w:family w:val="auto"/>
    <w:pitch w:val="default"/>
    <w:sig w:usb0="00000000" w:usb1="00000000" w:usb2="00000010" w:usb3="00000000" w:csb0="0004009F" w:csb1="00000000"/>
    <w:embedRegular r:id="rId5" w:fontKey="{026310CE-F260-4CB1-9E5F-9F052DC78E24}"/>
  </w:font>
  <w:font w:name="楷体_GB2312">
    <w:panose1 w:val="02010609030101010101"/>
    <w:charset w:val="86"/>
    <w:family w:val="modern"/>
    <w:pitch w:val="default"/>
    <w:sig w:usb0="00000001" w:usb1="080E0000" w:usb2="00000000" w:usb3="00000000" w:csb0="00040000" w:csb1="00000000"/>
    <w:embedRegular r:id="rId6" w:fontKey="{DAF034C6-E8B7-4D8E-A87C-758D171A2F94}"/>
  </w:font>
  <w:font w:name="楷体">
    <w:panose1 w:val="02010609060101010101"/>
    <w:charset w:val="86"/>
    <w:family w:val="modern"/>
    <w:pitch w:val="default"/>
    <w:sig w:usb0="800002BF" w:usb1="38CF7CFA" w:usb2="00000016" w:usb3="00000000" w:csb0="00040001" w:csb1="00000000"/>
    <w:embedRegular r:id="rId7" w:fontKey="{1924E78E-5644-44D5-9CF7-1ACDAAAFB7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C53EAD"/>
    <w:multiLevelType w:val="singleLevel"/>
    <w:tmpl w:val="89C53EAD"/>
    <w:lvl w:ilvl="0" w:tentative="0">
      <w:start w:val="1"/>
      <w:numFmt w:val="decimal"/>
      <w:suff w:val="nothing"/>
      <w:lvlText w:val="%1、"/>
      <w:lvlJc w:val="left"/>
    </w:lvl>
  </w:abstractNum>
  <w:abstractNum w:abstractNumId="1">
    <w:nsid w:val="CEC9ED76"/>
    <w:multiLevelType w:val="singleLevel"/>
    <w:tmpl w:val="CEC9ED76"/>
    <w:lvl w:ilvl="0" w:tentative="0">
      <w:start w:val="1"/>
      <w:numFmt w:val="decimal"/>
      <w:suff w:val="nothing"/>
      <w:lvlText w:val="%1、"/>
      <w:lvlJc w:val="left"/>
    </w:lvl>
  </w:abstractNum>
  <w:abstractNum w:abstractNumId="2">
    <w:nsid w:val="6A60EEFC"/>
    <w:multiLevelType w:val="singleLevel"/>
    <w:tmpl w:val="6A60EEFC"/>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8260B"/>
    <w:rsid w:val="1C6F3B07"/>
    <w:rsid w:val="1D97DEFF"/>
    <w:rsid w:val="1DFF72E5"/>
    <w:rsid w:val="1EFC6F07"/>
    <w:rsid w:val="2FDF85B8"/>
    <w:rsid w:val="2FFFEE04"/>
    <w:rsid w:val="34DF85B0"/>
    <w:rsid w:val="3B8F36BC"/>
    <w:rsid w:val="491FF225"/>
    <w:rsid w:val="4FFD214C"/>
    <w:rsid w:val="5777D4F5"/>
    <w:rsid w:val="59DD8326"/>
    <w:rsid w:val="5DEF592A"/>
    <w:rsid w:val="5E6A44BC"/>
    <w:rsid w:val="5FC6BB1E"/>
    <w:rsid w:val="5FF720F1"/>
    <w:rsid w:val="67FF5C0B"/>
    <w:rsid w:val="6EFC0924"/>
    <w:rsid w:val="6F164627"/>
    <w:rsid w:val="6FB74722"/>
    <w:rsid w:val="6FEF8B7E"/>
    <w:rsid w:val="71A6591B"/>
    <w:rsid w:val="737D59BA"/>
    <w:rsid w:val="77C37683"/>
    <w:rsid w:val="79D19834"/>
    <w:rsid w:val="79FF515B"/>
    <w:rsid w:val="7C0770CA"/>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8"/>
    <w:link w:val="7"/>
    <w:qFormat/>
    <w:uiPriority w:val="99"/>
    <w:rPr>
      <w:sz w:val="18"/>
      <w:szCs w:val="18"/>
    </w:rPr>
  </w:style>
  <w:style w:type="character" w:customStyle="1" w:styleId="11">
    <w:name w:val="页脚 Char"/>
    <w:basedOn w:val="8"/>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5"/>
    <w:semiHidden/>
    <w:qFormat/>
    <w:uiPriority w:val="99"/>
    <w:rPr>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2</TotalTime>
  <ScaleCrop>false</ScaleCrop>
  <LinksUpToDate>false</LinksUpToDate>
  <CharactersWithSpaces>9786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2025-09-18T02:23:29Z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E719B17687FC43FFB862DE149AC12476</vt:lpwstr>
  </property>
</Properties>
</file>