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r>
        <w:rPr>
          <w:rFonts w:hint="eastAsia" w:hAnsi="黑体"/>
          <w:sz w:val="36"/>
          <w:szCs w:val="36"/>
        </w:rPr>
        <w:t>附件1</w:t>
      </w: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蓝山县湘江源瑶族乡人民政府</w:t>
      </w:r>
    </w:p>
    <w:p>
      <w:pPr>
        <w:pStyle w:val="15"/>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部门决算</w:t>
      </w:r>
    </w:p>
    <w:p>
      <w:pPr>
        <w:pStyle w:val="15"/>
        <w:jc w:val="center"/>
        <w:rPr>
          <w:rFonts w:ascii="Times New Roman" w:hAnsi="Times New Roman" w:eastAsia="方正小标宋_GBK"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sectPr>
          <w:footerReference r:id="rId5" w:type="default"/>
          <w:pgSz w:w="11906" w:h="16838"/>
          <w:pgMar w:top="1417" w:right="1588" w:bottom="1417" w:left="1588" w:header="851" w:footer="992" w:gutter="0"/>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蓝山县湘江源瑶族乡人民政府</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6"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0"/>
        <w:rPr>
          <w:rFonts w:ascii="Times New Roman" w:hAnsi="Times New Roman" w:cs="Times New Roman"/>
        </w:rPr>
        <w:sectPr>
          <w:footerReference r:id="rId7"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湘江源瑶族乡人民政府</w:t>
      </w:r>
      <w:r>
        <w:rPr>
          <w:rFonts w:ascii="Times New Roman" w:hAnsi="Times New Roman" w:eastAsia="方正小标宋_GBK" w:cs="Times New Roman"/>
          <w:sz w:val="52"/>
          <w:szCs w:val="52"/>
        </w:rPr>
        <w:t>概况</w:t>
      </w:r>
    </w:p>
    <w:p>
      <w:pPr>
        <w:pStyle w:val="6"/>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color w:val="000000"/>
          <w:sz w:val="32"/>
          <w:szCs w:val="32"/>
          <w:u w:val="none"/>
          <w:shd w:val="clear" w:color="auto" w:fill="FFFFFF"/>
          <w:lang w:val="en-US" w:eastAsia="zh-CN"/>
        </w:rPr>
        <w:t>蓝山县</w:t>
      </w:r>
      <w:r>
        <w:rPr>
          <w:rFonts w:hint="eastAsia" w:ascii="仿宋_GB2312" w:hAnsi="仿宋_GB2312" w:eastAsia="仿宋_GB2312" w:cs="仿宋_GB2312"/>
          <w:color w:val="000000"/>
          <w:sz w:val="32"/>
          <w:szCs w:val="32"/>
          <w:u w:val="none"/>
          <w:shd w:val="clear" w:color="auto" w:fill="FFFFFF"/>
        </w:rPr>
        <w:t>湘江源瑶族乡人民政府主要工作职责是：落实国家政策，严格依法行政，发挥经济管理职能，加强政策引导，制定发展规划，大力促进社会事业，提供公共服务，维护社会稳定，构建社会主义和谐社会</w:t>
      </w:r>
      <w:r>
        <w:rPr>
          <w:rFonts w:hint="eastAsia" w:ascii="宋体" w:hAnsi="宋体"/>
          <w:sz w:val="28"/>
          <w:szCs w:val="28"/>
          <w:u w:val="none"/>
        </w:rPr>
        <w:t>。</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Cs/>
          <w:kern w:val="0"/>
          <w:sz w:val="32"/>
          <w:szCs w:val="32"/>
          <w:u w:val="none"/>
        </w:rPr>
      </w:pPr>
      <w:r>
        <w:rPr>
          <w:rFonts w:hint="eastAsia" w:ascii="楷体_GB2312" w:hAnsi="宋体" w:eastAsia="楷体_GB2312"/>
          <w:b/>
          <w:bCs/>
          <w:kern w:val="0"/>
          <w:sz w:val="32"/>
          <w:szCs w:val="32"/>
          <w:u w:val="none"/>
        </w:rPr>
        <w:t>（一）内设机构设置。</w:t>
      </w:r>
      <w:r>
        <w:rPr>
          <w:rFonts w:hint="eastAsia" w:ascii="仿宋_GB2312" w:hAnsi="仿宋_GB2312" w:eastAsia="仿宋_GB2312" w:cs="仿宋_GB2312"/>
          <w:color w:val="000000"/>
          <w:sz w:val="32"/>
          <w:szCs w:val="32"/>
          <w:u w:val="none"/>
          <w:shd w:val="clear" w:color="auto" w:fill="FFFFFF"/>
          <w:lang w:val="en-US" w:eastAsia="zh-CN"/>
        </w:rPr>
        <w:t>蓝山县</w:t>
      </w:r>
      <w:r>
        <w:rPr>
          <w:rFonts w:hint="eastAsia" w:ascii="仿宋_GB2312" w:hAnsi="仿宋_GB2312" w:eastAsia="仿宋_GB2312" w:cs="仿宋_GB2312"/>
          <w:color w:val="000000"/>
          <w:sz w:val="32"/>
          <w:szCs w:val="32"/>
          <w:u w:val="none"/>
          <w:shd w:val="clear" w:color="auto" w:fill="FFFFFF"/>
        </w:rPr>
        <w:t>湘江源瑶族乡人民政府</w:t>
      </w:r>
      <w:r>
        <w:rPr>
          <w:rFonts w:hint="eastAsia" w:ascii="仿宋_GB2312" w:hAnsi="仿宋_GB2312" w:eastAsia="仿宋_GB2312" w:cs="仿宋_GB2312"/>
          <w:color w:val="000000"/>
          <w:sz w:val="32"/>
          <w:szCs w:val="32"/>
          <w:u w:val="none"/>
          <w:shd w:val="clear" w:color="auto" w:fill="FFFFFF"/>
          <w:lang w:val="en-US" w:eastAsia="zh-CN"/>
        </w:rPr>
        <w:t>单位内设机构包括：</w:t>
      </w:r>
      <w:r>
        <w:rPr>
          <w:rFonts w:hint="default" w:ascii="Times New Roman" w:hAnsi="Times New Roman" w:eastAsia="仿宋_GB2312" w:cs="Times New Roman"/>
          <w:color w:val="000000"/>
          <w:sz w:val="32"/>
          <w:szCs w:val="32"/>
          <w:u w:val="none"/>
          <w:shd w:val="clear" w:color="auto" w:fill="FFFFFF"/>
        </w:rPr>
        <w:t>党政机构3个，分别为党政综合办公室、经济发展和社会事务办公室、自然资源和生态环境办公室（社会治安和应急管理办公室）</w:t>
      </w:r>
      <w:r>
        <w:rPr>
          <w:rFonts w:hint="default" w:ascii="Times New Roman" w:hAnsi="Times New Roman" w:eastAsia="仿宋_GB2312" w:cs="Times New Roman"/>
          <w:color w:val="000000"/>
          <w:sz w:val="32"/>
          <w:szCs w:val="32"/>
          <w:u w:val="none"/>
          <w:shd w:val="clear" w:color="auto" w:fill="FFFFFF"/>
          <w:lang w:eastAsia="zh-CN"/>
        </w:rPr>
        <w:t>，</w:t>
      </w:r>
      <w:r>
        <w:rPr>
          <w:rFonts w:hint="default" w:ascii="Times New Roman" w:hAnsi="Times New Roman" w:eastAsia="仿宋_GB2312" w:cs="Times New Roman"/>
          <w:color w:val="000000"/>
          <w:sz w:val="32"/>
          <w:szCs w:val="32"/>
          <w:u w:val="none"/>
          <w:shd w:val="clear" w:color="auto" w:fill="FFFFFF"/>
        </w:rPr>
        <w:t>直属事业单位机构3个，分别为社会事业综合服务中心、农业综合服务中心、政务服务中心</w:t>
      </w:r>
      <w:r>
        <w:rPr>
          <w:rFonts w:hint="default" w:ascii="Times New Roman" w:hAnsi="Times New Roman" w:eastAsia="仿宋_GB2312" w:cs="Times New Roman"/>
          <w:color w:val="000000"/>
          <w:sz w:val="32"/>
          <w:szCs w:val="32"/>
          <w:u w:val="none"/>
          <w:shd w:val="clear" w:color="auto" w:fill="FFFFFF"/>
          <w:lang w:eastAsia="zh-CN"/>
        </w:rPr>
        <w:t>，</w:t>
      </w:r>
      <w:r>
        <w:rPr>
          <w:rFonts w:hint="default" w:ascii="Times New Roman" w:hAnsi="Times New Roman" w:eastAsia="仿宋_GB2312" w:cs="Times New Roman"/>
          <w:color w:val="000000"/>
          <w:sz w:val="32"/>
          <w:szCs w:val="32"/>
          <w:u w:val="none"/>
          <w:shd w:val="clear" w:color="auto" w:fill="FFFFFF"/>
        </w:rPr>
        <w:t>综合行政执法机构1个，为湘江源乡综合行政执法大队。湘江源瑶族乡人民政府共有干部职工在职</w:t>
      </w:r>
      <w:r>
        <w:rPr>
          <w:rFonts w:hint="eastAsia" w:ascii="Times New Roman" w:hAnsi="Times New Roman" w:eastAsia="仿宋_GB2312" w:cs="Times New Roman"/>
          <w:color w:val="000000"/>
          <w:sz w:val="32"/>
          <w:szCs w:val="32"/>
          <w:u w:val="none"/>
          <w:shd w:val="clear" w:color="auto" w:fill="FFFFFF"/>
          <w:lang w:val="en-US" w:eastAsia="zh-CN"/>
        </w:rPr>
        <w:t>31</w:t>
      </w:r>
      <w:r>
        <w:rPr>
          <w:rFonts w:hint="default" w:ascii="Times New Roman" w:hAnsi="Times New Roman" w:eastAsia="仿宋_GB2312" w:cs="Times New Roman"/>
          <w:color w:val="000000"/>
          <w:sz w:val="32"/>
          <w:szCs w:val="32"/>
          <w:u w:val="none"/>
          <w:shd w:val="clear" w:color="auto" w:fill="FFFFFF"/>
        </w:rPr>
        <w:t>名，其中在职人员</w:t>
      </w:r>
      <w:r>
        <w:rPr>
          <w:rFonts w:hint="default" w:ascii="Times New Roman" w:hAnsi="Times New Roman" w:eastAsia="仿宋_GB2312" w:cs="Times New Roman"/>
          <w:color w:val="000000"/>
          <w:sz w:val="32"/>
          <w:szCs w:val="32"/>
          <w:u w:val="none"/>
          <w:shd w:val="clear" w:color="auto" w:fill="FFFFFF"/>
          <w:lang w:val="en-US" w:eastAsia="zh-CN"/>
        </w:rPr>
        <w:t>3</w:t>
      </w:r>
      <w:r>
        <w:rPr>
          <w:rFonts w:hint="eastAsia" w:ascii="Times New Roman" w:hAnsi="Times New Roman" w:eastAsia="仿宋_GB2312" w:cs="Times New Roman"/>
          <w:color w:val="000000"/>
          <w:sz w:val="32"/>
          <w:szCs w:val="32"/>
          <w:u w:val="none"/>
          <w:shd w:val="clear" w:color="auto" w:fill="FFFFFF"/>
          <w:lang w:val="en-US" w:eastAsia="zh-CN"/>
        </w:rPr>
        <w:t>1</w:t>
      </w:r>
      <w:r>
        <w:rPr>
          <w:rFonts w:hint="default" w:ascii="Times New Roman" w:hAnsi="Times New Roman" w:eastAsia="仿宋_GB2312" w:cs="Times New Roman"/>
          <w:color w:val="000000"/>
          <w:sz w:val="32"/>
          <w:szCs w:val="32"/>
          <w:u w:val="none"/>
          <w:shd w:val="clear" w:color="auto" w:fill="FFFFFF"/>
        </w:rPr>
        <w:t>人（含行政1</w:t>
      </w:r>
      <w:r>
        <w:rPr>
          <w:rFonts w:hint="eastAsia" w:ascii="Times New Roman" w:hAnsi="Times New Roman" w:eastAsia="仿宋_GB2312" w:cs="Times New Roman"/>
          <w:color w:val="000000"/>
          <w:sz w:val="32"/>
          <w:szCs w:val="32"/>
          <w:u w:val="none"/>
          <w:shd w:val="clear" w:color="auto" w:fill="FFFFFF"/>
          <w:lang w:val="en-US" w:eastAsia="zh-CN"/>
        </w:rPr>
        <w:t>5</w:t>
      </w:r>
      <w:r>
        <w:rPr>
          <w:rFonts w:hint="default" w:ascii="Times New Roman" w:hAnsi="Times New Roman" w:eastAsia="仿宋_GB2312" w:cs="Times New Roman"/>
          <w:color w:val="000000"/>
          <w:sz w:val="32"/>
          <w:szCs w:val="32"/>
          <w:u w:val="none"/>
          <w:shd w:val="clear" w:color="auto" w:fill="FFFFFF"/>
        </w:rPr>
        <w:t>人、事业</w:t>
      </w:r>
      <w:r>
        <w:rPr>
          <w:rFonts w:hint="default" w:ascii="Times New Roman" w:hAnsi="Times New Roman" w:eastAsia="仿宋_GB2312" w:cs="Times New Roman"/>
          <w:color w:val="000000"/>
          <w:sz w:val="32"/>
          <w:szCs w:val="32"/>
          <w:u w:val="none"/>
          <w:shd w:val="clear" w:color="auto" w:fill="FFFFFF"/>
          <w:lang w:val="en-US" w:eastAsia="zh-CN"/>
        </w:rPr>
        <w:t>16</w:t>
      </w:r>
      <w:r>
        <w:rPr>
          <w:rFonts w:hint="default" w:ascii="Times New Roman" w:hAnsi="Times New Roman" w:eastAsia="仿宋_GB2312" w:cs="Times New Roman"/>
          <w:color w:val="000000"/>
          <w:sz w:val="32"/>
          <w:szCs w:val="32"/>
          <w:u w:val="none"/>
          <w:shd w:val="clear" w:color="auto" w:fill="FFFFFF"/>
        </w:rPr>
        <w:t>人，</w:t>
      </w:r>
      <w:r>
        <w:rPr>
          <w:rFonts w:hint="default" w:ascii="Times New Roman" w:hAnsi="Times New Roman" w:eastAsia="仿宋_GB2312" w:cs="Times New Roman"/>
          <w:color w:val="000000"/>
          <w:sz w:val="32"/>
          <w:szCs w:val="32"/>
          <w:u w:val="none"/>
          <w:shd w:val="clear" w:color="auto" w:fill="FFFFFF"/>
          <w:lang w:val="en-US" w:eastAsia="zh-CN"/>
        </w:rPr>
        <w:t>退休人员9人），</w:t>
      </w:r>
      <w:r>
        <w:rPr>
          <w:rFonts w:hint="default" w:ascii="Times New Roman" w:hAnsi="Times New Roman" w:eastAsia="仿宋_GB2312" w:cs="Times New Roman"/>
          <w:color w:val="000000"/>
          <w:sz w:val="32"/>
          <w:szCs w:val="32"/>
          <w:u w:val="none"/>
          <w:shd w:val="clear" w:color="auto" w:fill="FFFFFF"/>
        </w:rPr>
        <w:t>共有2台公务用车</w:t>
      </w:r>
      <w:r>
        <w:rPr>
          <w:rFonts w:hint="default" w:ascii="Times New Roman" w:hAnsi="Times New Roman" w:eastAsia="仿宋_GB2312" w:cs="Times New Roman"/>
          <w:sz w:val="32"/>
          <w:szCs w:val="32"/>
          <w:u w:val="none"/>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eastAsia="仿宋_GB2312"/>
          <w:bCs/>
          <w:kern w:val="0"/>
          <w:sz w:val="32"/>
          <w:szCs w:val="32"/>
          <w:u w:val="none"/>
        </w:rPr>
      </w:pPr>
      <w:r>
        <w:rPr>
          <w:rFonts w:hint="eastAsia" w:ascii="楷体_GB2312" w:hAnsi="宋体" w:eastAsia="楷体_GB2312"/>
          <w:b/>
          <w:bCs/>
          <w:kern w:val="0"/>
          <w:sz w:val="32"/>
          <w:szCs w:val="32"/>
          <w:u w:val="none"/>
        </w:rPr>
        <w:t>（二）决算单位构成。</w:t>
      </w:r>
      <w:r>
        <w:rPr>
          <w:rFonts w:hint="eastAsia" w:eastAsia="仿宋_GB2312"/>
          <w:bCs/>
          <w:kern w:val="0"/>
          <w:sz w:val="32"/>
          <w:szCs w:val="32"/>
          <w:u w:val="none"/>
        </w:rPr>
        <w:t>蓝山县湘江源瑶族乡人民政府</w:t>
      </w:r>
      <w:r>
        <w:rPr>
          <w:rFonts w:hint="eastAsia" w:eastAsia="仿宋_GB2312"/>
          <w:bCs/>
          <w:kern w:val="0"/>
          <w:sz w:val="32"/>
          <w:szCs w:val="32"/>
          <w:u w:val="none"/>
          <w:lang w:val="en-US" w:eastAsia="zh-CN"/>
        </w:rPr>
        <w:t>单位</w:t>
      </w:r>
      <w:r>
        <w:rPr>
          <w:rFonts w:eastAsia="仿宋_GB2312"/>
          <w:bCs/>
          <w:kern w:val="0"/>
          <w:sz w:val="32"/>
          <w:szCs w:val="32"/>
          <w:u w:val="none"/>
        </w:rPr>
        <w:t>20</w:t>
      </w:r>
      <w:r>
        <w:rPr>
          <w:rFonts w:hint="eastAsia" w:eastAsia="仿宋_GB2312"/>
          <w:bCs/>
          <w:kern w:val="0"/>
          <w:sz w:val="32"/>
          <w:szCs w:val="32"/>
          <w:u w:val="none"/>
        </w:rPr>
        <w:t>2</w:t>
      </w:r>
      <w:r>
        <w:rPr>
          <w:rFonts w:hint="eastAsia" w:eastAsia="仿宋_GB2312"/>
          <w:bCs/>
          <w:kern w:val="0"/>
          <w:sz w:val="32"/>
          <w:szCs w:val="32"/>
          <w:u w:val="none"/>
          <w:lang w:val="en-US" w:eastAsia="zh-CN"/>
        </w:rPr>
        <w:t>4</w:t>
      </w:r>
      <w:r>
        <w:rPr>
          <w:rFonts w:eastAsia="仿宋_GB2312"/>
          <w:bCs/>
          <w:kern w:val="0"/>
          <w:sz w:val="32"/>
          <w:szCs w:val="32"/>
          <w:u w:val="none"/>
        </w:rPr>
        <w:t>年部门决算汇总公开单位构成</w:t>
      </w:r>
      <w:r>
        <w:rPr>
          <w:rFonts w:hint="eastAsia" w:eastAsia="仿宋_GB2312"/>
          <w:bCs/>
          <w:kern w:val="0"/>
          <w:sz w:val="32"/>
          <w:szCs w:val="32"/>
          <w:u w:val="none"/>
        </w:rPr>
        <w:t>仅</w:t>
      </w:r>
      <w:r>
        <w:rPr>
          <w:rFonts w:eastAsia="仿宋_GB2312"/>
          <w:bCs/>
          <w:kern w:val="0"/>
          <w:sz w:val="32"/>
          <w:szCs w:val="32"/>
          <w:u w:val="none"/>
        </w:rPr>
        <w:t>包括：</w:t>
      </w:r>
      <w:r>
        <w:rPr>
          <w:rFonts w:hint="eastAsia" w:eastAsia="仿宋_GB2312"/>
          <w:bCs/>
          <w:kern w:val="0"/>
          <w:sz w:val="32"/>
          <w:szCs w:val="32"/>
          <w:u w:val="none"/>
        </w:rPr>
        <w:t>蓝山县湘江源瑶族乡人民政府</w:t>
      </w:r>
      <w:r>
        <w:rPr>
          <w:rFonts w:eastAsia="仿宋_GB2312"/>
          <w:bCs/>
          <w:kern w:val="0"/>
          <w:sz w:val="32"/>
          <w:szCs w:val="32"/>
          <w:u w:val="none"/>
        </w:rPr>
        <w:t>本级</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0"/>
        <w:rPr>
          <w:rFonts w:ascii="Times New Roman" w:hAnsi="Times New Roman" w:cs="Times New Roman"/>
        </w:rPr>
        <w:sectPr>
          <w:footerReference r:id="rId8"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2560.4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2560.4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2560.4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2560.4</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hint="default"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201</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hint="default"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一般公共服务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2560.4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2560.4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hint="default"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20103</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eastAsia="仿宋_GB2312" w:asciiTheme="minorHAnsi" w:hAnsiTheme="minorHAnsi" w:cstheme="minorBidi"/>
                <w:kern w:val="0"/>
                <w:sz w:val="21"/>
                <w:szCs w:val="21"/>
                <w:u w:val="none"/>
                <w:lang w:val="en-US" w:eastAsia="zh-CN" w:bidi="ar-SA"/>
              </w:rPr>
            </w:pPr>
            <w:r>
              <w:rPr>
                <w:u w:val="none"/>
              </w:rPr>
              <w:commentReference w:id="0"/>
            </w:r>
            <w:r>
              <w:rPr>
                <w:rFonts w:hint="eastAsia"/>
                <w:u w:val="none"/>
              </w:rPr>
              <w:t>政府办公厅（室）及相关机构事务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2560.4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2560.4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2010301</w:t>
            </w:r>
          </w:p>
        </w:tc>
        <w:tc>
          <w:tcPr>
            <w:tcW w:w="13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eastAsia="仿宋_GB2312" w:asciiTheme="minorHAnsi" w:hAnsiTheme="minorHAnsi" w:cstheme="minorBidi"/>
                <w:kern w:val="0"/>
                <w:sz w:val="21"/>
                <w:szCs w:val="21"/>
                <w:u w:val="none"/>
                <w:lang w:val="en-US" w:eastAsia="zh-CN" w:bidi="ar-SA"/>
              </w:rPr>
            </w:pPr>
            <w:r>
              <w:rPr>
                <w:rFonts w:hint="eastAsia" w:eastAsia="仿宋_GB2312"/>
                <w:color w:val="000000"/>
                <w:kern w:val="0"/>
                <w:szCs w:val="21"/>
                <w:u w:val="none"/>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2560.4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2560.4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211" w:type="dxa"/>
        <w:jc w:val="center"/>
        <w:tblInd w:w="0" w:type="dxa"/>
        <w:tblLayout w:type="fixed"/>
        <w:tblCellMar>
          <w:top w:w="0" w:type="dxa"/>
          <w:left w:w="108" w:type="dxa"/>
          <w:bottom w:w="0" w:type="dxa"/>
          <w:right w:w="108" w:type="dxa"/>
        </w:tblCellMar>
      </w:tblPr>
      <w:tblGrid>
        <w:gridCol w:w="2136"/>
        <w:gridCol w:w="3366"/>
        <w:gridCol w:w="1587"/>
        <w:gridCol w:w="1044"/>
        <w:gridCol w:w="1041"/>
        <w:gridCol w:w="1585"/>
        <w:gridCol w:w="1042"/>
        <w:gridCol w:w="2410"/>
      </w:tblGrid>
      <w:tr>
        <w:tblPrEx>
          <w:tblLayout w:type="fixed"/>
          <w:tblCellMar>
            <w:top w:w="0" w:type="dxa"/>
            <w:left w:w="108" w:type="dxa"/>
            <w:bottom w:w="0" w:type="dxa"/>
            <w:right w:w="108" w:type="dxa"/>
          </w:tblCellMar>
        </w:tblPrEx>
        <w:trPr>
          <w:trHeight w:val="595" w:hRule="atLeast"/>
          <w:jc w:val="center"/>
        </w:trPr>
        <w:tc>
          <w:tcPr>
            <w:tcW w:w="550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5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0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0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5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04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4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1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36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36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550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58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04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04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8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04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41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550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201</w:t>
            </w:r>
          </w:p>
        </w:tc>
        <w:tc>
          <w:tcPr>
            <w:tcW w:w="3366" w:type="dxa"/>
            <w:tcBorders>
              <w:top w:val="nil"/>
              <w:left w:val="nil"/>
              <w:bottom w:val="single" w:color="auto" w:sz="4" w:space="0"/>
              <w:right w:val="single" w:color="auto" w:sz="4" w:space="0"/>
            </w:tcBorders>
            <w:shd w:val="clear" w:color="auto" w:fill="auto"/>
            <w:vAlign w:val="center"/>
          </w:tcPr>
          <w:p>
            <w:pPr>
              <w:widowControl/>
              <w:jc w:val="left"/>
              <w:rPr>
                <w:rFonts w:hint="default"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一般公共服务</w:t>
            </w:r>
          </w:p>
        </w:tc>
        <w:tc>
          <w:tcPr>
            <w:tcW w:w="1587"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2560.4</w:t>
            </w:r>
          </w:p>
        </w:tc>
        <w:tc>
          <w:tcPr>
            <w:tcW w:w="1044"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1459</w:t>
            </w:r>
          </w:p>
        </w:tc>
        <w:tc>
          <w:tcPr>
            <w:tcW w:w="10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1101.4</w:t>
            </w:r>
            <w:r>
              <w:rPr>
                <w:rFonts w:ascii="Times New Roman" w:hAnsi="Times New Roman" w:eastAsia="仿宋_GB2312" w:cs="Times New Roman"/>
                <w:kern w:val="0"/>
                <w:sz w:val="24"/>
                <w:szCs w:val="24"/>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20103</w:t>
            </w:r>
          </w:p>
        </w:tc>
        <w:tc>
          <w:tcPr>
            <w:tcW w:w="336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asciiTheme="minorHAnsi" w:hAnsiTheme="minorHAnsi" w:cstheme="minorBidi"/>
                <w:kern w:val="0"/>
                <w:sz w:val="21"/>
                <w:szCs w:val="21"/>
                <w:u w:val="none"/>
                <w:lang w:val="en-US" w:eastAsia="zh-CN" w:bidi="ar-SA"/>
              </w:rPr>
            </w:pPr>
            <w:r>
              <w:rPr>
                <w:u w:val="none"/>
              </w:rPr>
              <w:commentReference w:id="1"/>
            </w:r>
            <w:r>
              <w:rPr>
                <w:rFonts w:hint="eastAsia"/>
                <w:u w:val="none"/>
              </w:rPr>
              <w:t>政府办公厅（室）及相关机构事务</w:t>
            </w:r>
          </w:p>
        </w:tc>
        <w:tc>
          <w:tcPr>
            <w:tcW w:w="1587"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2560.4</w:t>
            </w:r>
          </w:p>
        </w:tc>
        <w:tc>
          <w:tcPr>
            <w:tcW w:w="1044"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1459</w:t>
            </w:r>
          </w:p>
        </w:tc>
        <w:tc>
          <w:tcPr>
            <w:tcW w:w="10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1101.4</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rPr>
              <w:t>2010301</w:t>
            </w:r>
          </w:p>
        </w:tc>
        <w:tc>
          <w:tcPr>
            <w:tcW w:w="3366" w:type="dxa"/>
            <w:tcBorders>
              <w:top w:val="nil"/>
              <w:left w:val="nil"/>
              <w:bottom w:val="single" w:color="auto" w:sz="4" w:space="0"/>
              <w:right w:val="single" w:color="auto" w:sz="4" w:space="0"/>
            </w:tcBorders>
            <w:shd w:val="clear" w:color="auto" w:fill="auto"/>
            <w:vAlign w:val="center"/>
          </w:tcPr>
          <w:p>
            <w:pPr>
              <w:widowControl/>
              <w:jc w:val="left"/>
              <w:rPr>
                <w:rFonts w:eastAsia="仿宋_GB2312" w:asciiTheme="minorHAnsi" w:hAnsiTheme="minorHAnsi" w:cstheme="minorBidi"/>
                <w:kern w:val="0"/>
                <w:sz w:val="21"/>
                <w:szCs w:val="21"/>
                <w:u w:val="none"/>
                <w:lang w:val="en-US" w:eastAsia="zh-CN" w:bidi="ar-SA"/>
              </w:rPr>
            </w:pPr>
            <w:r>
              <w:rPr>
                <w:rFonts w:hint="eastAsia" w:eastAsia="仿宋_GB2312"/>
                <w:color w:val="000000"/>
                <w:kern w:val="0"/>
                <w:szCs w:val="21"/>
                <w:u w:val="none"/>
              </w:rPr>
              <w:t>行政运行</w:t>
            </w:r>
          </w:p>
        </w:tc>
        <w:tc>
          <w:tcPr>
            <w:tcW w:w="1587"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2560.4</w:t>
            </w:r>
          </w:p>
        </w:tc>
        <w:tc>
          <w:tcPr>
            <w:tcW w:w="1044"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1459</w:t>
            </w:r>
          </w:p>
        </w:tc>
        <w:tc>
          <w:tcPr>
            <w:tcW w:w="10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1101.4</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6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6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36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8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8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1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4220" w:type="dxa"/>
        <w:jc w:val="center"/>
        <w:tblInd w:w="0" w:type="dxa"/>
        <w:tblLayout w:type="fixed"/>
        <w:tblCellMar>
          <w:top w:w="0" w:type="dxa"/>
          <w:left w:w="108" w:type="dxa"/>
          <w:bottom w:w="0" w:type="dxa"/>
          <w:right w:w="108" w:type="dxa"/>
        </w:tblCellMar>
      </w:tblPr>
      <w:tblGrid>
        <w:gridCol w:w="3514"/>
        <w:gridCol w:w="616"/>
        <w:gridCol w:w="931"/>
        <w:gridCol w:w="2636"/>
        <w:gridCol w:w="616"/>
        <w:gridCol w:w="821"/>
        <w:gridCol w:w="1940"/>
        <w:gridCol w:w="1534"/>
        <w:gridCol w:w="1612"/>
      </w:tblGrid>
      <w:tr>
        <w:tblPrEx>
          <w:tblLayout w:type="fixed"/>
          <w:tblCellMar>
            <w:top w:w="0" w:type="dxa"/>
            <w:left w:w="108" w:type="dxa"/>
            <w:bottom w:w="0" w:type="dxa"/>
            <w:right w:w="108" w:type="dxa"/>
          </w:tblCellMar>
        </w:tblPrEx>
        <w:trPr>
          <w:trHeight w:val="402" w:hRule="atLeast"/>
          <w:jc w:val="center"/>
        </w:trPr>
        <w:tc>
          <w:tcPr>
            <w:tcW w:w="506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59"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2560.4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2560.4</w:t>
            </w: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2560.4</w:t>
            </w: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2560.4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2560.4</w:t>
            </w: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2560.4</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82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2560.4</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8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2560.4</w:t>
            </w:r>
            <w:r>
              <w:rPr>
                <w:rFonts w:ascii="Times New Roman" w:hAnsi="Times New Roman" w:eastAsia="仿宋_GB2312" w:cs="Times New Roman"/>
                <w:kern w:val="0"/>
                <w:sz w:val="22"/>
              </w:rPr>
              <w:t>　</w:t>
            </w:r>
          </w:p>
        </w:tc>
        <w:tc>
          <w:tcPr>
            <w:tcW w:w="1940"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2560.4</w:t>
            </w:r>
          </w:p>
        </w:tc>
        <w:tc>
          <w:tcPr>
            <w:tcW w:w="153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1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default"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一般公共服务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2560.4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lang w:val="en-US" w:eastAsia="zh-CN"/>
              </w:rPr>
              <w:t>1459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4"/>
                <w:szCs w:val="24"/>
                <w:lang w:val="en-US" w:eastAsia="zh-CN"/>
              </w:rPr>
              <w:t>1101.4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u w:val="none"/>
                <w:lang w:val="en-US" w:eastAsia="zh-CN" w:bidi="ar-SA"/>
              </w:rPr>
            </w:pPr>
            <w:r>
              <w:rPr>
                <w:u w:val="none"/>
              </w:rPr>
              <w:commentReference w:id="2"/>
            </w:r>
            <w:r>
              <w:rPr>
                <w:u w:val="none"/>
              </w:rPr>
              <w:commentReference w:id="3"/>
            </w:r>
            <w:r>
              <w:rPr>
                <w:rFonts w:hint="eastAsia"/>
                <w:u w:val="none"/>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2560.4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lang w:val="en-US" w:eastAsia="zh-CN"/>
              </w:rPr>
              <w:t>1459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4"/>
                <w:szCs w:val="24"/>
                <w:lang w:val="en-US" w:eastAsia="zh-CN"/>
              </w:rPr>
              <w:t>1101.4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仿宋_GB2312" w:asciiTheme="minorHAnsi" w:hAnsiTheme="minorHAnsi" w:cstheme="minorBidi"/>
                <w:kern w:val="0"/>
                <w:sz w:val="21"/>
                <w:szCs w:val="21"/>
                <w:u w:val="none"/>
                <w:lang w:val="en-US" w:eastAsia="zh-CN" w:bidi="ar-SA"/>
              </w:rPr>
            </w:pPr>
            <w:r>
              <w:rPr>
                <w:rFonts w:hint="eastAsia" w:eastAsia="仿宋_GB2312"/>
                <w:kern w:val="0"/>
                <w:szCs w:val="21"/>
                <w:u w:val="none"/>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eastAsia="仿宋_GB2312" w:asciiTheme="minorHAnsi" w:hAnsiTheme="minorHAnsi" w:cstheme="minorBidi"/>
                <w:kern w:val="0"/>
                <w:sz w:val="21"/>
                <w:szCs w:val="21"/>
                <w:u w:val="none"/>
                <w:lang w:val="en-US" w:eastAsia="zh-CN" w:bidi="ar-SA"/>
              </w:rPr>
            </w:pPr>
            <w:r>
              <w:rPr>
                <w:rFonts w:hint="eastAsia" w:eastAsia="仿宋_GB2312"/>
                <w:color w:val="000000"/>
                <w:kern w:val="0"/>
                <w:szCs w:val="21"/>
                <w:u w:val="none"/>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2560.4</w:t>
            </w:r>
          </w:p>
        </w:tc>
        <w:tc>
          <w:tcPr>
            <w:tcW w:w="3492"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lang w:val="en-US" w:eastAsia="zh-CN"/>
              </w:rPr>
              <w:t>1459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4"/>
                <w:szCs w:val="24"/>
                <w:lang w:val="en-US" w:eastAsia="zh-CN"/>
              </w:rPr>
              <w:t>1101.4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1262"/>
        <w:gridCol w:w="888"/>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6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8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371.4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26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1752.4</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111</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98.52</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74.3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111.3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364.1</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33.7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27.4</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86.5</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w:t>
            </w:r>
          </w:p>
        </w:tc>
      </w:tr>
      <w:tr>
        <w:tblPrEx>
          <w:tblLayout w:type="fixed"/>
          <w:tblCellMar>
            <w:top w:w="0" w:type="dxa"/>
            <w:left w:w="108" w:type="dxa"/>
            <w:bottom w:w="0" w:type="dxa"/>
            <w:right w:w="108" w:type="dxa"/>
          </w:tblCellMar>
        </w:tblPrEx>
        <w:trPr>
          <w:trHeight w:val="230"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184.4</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30"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41.2</w:t>
            </w: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72.5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0.08</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rPr>
            </w:pPr>
            <w:r>
              <w:rPr>
                <w:rFonts w:hint="eastAsia" w:ascii="Times New Roman" w:hAnsi="Times New Roman" w:eastAsia="仿宋_GB2312" w:cs="Times New Roman"/>
                <w:color w:val="000000"/>
                <w:kern w:val="0"/>
                <w:szCs w:val="20"/>
                <w:lang w:val="en-US" w:eastAsia="zh-CN"/>
              </w:rPr>
              <w:t>1599</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12.3</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rPr>
            </w:pPr>
            <w:r>
              <w:rPr>
                <w:rFonts w:hint="eastAsia" w:ascii="Times New Roman" w:hAnsi="Times New Roman" w:eastAsia="仿宋_GB2312" w:cs="Times New Roman"/>
                <w:color w:val="000000"/>
                <w:kern w:val="0"/>
                <w:szCs w:val="20"/>
                <w:lang w:val="en-US" w:eastAsia="zh-CN"/>
              </w:rPr>
              <w:t>13.7</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26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w:t>
            </w:r>
          </w:p>
        </w:tc>
        <w:tc>
          <w:tcPr>
            <w:tcW w:w="8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443.9</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1752.4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10"/>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1848.4</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蓝山谷项目征地和所城至湘江源公路征地及青苗补偿</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2560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1101.4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1848.4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%，主要是因为要是因为</w:t>
      </w:r>
      <w:r>
        <w:rPr>
          <w:rFonts w:hint="eastAsia" w:ascii="Times New Roman" w:hAnsi="Times New Roman" w:eastAsia="仿宋_GB2312" w:cs="Times New Roman"/>
          <w:sz w:val="32"/>
          <w:szCs w:val="32"/>
          <w:lang w:val="en-US" w:eastAsia="zh-CN"/>
        </w:rPr>
        <w:t>蓝山谷项目征地和所城至湘江源公路征地及青苗补偿</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1848.4</w:t>
      </w:r>
      <w:r>
        <w:rPr>
          <w:rFonts w:ascii="Times New Roman" w:hAnsi="Times New Roman" w:eastAsia="仿宋_GB2312" w:cs="Times New Roman"/>
          <w:sz w:val="32"/>
          <w:szCs w:val="32"/>
        </w:rPr>
        <w:t>元，增长（降低）</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%，主要是因为要是因为</w:t>
      </w:r>
      <w:r>
        <w:rPr>
          <w:rFonts w:hint="eastAsia" w:ascii="Times New Roman" w:hAnsi="Times New Roman" w:eastAsia="仿宋_GB2312" w:cs="Times New Roman"/>
          <w:sz w:val="32"/>
          <w:szCs w:val="32"/>
          <w:lang w:val="en-US" w:eastAsia="zh-CN"/>
        </w:rPr>
        <w:t>蓝山谷项目征地和所城至湘江源公路征地及青苗补偿支出。</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384.1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2560.38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381.4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%，决算数大于年初预算数的主要原因是：要是因为</w:t>
      </w:r>
      <w:r>
        <w:rPr>
          <w:rFonts w:hint="eastAsia" w:ascii="Times New Roman" w:hAnsi="Times New Roman" w:eastAsia="仿宋_GB2312" w:cs="Times New Roman"/>
          <w:sz w:val="32"/>
          <w:szCs w:val="32"/>
          <w:lang w:val="en-US" w:eastAsia="zh-CN"/>
        </w:rPr>
        <w:t>蓝山谷项目征地和所城至湘江源公路征地及青苗补偿。</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2560.4</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371.4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14.5</w:t>
      </w:r>
      <w:r>
        <w:rPr>
          <w:rFonts w:ascii="Times New Roman" w:hAnsi="Times New Roman" w:eastAsia="仿宋_GB2312" w:cs="Times New Roman"/>
          <w:sz w:val="32"/>
          <w:szCs w:val="32"/>
        </w:rPr>
        <w:t>%,主要包括基本工资、津贴补贴、奖金、伙食补助费</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1752.4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44.8</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委托业务费、电费、工会经费、交通费、其他商品服务支出</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用其他资金其他资金更新公务车辆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其他资金更新公务车辆</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持平。</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12万</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用其他资金其他资金更新公务车辆，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用其他资金更新公务车辆</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12.3</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公车购置及维修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53</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公车维修</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公车维修</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公务接待少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500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省市县来开展公务</w:t>
      </w:r>
      <w:r>
        <w:rPr>
          <w:rFonts w:ascii="Times New Roman" w:hAnsi="Times New Roman" w:eastAsia="仿宋_GB2312" w:cs="Times New Roman"/>
          <w:sz w:val="32"/>
          <w:szCs w:val="32"/>
        </w:rPr>
        <w:t>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楷体_GB2312" w:cs="Times New Roman"/>
          <w:b/>
          <w:bCs/>
          <w:i/>
          <w:color w:val="auto"/>
          <w:sz w:val="32"/>
          <w:szCs w:val="32"/>
        </w:rPr>
        <w:t>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10150</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，比年上年决算数增加</w:t>
      </w:r>
      <w:r>
        <w:rPr>
          <w:rFonts w:hint="eastAsia" w:ascii="Times New Roman" w:hAnsi="Times New Roman" w:eastAsia="仿宋_GB2312" w:cs="Times New Roman"/>
          <w:sz w:val="32"/>
          <w:szCs w:val="32"/>
          <w:lang w:val="en-US" w:eastAsia="zh-CN"/>
        </w:rPr>
        <w:t>958.7</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1700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蓝山谷和所紫公路征地及青苗补偿</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人大会、乡村振兴会、两险征缴费、年终总结会等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事业单位、护林员培训</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人，</w:t>
      </w: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77.6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77.6</w:t>
      </w:r>
      <w:r>
        <w:rPr>
          <w:rFonts w:ascii="Times New Roman" w:hAnsi="Times New Roman" w:eastAsia="仿宋_GB2312" w:cs="Times New Roman"/>
          <w:sz w:val="32"/>
          <w:szCs w:val="32"/>
        </w:rPr>
        <w:t xml:space="preserve"> 万元、。授予中小企业合同金额</w:t>
      </w:r>
      <w:r>
        <w:rPr>
          <w:rFonts w:hint="eastAsia" w:ascii="Times New Roman" w:hAnsi="Times New Roman" w:eastAsia="仿宋_GB2312" w:cs="Times New Roman"/>
          <w:sz w:val="32"/>
          <w:szCs w:val="32"/>
          <w:lang w:val="en-US" w:eastAsia="zh-CN"/>
        </w:rPr>
        <w:t>77.6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77.6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按规定配备的公务用车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532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532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20.78</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蓝山谷旅游开发、所紫公路</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532</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532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p>
    <w:p>
      <w:pPr>
        <w:shd w:val="clear" w:color="auto" w:fill="FFFFFF"/>
        <w:spacing w:line="560" w:lineRule="exact"/>
        <w:ind w:firstLine="480"/>
        <w:rPr>
          <w:rFonts w:hint="eastAsia" w:ascii="仿宋_GB2312" w:hAnsi="仿宋_GB2312" w:eastAsia="仿宋_GB2312" w:cs="仿宋_GB2312"/>
          <w:sz w:val="32"/>
          <w:szCs w:val="32"/>
          <w:highlight w:val="none"/>
          <w:u w:val="none"/>
        </w:rPr>
      </w:pPr>
      <w:r>
        <w:rPr>
          <w:rFonts w:ascii="Times New Roman" w:hAnsi="Times New Roman" w:eastAsia="楷体_GB2312" w:cs="Times New Roman"/>
          <w:b/>
          <w:bCs/>
          <w:color w:val="auto"/>
          <w:kern w:val="2"/>
          <w:sz w:val="32"/>
          <w:szCs w:val="32"/>
        </w:rPr>
        <w:t>（三）评价结果应用情况。</w:t>
      </w:r>
      <w:r>
        <w:rPr>
          <w:rFonts w:hint="eastAsia" w:ascii="仿宋_GB2312" w:hAnsi="仿宋_GB2312" w:eastAsia="仿宋_GB2312" w:cs="仿宋_GB2312"/>
          <w:sz w:val="32"/>
          <w:szCs w:val="32"/>
          <w:highlight w:val="none"/>
          <w:u w:val="none"/>
        </w:rPr>
        <w:t>从整体情况来看，我</w:t>
      </w:r>
      <w:r>
        <w:rPr>
          <w:rFonts w:hint="eastAsia" w:ascii="仿宋_GB2312" w:hAnsi="仿宋_GB2312" w:eastAsia="仿宋_GB2312" w:cs="仿宋_GB2312"/>
          <w:sz w:val="32"/>
          <w:szCs w:val="32"/>
          <w:highlight w:val="none"/>
          <w:u w:val="none"/>
          <w:lang w:eastAsia="zh-CN"/>
        </w:rPr>
        <w:t>部门</w:t>
      </w:r>
      <w:r>
        <w:rPr>
          <w:rFonts w:hint="eastAsia" w:ascii="仿宋_GB2312" w:hAnsi="仿宋_GB2312" w:eastAsia="仿宋_GB2312" w:cs="仿宋_GB2312"/>
          <w:sz w:val="32"/>
          <w:szCs w:val="32"/>
          <w:highlight w:val="none"/>
          <w:u w:val="none"/>
        </w:rPr>
        <w:t>严格按照年初预算进行部门整体支出。在支出过程中，能严格遵守各项规章制度，实行了先有预算、后有执行、“用钱必问效、无效必问责”的新常态。社会和公众满意度较高。</w:t>
      </w:r>
    </w:p>
    <w:p>
      <w:pPr>
        <w:shd w:val="clear" w:color="auto" w:fill="FFFFFF"/>
        <w:spacing w:line="560" w:lineRule="exact"/>
        <w:ind w:firstLine="48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highlight w:val="none"/>
          <w:u w:val="none"/>
        </w:rPr>
        <w:t>根据对我单位</w:t>
      </w:r>
      <w:r>
        <w:rPr>
          <w:rFonts w:hint="eastAsia" w:ascii="仿宋_GB2312" w:hAnsi="仿宋_GB2312" w:eastAsia="仿宋_GB2312" w:cs="仿宋_GB2312"/>
          <w:sz w:val="32"/>
          <w:szCs w:val="32"/>
          <w:highlight w:val="none"/>
          <w:u w:val="none"/>
          <w:lang w:val="en-US" w:eastAsia="zh-CN"/>
        </w:rPr>
        <w:t>2024</w:t>
      </w:r>
      <w:r>
        <w:rPr>
          <w:rFonts w:hint="eastAsia" w:ascii="仿宋_GB2312" w:hAnsi="仿宋_GB2312" w:eastAsia="仿宋_GB2312" w:cs="仿宋_GB2312"/>
          <w:sz w:val="32"/>
          <w:szCs w:val="32"/>
          <w:highlight w:val="none"/>
          <w:u w:val="none"/>
        </w:rPr>
        <w:t>年部门整体支出项目绩效评价指标体系和绩效情况的检查</w:t>
      </w:r>
      <w:r>
        <w:rPr>
          <w:rFonts w:hint="eastAsia" w:ascii="仿宋_GB2312" w:hAnsi="仿宋_GB2312" w:eastAsia="仿宋_GB2312" w:cs="仿宋_GB2312"/>
          <w:sz w:val="32"/>
          <w:szCs w:val="32"/>
          <w:u w:val="none"/>
        </w:rPr>
        <w:t>存在的主要问题</w:t>
      </w:r>
      <w:r>
        <w:rPr>
          <w:rFonts w:hint="eastAsia" w:ascii="仿宋_GB2312" w:hAnsi="仿宋_GB2312" w:eastAsia="仿宋_GB2312" w:cs="仿宋_GB2312"/>
          <w:sz w:val="32"/>
          <w:szCs w:val="32"/>
          <w:u w:val="none"/>
          <w:lang w:eastAsia="zh-CN"/>
        </w:rPr>
        <w:t>：</w:t>
      </w:r>
    </w:p>
    <w:p>
      <w:pPr>
        <w:shd w:val="clear" w:color="auto" w:fill="FFFFFF"/>
        <w:spacing w:line="560" w:lineRule="exact"/>
        <w:ind w:firstLine="48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1、重大项目实施一般都由乡村振兴局、农业农村局等县级行业部门组织实施，乡镇仅参与后期的验收。</w:t>
      </w:r>
    </w:p>
    <w:p>
      <w:pPr>
        <w:shd w:val="clear" w:color="auto" w:fill="FFFFFF"/>
        <w:spacing w:line="560" w:lineRule="exact"/>
        <w:ind w:firstLine="48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2、财政收支矛盾较为突出，全靠上级转移支付，预算和决算执行差异较大，预算均是在职人员工资福利支出和乡镇转移支付等预算内刚性支出。</w:t>
      </w:r>
    </w:p>
    <w:p>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bookmarkStart w:id="3" w:name="_GoBack"/>
      <w:bookmarkEnd w:id="3"/>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ss" w:date="2024-06-28T15:15:00Z" w:initials="">
    <w:p w14:paraId="2E262932">
      <w:pPr>
        <w:pStyle w:val="4"/>
        <w:rPr>
          <w:rFonts w:hint="default" w:eastAsia="宋体"/>
          <w:lang w:val="en-US" w:eastAsia="zh-CN"/>
        </w:rPr>
      </w:pPr>
      <w:r>
        <w:rPr>
          <w:rFonts w:hint="eastAsia"/>
          <w:lang w:val="en-US" w:eastAsia="zh-CN"/>
        </w:rPr>
        <w:t>表1将金额分在一般公共服务下面，请填入一般公共服务下分类的款级和项级科目编码及名称,注：类级编码3位数，款级编码5位数，项级编码7位数，编码级科目名称分类可参照网址https://www.bhtsoft.com/zcwj-show-1460.html</w:t>
      </w:r>
    </w:p>
  </w:comment>
  <w:comment w:id="1" w:author="Zss" w:date="2024-06-28T15:15:00Z" w:initials="">
    <w:p w14:paraId="04DA213B">
      <w:pPr>
        <w:pStyle w:val="4"/>
        <w:rPr>
          <w:rFonts w:hint="default" w:eastAsia="宋体"/>
          <w:lang w:val="en-US" w:eastAsia="zh-CN"/>
        </w:rPr>
      </w:pPr>
      <w:r>
        <w:rPr>
          <w:rFonts w:hint="eastAsia"/>
          <w:lang w:val="en-US" w:eastAsia="zh-CN"/>
        </w:rPr>
        <w:t>表1将金额分在一般公共服务下面，请填入一般公共服务下分类的款级和项级科目编码及名称,注：类级编码3位数，款级编码5位数，项级编码7位数，编码级科目名称分类可参照网址https://www.bhtsoft.com/zcwj-show-1460.html</w:t>
      </w:r>
    </w:p>
  </w:comment>
  <w:comment w:id="2" w:author="Zss" w:date="2024-06-28T15:17:00Z" w:initials="">
    <w:p w14:paraId="6C0B1B55">
      <w:pPr>
        <w:pStyle w:val="4"/>
        <w:rPr>
          <w:rFonts w:hint="default" w:eastAsia="宋体"/>
          <w:lang w:val="en-US" w:eastAsia="zh-CN"/>
        </w:rPr>
      </w:pPr>
      <w:r>
        <w:rPr>
          <w:rFonts w:hint="eastAsia"/>
          <w:lang w:val="en-US" w:eastAsia="zh-CN"/>
        </w:rPr>
        <w:t>问题同上</w:t>
      </w:r>
    </w:p>
  </w:comment>
  <w:comment w:id="3" w:author="Zss" w:date="2024-06-28T15:15:00Z" w:initials="">
    <w:p w14:paraId="031574E6">
      <w:pPr>
        <w:pStyle w:val="4"/>
        <w:rPr>
          <w:rFonts w:hint="default" w:eastAsia="宋体"/>
          <w:lang w:val="en-US" w:eastAsia="zh-CN"/>
        </w:rPr>
      </w:pPr>
      <w:r>
        <w:rPr>
          <w:rFonts w:hint="eastAsia"/>
          <w:lang w:val="en-US" w:eastAsia="zh-CN"/>
        </w:rPr>
        <w:t>表1将金额分在一般公共服务下面，请填入一般公共服务下分类的款级和项级科目编码及名称,注：类级编码3位数，款级编码5位数，项级编码7位数，编码级科目名称分类可参照网址https://www.bhtsoft.com/zcwj-show-1460.html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262932" w15:done="0"/>
  <w15:commentEx w15:paraId="04DA213B" w15:done="0"/>
  <w15:commentEx w15:paraId="6C0B1B55" w15:done="0"/>
  <w15:commentEx w15:paraId="031574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C2E510-4232-4829-BC2A-F4D30EFD99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92F0F67-9FC4-4C1D-B3E5-644437C825D0}"/>
  </w:font>
  <w:font w:name="方正小标宋简体">
    <w:panose1 w:val="03000509000000000000"/>
    <w:charset w:val="86"/>
    <w:family w:val="auto"/>
    <w:pitch w:val="default"/>
    <w:sig w:usb0="00000001" w:usb1="080E0000" w:usb2="00000000" w:usb3="00000000" w:csb0="00040000" w:csb1="00000000"/>
    <w:embedRegular r:id="rId3" w:fontKey="{D93BE2DB-7880-4791-A840-A3207DB7144E}"/>
  </w:font>
  <w:font w:name="方正小标宋_GBK">
    <w:panose1 w:val="02000000000000000000"/>
    <w:charset w:val="86"/>
    <w:family w:val="script"/>
    <w:pitch w:val="default"/>
    <w:sig w:usb0="A00002BF" w:usb1="38CF7CFA" w:usb2="00082016" w:usb3="00000000" w:csb0="00040001" w:csb1="00000000"/>
    <w:embedRegular r:id="rId4" w:fontKey="{3502654D-6713-409E-8D00-735806143B8B}"/>
  </w:font>
  <w:font w:name="仿宋_GB2312">
    <w:panose1 w:val="02010609030101010101"/>
    <w:charset w:val="86"/>
    <w:family w:val="modern"/>
    <w:pitch w:val="default"/>
    <w:sig w:usb0="00000001" w:usb1="080E0000" w:usb2="00000000" w:usb3="00000000" w:csb0="00040000" w:csb1="00000000"/>
    <w:embedRegular r:id="rId5" w:fontKey="{689CC439-7065-456D-8067-A6A012E8739E}"/>
  </w:font>
  <w:font w:name="楷体_GB2312">
    <w:panose1 w:val="02010609030101010101"/>
    <w:charset w:val="86"/>
    <w:family w:val="modern"/>
    <w:pitch w:val="default"/>
    <w:sig w:usb0="00000001" w:usb1="080E0000" w:usb2="00000000" w:usb3="00000000" w:csb0="00040000" w:csb1="00000000"/>
    <w:embedRegular r:id="rId6" w:fontKey="{3157DDB9-4E4E-4F6A-AE77-58788992C749}"/>
  </w:font>
  <w:font w:name="华文中宋">
    <w:altName w:val="宋体"/>
    <w:panose1 w:val="02010600040101010101"/>
    <w:charset w:val="86"/>
    <w:family w:val="auto"/>
    <w:pitch w:val="default"/>
    <w:sig w:usb0="00000000" w:usb1="00000000" w:usb2="00000010" w:usb3="00000000" w:csb0="0004009F" w:csb1="00000000"/>
    <w:embedRegular r:id="rId7" w:fontKey="{C2B41063-975E-4BF5-A1F5-DBAB159A272B}"/>
  </w:font>
  <w:font w:name="楷体">
    <w:panose1 w:val="02010609060101010101"/>
    <w:charset w:val="86"/>
    <w:family w:val="modern"/>
    <w:pitch w:val="default"/>
    <w:sig w:usb0="800002BF" w:usb1="38CF7CFA" w:usb2="00000016" w:usb3="00000000" w:csb0="00040001" w:csb1="00000000"/>
    <w:embedRegular r:id="rId8" w:fontKey="{34B52C3D-2C76-41C4-9993-783916324FE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ss">
    <w15:presenceInfo w15:providerId="None" w15:userId="Z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8042EE"/>
    <w:rsid w:val="1D97DEFF"/>
    <w:rsid w:val="1DFF72E5"/>
    <w:rsid w:val="1EFC6F07"/>
    <w:rsid w:val="23540C33"/>
    <w:rsid w:val="2FDF85B8"/>
    <w:rsid w:val="2FFFEE04"/>
    <w:rsid w:val="34DF85B0"/>
    <w:rsid w:val="3B8F36BC"/>
    <w:rsid w:val="491A4199"/>
    <w:rsid w:val="491FF225"/>
    <w:rsid w:val="4FFD214C"/>
    <w:rsid w:val="5777D4F5"/>
    <w:rsid w:val="59DD8326"/>
    <w:rsid w:val="5A9F58FE"/>
    <w:rsid w:val="5DEF592A"/>
    <w:rsid w:val="5FC6BB1E"/>
    <w:rsid w:val="5FF720F1"/>
    <w:rsid w:val="640E56AD"/>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annotation text"/>
    <w:basedOn w:val="1"/>
    <w:unhideWhenUsed/>
    <w:qFormat/>
    <w:uiPriority w:val="99"/>
    <w:pPr>
      <w:jc w:val="left"/>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character" w:customStyle="1" w:styleId="13">
    <w:name w:val="页眉 Char"/>
    <w:basedOn w:val="11"/>
    <w:link w:val="9"/>
    <w:qFormat/>
    <w:uiPriority w:val="99"/>
    <w:rPr>
      <w:sz w:val="18"/>
      <w:szCs w:val="18"/>
    </w:rPr>
  </w:style>
  <w:style w:type="character" w:customStyle="1" w:styleId="14">
    <w:name w:val="页脚 Char"/>
    <w:basedOn w:val="11"/>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7"/>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2331</Words>
  <Characters>2708</Characters>
  <Lines>69</Lines>
  <Paragraphs>19</Paragraphs>
  <TotalTime>0</TotalTime>
  <ScaleCrop>false</ScaleCrop>
  <LinksUpToDate>false</LinksUpToDate>
  <CharactersWithSpaces>3986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2025-09-18T02:48:23Z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eyJoZGlkIjoiNzYwMmQ0MmJhNjU2ZGRiMWY5NzhlYjM5OGIwMDJlYzgifQ==</vt:lpwstr>
  </property>
</Properties>
</file>