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DEEE11">
      <w:pPr>
        <w:shd w:val="clear" w:color="auto" w:fill="FFFFFF"/>
        <w:spacing w:line="560" w:lineRule="exact"/>
        <w:jc w:val="center"/>
        <w:rPr>
          <w:rFonts w:hint="eastAsia" w:ascii="仿宋_GB2312" w:hAnsi="仿宋_GB2312" w:eastAsia="仿宋_GB2312" w:cs="仿宋_GB2312"/>
          <w:b/>
          <w:bCs/>
          <w:color w:val="3F3F3F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3F3F3F"/>
          <w:sz w:val="32"/>
          <w:szCs w:val="32"/>
          <w:lang w:val="en-US" w:eastAsia="zh-CN"/>
        </w:rPr>
        <w:t>蓝山县祠堂圩祠市中学2023</w:t>
      </w:r>
      <w:r>
        <w:rPr>
          <w:rFonts w:hint="eastAsia" w:ascii="仿宋_GB2312" w:hAnsi="仿宋_GB2312" w:eastAsia="仿宋_GB2312" w:cs="仿宋_GB2312"/>
          <w:b/>
          <w:bCs/>
          <w:color w:val="3F3F3F"/>
          <w:sz w:val="32"/>
          <w:szCs w:val="32"/>
        </w:rPr>
        <w:t>年度部门整体支出</w:t>
      </w:r>
    </w:p>
    <w:p w14:paraId="3D1D8292">
      <w:pPr>
        <w:shd w:val="clear" w:color="auto" w:fill="FFFFFF"/>
        <w:spacing w:line="560" w:lineRule="exact"/>
        <w:jc w:val="center"/>
        <w:rPr>
          <w:rFonts w:ascii="仿宋_GB2312" w:hAnsi="仿宋_GB2312" w:eastAsia="仿宋_GB2312" w:cs="仿宋_GB2312"/>
          <w:b/>
          <w:bCs/>
          <w:color w:val="3F3F3F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3F3F3F"/>
          <w:sz w:val="32"/>
          <w:szCs w:val="32"/>
        </w:rPr>
        <w:t>绩效评价情况报告</w:t>
      </w:r>
    </w:p>
    <w:p w14:paraId="3CD21963">
      <w:pPr>
        <w:shd w:val="clear" w:color="auto" w:fill="FFFFFF"/>
        <w:spacing w:line="560" w:lineRule="exact"/>
        <w:rPr>
          <w:rFonts w:ascii="仿宋_GB2312" w:hAnsi="仿宋_GB2312" w:eastAsia="仿宋_GB2312" w:cs="仿宋_GB2312"/>
          <w:b/>
          <w:bCs/>
          <w:color w:val="3F3F3F"/>
          <w:sz w:val="32"/>
          <w:szCs w:val="32"/>
        </w:rPr>
      </w:pPr>
    </w:p>
    <w:p w14:paraId="7B6DCE70">
      <w:pPr>
        <w:shd w:val="clear" w:color="auto" w:fill="FFFFFF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为进一步规范财政资金管理，牢固树立预算绩效理念，强化支出责任，提高财政资金使用效益，我们根据《蓝山县关于全面推进预算绩效管理的实施意见》，结合我局的具体情况，认真组织开展了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年度部门绩效自评工作，现将我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部门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年度部门整体支出绩效评价情况报告如下：</w:t>
      </w:r>
    </w:p>
    <w:p w14:paraId="54CBB532">
      <w:pPr>
        <w:pStyle w:val="11"/>
        <w:numPr>
          <w:ilvl w:val="0"/>
          <w:numId w:val="1"/>
        </w:numPr>
        <w:shd w:val="clear" w:color="auto" w:fill="FFFFFF"/>
        <w:spacing w:line="560" w:lineRule="exact"/>
        <w:ind w:firstLineChars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单位概况</w:t>
      </w:r>
    </w:p>
    <w:p w14:paraId="1B292114">
      <w:pPr>
        <w:pStyle w:val="11"/>
        <w:numPr>
          <w:ilvl w:val="0"/>
          <w:numId w:val="0"/>
        </w:numPr>
        <w:shd w:val="clear" w:color="auto" w:fill="FFFFFF"/>
        <w:spacing w:line="560" w:lineRule="exact"/>
        <w:ind w:left="640" w:leftChars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（一）</w:t>
      </w:r>
      <w:r>
        <w:rPr>
          <w:rFonts w:hint="eastAsia" w:ascii="仿宋_GB2312" w:hAnsi="仿宋_GB2312" w:eastAsia="仿宋_GB2312" w:cs="仿宋_GB2312"/>
          <w:sz w:val="32"/>
          <w:szCs w:val="32"/>
        </w:rPr>
        <w:t>基本情况</w:t>
      </w:r>
    </w:p>
    <w:p w14:paraId="446A577F">
      <w:pPr>
        <w:widowControl/>
        <w:spacing w:line="600" w:lineRule="exact"/>
        <w:ind w:firstLine="627" w:firstLineChars="196"/>
        <w:jc w:val="left"/>
        <w:rPr>
          <w:rFonts w:hint="eastAsia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1．主要职能：</w:t>
      </w:r>
      <w:r>
        <w:rPr>
          <w:rFonts w:hint="eastAsia" w:eastAsia="仿宋_GB2312"/>
          <w:sz w:val="32"/>
          <w:szCs w:val="32"/>
        </w:rPr>
        <w:t>实施初中义务教育，促进基础教育发展。初中学历教育。</w:t>
      </w:r>
    </w:p>
    <w:p w14:paraId="22A95421">
      <w:pPr>
        <w:pStyle w:val="11"/>
        <w:widowControl w:val="0"/>
        <w:numPr>
          <w:ilvl w:val="0"/>
          <w:numId w:val="0"/>
        </w:numPr>
        <w:shd w:val="clear" w:color="auto" w:fill="FFFFFF"/>
        <w:spacing w:line="560" w:lineRule="exact"/>
        <w:ind w:firstLine="640" w:firstLineChars="200"/>
        <w:jc w:val="both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2、学生情况:2023年上期有教学班6个，学生177人，其中初中部6个班177人；2023年下期有教学班6个，学生170人，其中初中部6个班170人。</w:t>
      </w:r>
    </w:p>
    <w:p w14:paraId="32BBD775">
      <w:pPr>
        <w:pStyle w:val="11"/>
        <w:widowControl w:val="0"/>
        <w:numPr>
          <w:ilvl w:val="0"/>
          <w:numId w:val="0"/>
        </w:numPr>
        <w:shd w:val="clear" w:color="auto" w:fill="FFFFFF"/>
        <w:spacing w:line="560" w:lineRule="exact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3、学校人员情况:本学校现有教职工21人。具体人员成份为:在编教师21人，特岗教师1人，保安2人，食堂工友2人。</w:t>
      </w:r>
    </w:p>
    <w:p w14:paraId="56E4D2C6">
      <w:pPr>
        <w:pStyle w:val="11"/>
        <w:numPr>
          <w:ilvl w:val="0"/>
          <w:numId w:val="0"/>
        </w:numPr>
        <w:shd w:val="clear" w:color="auto" w:fill="FFFFFF"/>
        <w:spacing w:line="560" w:lineRule="exact"/>
        <w:ind w:left="640" w:leftChars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（二）当年取得的主要事业成效</w:t>
      </w:r>
    </w:p>
    <w:p w14:paraId="40FB47E7">
      <w:pPr>
        <w:snapToGrid w:val="0"/>
        <w:spacing w:line="5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本年度，我校全面贯彻教育方针，落实各级教育会议精神，以办人民满意教育为宗旨，始终坚持奉行“以人为本，以质立校”的办学理念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,</w:t>
      </w:r>
      <w:r>
        <w:rPr>
          <w:rFonts w:hint="eastAsia" w:ascii="仿宋_GB2312" w:hAnsi="仿宋" w:eastAsia="仿宋_GB2312"/>
          <w:sz w:val="32"/>
          <w:szCs w:val="32"/>
        </w:rPr>
        <w:t>以提高教育教学质量为主线，注重学生行为养成教育，突出学校安全工作，加强校园环境整治，实行民主管理，规范办学行为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,学校整体工作取得了长足的发展</w:t>
      </w:r>
      <w:r>
        <w:rPr>
          <w:rFonts w:hint="eastAsia" w:ascii="仿宋_GB2312" w:hAnsi="仿宋" w:eastAsia="仿宋_GB2312"/>
          <w:sz w:val="32"/>
          <w:szCs w:val="32"/>
        </w:rPr>
        <w:t>。</w:t>
      </w:r>
    </w:p>
    <w:p w14:paraId="5488E4CB">
      <w:pPr>
        <w:numPr>
          <w:ilvl w:val="0"/>
          <w:numId w:val="2"/>
        </w:numPr>
        <w:shd w:val="clear" w:color="auto" w:fill="FFFFFF"/>
        <w:spacing w:line="560" w:lineRule="exact"/>
        <w:ind w:firstLine="48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部门整体收支出概况:</w:t>
      </w:r>
    </w:p>
    <w:p w14:paraId="3D1582DD">
      <w:pPr>
        <w:numPr>
          <w:ilvl w:val="0"/>
          <w:numId w:val="0"/>
        </w:numPr>
        <w:shd w:val="clear" w:color="auto" w:fill="FFFFFF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年部门收支完成情况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年度本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部门</w:t>
      </w:r>
      <w:r>
        <w:rPr>
          <w:rFonts w:hint="eastAsia" w:ascii="仿宋_GB2312" w:hAnsi="仿宋_GB2312" w:eastAsia="仿宋_GB2312" w:cs="仿宋_GB2312"/>
          <w:sz w:val="32"/>
          <w:szCs w:val="32"/>
        </w:rPr>
        <w:t>安排预算收入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val="en-US" w:eastAsia="zh-CN"/>
        </w:rPr>
        <w:t>239.12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万元，安排预算支出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val="en-US" w:eastAsia="zh-CN"/>
        </w:rPr>
        <w:t>239.12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万元；</w:t>
      </w:r>
    </w:p>
    <w:p w14:paraId="540B8933"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sz w:val="32"/>
          <w:szCs w:val="32"/>
        </w:rPr>
        <w:t>收入：决算总收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入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val="en-US" w:eastAsia="zh-CN"/>
        </w:rPr>
        <w:t>238.88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万元，其中财政拨款收入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val="en-US" w:eastAsia="zh-CN"/>
        </w:rPr>
        <w:t>238.88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万元，其他收入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万元；</w:t>
      </w:r>
    </w:p>
    <w:p w14:paraId="1F461514">
      <w:pPr>
        <w:shd w:val="clear" w:color="auto" w:fill="FFFFFF"/>
        <w:spacing w:line="560" w:lineRule="exact"/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2、</w:t>
      </w:r>
      <w:r>
        <w:rPr>
          <w:rFonts w:hint="eastAsia" w:ascii="仿宋_GB2312" w:hAnsi="仿宋_GB2312" w:eastAsia="仿宋_GB2312" w:cs="仿宋_GB2312"/>
          <w:sz w:val="32"/>
          <w:szCs w:val="32"/>
        </w:rPr>
        <w:t>支出：决算总支出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val="en-US" w:eastAsia="zh-CN"/>
        </w:rPr>
        <w:t>238.88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万元，其中财政拨款支出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val="en-US" w:eastAsia="zh-CN"/>
        </w:rPr>
        <w:t>238.88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万元，非财政拨款支出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万元；项目支出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</w:p>
    <w:p w14:paraId="29BEEB61">
      <w:pPr>
        <w:shd w:val="clear" w:color="auto" w:fill="FFFFFF"/>
        <w:spacing w:line="560" w:lineRule="exact"/>
        <w:ind w:firstLine="800" w:firstLineChars="2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二、整体支出管理及使用情况</w:t>
      </w:r>
    </w:p>
    <w:p w14:paraId="5F060CCC">
      <w:pPr>
        <w:shd w:val="clear" w:color="auto" w:fill="FFFFFF"/>
        <w:spacing w:line="560" w:lineRule="exact"/>
        <w:ind w:firstLine="800" w:firstLineChars="25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</w:t>
      </w:r>
      <w:r>
        <w:rPr>
          <w:rFonts w:hint="eastAsia" w:ascii="仿宋_GB2312" w:hAnsi="仿宋_GB2312" w:eastAsia="仿宋_GB2312" w:cs="仿宋_GB2312"/>
          <w:sz w:val="32"/>
          <w:szCs w:val="32"/>
        </w:rPr>
        <w:t>）“三公经费”支出和使用情况</w:t>
      </w:r>
    </w:p>
    <w:p w14:paraId="3DA4A2F3">
      <w:pPr>
        <w:shd w:val="clear" w:color="auto" w:fill="FFFFFF"/>
        <w:spacing w:line="560" w:lineRule="exact"/>
        <w:ind w:firstLine="800" w:firstLineChars="250"/>
        <w:rPr>
          <w:rFonts w:hint="default" w:ascii="仿宋_GB2312" w:hAnsi="仿宋_GB2312" w:eastAsia="仿宋_GB2312" w:cs="仿宋_GB2312"/>
          <w:sz w:val="32"/>
          <w:szCs w:val="32"/>
          <w:highlight w:val="red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1、2023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年“三公经费”预算数</w:t>
      </w:r>
      <w:r>
        <w:rPr>
          <w:rFonts w:hint="eastAsia" w:eastAsia="仿宋_GB2312" w:cs="Times New Roman"/>
          <w:color w:val="auto"/>
          <w:sz w:val="32"/>
          <w:szCs w:val="32"/>
          <w:u w:val="none"/>
          <w:lang w:val="en-US" w:eastAsia="zh-CN"/>
        </w:rPr>
        <w:t>0.26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其中：</w:t>
      </w:r>
      <w:r>
        <w:rPr>
          <w:rFonts w:hint="eastAsia" w:ascii="仿宋_GB2312" w:hAnsi="仿宋_GB2312" w:eastAsia="仿宋_GB2312" w:cs="仿宋_GB2312"/>
          <w:sz w:val="32"/>
          <w:szCs w:val="32"/>
        </w:rPr>
        <w:t>公务接待费</w:t>
      </w:r>
      <w:r>
        <w:rPr>
          <w:rFonts w:hint="eastAsia" w:eastAsia="仿宋_GB2312" w:cs="Times New Roman"/>
          <w:color w:val="auto"/>
          <w:sz w:val="32"/>
          <w:szCs w:val="32"/>
          <w:u w:val="none"/>
          <w:lang w:val="en-US" w:eastAsia="zh-CN"/>
        </w:rPr>
        <w:t>0.26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 w14:paraId="7C4C49DD">
      <w:pPr>
        <w:shd w:val="clear" w:color="auto" w:fill="FFFFFF"/>
        <w:spacing w:line="560" w:lineRule="exact"/>
        <w:ind w:firstLine="800" w:firstLineChars="25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年“三公经费”执行情况：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年“三公经费”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决</w:t>
      </w:r>
      <w:r>
        <w:rPr>
          <w:rFonts w:hint="eastAsia" w:ascii="仿宋_GB2312" w:hAnsi="仿宋_GB2312" w:eastAsia="仿宋_GB2312" w:cs="仿宋_GB2312"/>
          <w:sz w:val="32"/>
          <w:szCs w:val="32"/>
        </w:rPr>
        <w:t>算数</w:t>
      </w:r>
      <w:r>
        <w:rPr>
          <w:rFonts w:hint="eastAsia" w:eastAsia="仿宋_GB2312" w:cs="Times New Roman"/>
          <w:color w:val="auto"/>
          <w:sz w:val="32"/>
          <w:szCs w:val="32"/>
          <w:u w:val="none"/>
          <w:lang w:val="en-US" w:eastAsia="zh-CN"/>
        </w:rPr>
        <w:t>0.26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，其中：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其中：</w:t>
      </w:r>
      <w:r>
        <w:rPr>
          <w:rFonts w:hint="eastAsia" w:ascii="仿宋_GB2312" w:hAnsi="仿宋_GB2312" w:eastAsia="仿宋_GB2312" w:cs="仿宋_GB2312"/>
          <w:sz w:val="32"/>
          <w:szCs w:val="32"/>
        </w:rPr>
        <w:t>公务接待费</w:t>
      </w:r>
      <w:r>
        <w:rPr>
          <w:rFonts w:hint="eastAsia" w:eastAsia="仿宋_GB2312" w:cs="Times New Roman"/>
          <w:color w:val="auto"/>
          <w:sz w:val="32"/>
          <w:szCs w:val="32"/>
          <w:u w:val="none"/>
          <w:lang w:val="en-US" w:eastAsia="zh-CN"/>
        </w:rPr>
        <w:t>0.26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 w14:paraId="13DFB333">
      <w:pPr>
        <w:shd w:val="clear" w:color="auto" w:fill="FFFFFF"/>
        <w:spacing w:line="560" w:lineRule="exact"/>
        <w:ind w:firstLine="800" w:firstLineChars="2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部门</w:t>
      </w:r>
      <w:r>
        <w:rPr>
          <w:rFonts w:hint="eastAsia" w:ascii="仿宋_GB2312" w:hAnsi="仿宋_GB2312" w:eastAsia="仿宋_GB2312" w:cs="仿宋_GB2312"/>
          <w:sz w:val="32"/>
          <w:szCs w:val="32"/>
        </w:rPr>
        <w:t>严格控制“三公经费”支出，比上年度“三公”经费支出数明显下降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厉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行节约取得了良好效果。</w:t>
      </w:r>
    </w:p>
    <w:p w14:paraId="5EBF1EE2">
      <w:pPr>
        <w:shd w:val="clear" w:color="auto" w:fill="FFFFFF"/>
        <w:spacing w:line="560" w:lineRule="exact"/>
        <w:ind w:firstLine="48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</w:rPr>
        <w:t>）项目支出管理和使用情况</w:t>
      </w:r>
    </w:p>
    <w:p w14:paraId="50ECAD18">
      <w:pPr>
        <w:shd w:val="clear" w:color="auto" w:fill="FFFFFF"/>
        <w:spacing w:line="560" w:lineRule="exact"/>
        <w:ind w:firstLine="480" w:firstLineChars="15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部门项目绩效目标为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实际执行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0万元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 w14:paraId="03B89F8E">
      <w:pPr>
        <w:shd w:val="clear" w:color="auto" w:fill="FFFFFF"/>
        <w:spacing w:line="560" w:lineRule="exact"/>
        <w:ind w:firstLine="480" w:firstLineChars="1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三、绩效评价工作组织实施情况</w:t>
      </w:r>
    </w:p>
    <w:p w14:paraId="7004D491">
      <w:pPr>
        <w:shd w:val="clear" w:color="auto" w:fill="FFFFFF"/>
        <w:spacing w:line="560" w:lineRule="exact"/>
        <w:ind w:firstLine="48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绩效评价的要求，我们成立了自评工作领导小组，对照自评方案进行研究和布署，按照自评方案的要求，对照各实施项目的内容逐条逐项自评。在自评过程发现问题，查找原因，及时纠正偏差，为下一步工作夯实基础。</w:t>
      </w:r>
    </w:p>
    <w:p w14:paraId="7EBB787B">
      <w:pPr>
        <w:shd w:val="clear" w:color="auto" w:fill="FFFFFF"/>
        <w:spacing w:line="560" w:lineRule="exact"/>
        <w:ind w:firstLine="48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四、整体支出绩效情况</w:t>
      </w:r>
    </w:p>
    <w:p w14:paraId="5AE30097">
      <w:pPr>
        <w:shd w:val="clear" w:color="auto" w:fill="FFFFFF"/>
        <w:spacing w:line="560" w:lineRule="exact"/>
        <w:ind w:firstLine="48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从整体情况来看，我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部门</w:t>
      </w:r>
      <w:r>
        <w:rPr>
          <w:rFonts w:hint="eastAsia" w:ascii="仿宋_GB2312" w:hAnsi="仿宋_GB2312" w:eastAsia="仿宋_GB2312" w:cs="仿宋_GB2312"/>
          <w:sz w:val="32"/>
          <w:szCs w:val="32"/>
        </w:rPr>
        <w:t>严格按照年初预算进行部门整体支出。在支出过程中，能严格遵守各项规章制度，“三公经费”明显下降。实行了先有预算、后有执行、“用钱必问效、无效必问责”的新常态。社会和公众满意度较高。根据对我单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年部门整体支出项目绩效评价指标体系和绩效情况的检查，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年我单位部门整体绩效自评分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99.6</w:t>
      </w:r>
      <w:r>
        <w:rPr>
          <w:rFonts w:hint="eastAsia" w:ascii="仿宋_GB2312" w:hAnsi="仿宋_GB2312" w:eastAsia="仿宋_GB2312" w:cs="仿宋_GB2312"/>
          <w:sz w:val="32"/>
          <w:szCs w:val="32"/>
        </w:rPr>
        <w:t>分，为“优”等级。</w:t>
      </w:r>
    </w:p>
    <w:p w14:paraId="0B3669FA">
      <w:pPr>
        <w:shd w:val="clear" w:color="auto" w:fill="FFFFFF"/>
        <w:spacing w:line="560" w:lineRule="exact"/>
        <w:ind w:firstLine="48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五、存在的主要问题</w:t>
      </w:r>
    </w:p>
    <w:p w14:paraId="4615AAD2">
      <w:pPr>
        <w:shd w:val="clear" w:color="auto" w:fill="FFFFFF"/>
        <w:spacing w:line="560" w:lineRule="exact"/>
        <w:ind w:firstLine="48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无</w:t>
      </w:r>
    </w:p>
    <w:p w14:paraId="1138B3E6"/>
    <w:p w14:paraId="313DA2AB">
      <w:pPr>
        <w:shd w:val="clear" w:color="auto" w:fill="FFFFFF"/>
        <w:spacing w:line="560" w:lineRule="exact"/>
        <w:ind w:firstLine="480"/>
        <w:rPr>
          <w:rFonts w:ascii="仿宋_GB2312" w:hAnsi="仿宋_GB2312" w:eastAsia="仿宋_GB2312" w:cs="仿宋_GB2312"/>
          <w:sz w:val="32"/>
          <w:szCs w:val="32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9CA1BF7"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22155C5"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6E0D63C"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0061A87"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58AD70">
    <w:pPr>
      <w:pStyle w:val="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21F2DB7">
    <w:pPr>
      <w:pStyle w:val="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E8BBEEB"/>
    <w:multiLevelType w:val="singleLevel"/>
    <w:tmpl w:val="1E8BBEEB"/>
    <w:lvl w:ilvl="0" w:tentative="0">
      <w:start w:val="3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7DD056B1"/>
    <w:multiLevelType w:val="multilevel"/>
    <w:tmpl w:val="7DD056B1"/>
    <w:lvl w:ilvl="0" w:tentative="0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80" w:hanging="420"/>
      </w:pPr>
    </w:lvl>
    <w:lvl w:ilvl="2" w:tentative="0">
      <w:start w:val="1"/>
      <w:numFmt w:val="lowerRoman"/>
      <w:lvlText w:val="%3."/>
      <w:lvlJc w:val="right"/>
      <w:pPr>
        <w:ind w:left="1900" w:hanging="420"/>
      </w:pPr>
    </w:lvl>
    <w:lvl w:ilvl="3" w:tentative="0">
      <w:start w:val="1"/>
      <w:numFmt w:val="decimal"/>
      <w:lvlText w:val="%4."/>
      <w:lvlJc w:val="left"/>
      <w:pPr>
        <w:ind w:left="2320" w:hanging="420"/>
      </w:pPr>
    </w:lvl>
    <w:lvl w:ilvl="4" w:tentative="0">
      <w:start w:val="1"/>
      <w:numFmt w:val="lowerLetter"/>
      <w:lvlText w:val="%5)"/>
      <w:lvlJc w:val="left"/>
      <w:pPr>
        <w:ind w:left="2740" w:hanging="420"/>
      </w:pPr>
    </w:lvl>
    <w:lvl w:ilvl="5" w:tentative="0">
      <w:start w:val="1"/>
      <w:numFmt w:val="lowerRoman"/>
      <w:lvlText w:val="%6."/>
      <w:lvlJc w:val="right"/>
      <w:pPr>
        <w:ind w:left="3160" w:hanging="420"/>
      </w:pPr>
    </w:lvl>
    <w:lvl w:ilvl="6" w:tentative="0">
      <w:start w:val="1"/>
      <w:numFmt w:val="decimal"/>
      <w:lvlText w:val="%7."/>
      <w:lvlJc w:val="left"/>
      <w:pPr>
        <w:ind w:left="3580" w:hanging="420"/>
      </w:pPr>
    </w:lvl>
    <w:lvl w:ilvl="7" w:tentative="0">
      <w:start w:val="1"/>
      <w:numFmt w:val="lowerLetter"/>
      <w:lvlText w:val="%8)"/>
      <w:lvlJc w:val="left"/>
      <w:pPr>
        <w:ind w:left="4000" w:hanging="420"/>
      </w:pPr>
    </w:lvl>
    <w:lvl w:ilvl="8" w:tentative="0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mOThlZTJjYzQwMjQwZmYxZDFhNjVkY2IwMDBiZDAifQ=="/>
  </w:docVars>
  <w:rsids>
    <w:rsidRoot w:val="002C68BA"/>
    <w:rsid w:val="00112962"/>
    <w:rsid w:val="00210886"/>
    <w:rsid w:val="002C68BA"/>
    <w:rsid w:val="003D1D25"/>
    <w:rsid w:val="004A098E"/>
    <w:rsid w:val="0092103B"/>
    <w:rsid w:val="009B4D9F"/>
    <w:rsid w:val="00AD21D4"/>
    <w:rsid w:val="00B33F99"/>
    <w:rsid w:val="02C93B90"/>
    <w:rsid w:val="02CA5966"/>
    <w:rsid w:val="03B21D79"/>
    <w:rsid w:val="0C4E4B43"/>
    <w:rsid w:val="0DB5782C"/>
    <w:rsid w:val="16426DBF"/>
    <w:rsid w:val="1ABD5F72"/>
    <w:rsid w:val="26C10401"/>
    <w:rsid w:val="2B8E1ECF"/>
    <w:rsid w:val="2D167E90"/>
    <w:rsid w:val="478E7DF1"/>
    <w:rsid w:val="48576A9C"/>
    <w:rsid w:val="49982DA9"/>
    <w:rsid w:val="4B742A53"/>
    <w:rsid w:val="4F9F38BD"/>
    <w:rsid w:val="50043A65"/>
    <w:rsid w:val="66FD4C2B"/>
    <w:rsid w:val="69F525FF"/>
    <w:rsid w:val="78397B5B"/>
    <w:rsid w:val="79404F19"/>
    <w:rsid w:val="7D965AF2"/>
    <w:rsid w:val="7E074257"/>
    <w:rsid w:val="7ECF3B2D"/>
    <w:rsid w:val="7F2C041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Balloon Text"/>
    <w:basedOn w:val="1"/>
    <w:link w:val="12"/>
    <w:qFormat/>
    <w:uiPriority w:val="0"/>
    <w:rPr>
      <w:sz w:val="18"/>
      <w:szCs w:val="18"/>
    </w:rPr>
  </w:style>
  <w:style w:type="paragraph" w:styleId="5">
    <w:name w:val="foot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page number"/>
    <w:basedOn w:val="8"/>
    <w:qFormat/>
    <w:uiPriority w:val="0"/>
  </w:style>
  <w:style w:type="character" w:styleId="10">
    <w:name w:val="annotation reference"/>
    <w:basedOn w:val="8"/>
    <w:qFormat/>
    <w:uiPriority w:val="0"/>
    <w:rPr>
      <w:sz w:val="21"/>
      <w:szCs w:val="21"/>
    </w:rPr>
  </w:style>
  <w:style w:type="paragraph" w:customStyle="1" w:styleId="11">
    <w:name w:val="List Paragraph"/>
    <w:basedOn w:val="1"/>
    <w:qFormat/>
    <w:uiPriority w:val="34"/>
    <w:pPr>
      <w:ind w:firstLine="420" w:firstLineChars="200"/>
    </w:pPr>
    <w:rPr>
      <w:rFonts w:ascii="Calibri" w:hAnsi="Calibri"/>
      <w:szCs w:val="22"/>
    </w:rPr>
  </w:style>
  <w:style w:type="character" w:customStyle="1" w:styleId="12">
    <w:name w:val="批注框文本 Char"/>
    <w:basedOn w:val="8"/>
    <w:link w:val="4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3">
    <w:name w:val="页眉 Char"/>
    <w:basedOn w:val="8"/>
    <w:link w:val="6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页脚 Char"/>
    <w:basedOn w:val="8"/>
    <w:link w:val="5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1166</Words>
  <Characters>1287</Characters>
  <Lines>9</Lines>
  <Paragraphs>2</Paragraphs>
  <TotalTime>1</TotalTime>
  <ScaleCrop>false</ScaleCrop>
  <LinksUpToDate>false</LinksUpToDate>
  <CharactersWithSpaces>1288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2022-05-25T01:04:00Z</dcterms:created>
  <dc:creator>57469</dc:creator>
  <cp:lastModifiedBy>Zss</cp:lastModifiedBy>
  <dcterms:modified xsi:type="dcterms:W3CDTF">2024-08-02T01:18:27Z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18084F1888CB484DAAEF83B6504B9E46</vt:lpwstr>
  </property>
</Properties>
</file>