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B7F4075">
      <w:pPr>
        <w:spacing w:line="480" w:lineRule="auto"/>
        <w:ind w:firstLine="803" w:firstLineChars="200"/>
        <w:jc w:val="left"/>
        <w:rPr>
          <w:rFonts w:hint="eastAsia" w:ascii="宋体" w:hAnsi="宋体"/>
          <w:b/>
          <w:sz w:val="40"/>
          <w:szCs w:val="40"/>
          <w:lang w:eastAsia="zh-CN"/>
        </w:rPr>
      </w:pPr>
      <w:r>
        <w:rPr>
          <w:rFonts w:hint="eastAsia" w:ascii="宋体" w:hAnsi="宋体"/>
          <w:b/>
          <w:sz w:val="40"/>
          <w:szCs w:val="40"/>
        </w:rPr>
        <w:t>蓝山县犁头</w:t>
      </w:r>
      <w:r>
        <w:rPr>
          <w:rFonts w:hint="eastAsia" w:ascii="宋体" w:hAnsi="宋体"/>
          <w:b/>
          <w:sz w:val="40"/>
          <w:szCs w:val="40"/>
          <w:lang w:eastAsia="zh-CN"/>
        </w:rPr>
        <w:t>瑶族</w:t>
      </w:r>
      <w:r>
        <w:rPr>
          <w:rFonts w:hint="eastAsia" w:ascii="宋体" w:hAnsi="宋体"/>
          <w:b/>
          <w:sz w:val="40"/>
          <w:szCs w:val="40"/>
          <w:lang w:val="en-US" w:eastAsia="zh-CN"/>
        </w:rPr>
        <w:t>乡</w:t>
      </w:r>
      <w:r>
        <w:rPr>
          <w:rFonts w:hint="eastAsia" w:ascii="宋体" w:hAnsi="宋体"/>
          <w:b/>
          <w:sz w:val="40"/>
          <w:szCs w:val="40"/>
          <w:lang w:eastAsia="zh-CN"/>
        </w:rPr>
        <w:t>卫生院整体支出绩效自评</w:t>
      </w:r>
    </w:p>
    <w:p w14:paraId="23CF9ED3">
      <w:pPr>
        <w:spacing w:line="480" w:lineRule="auto"/>
        <w:ind w:firstLine="803" w:firstLineChars="200"/>
        <w:jc w:val="left"/>
        <w:rPr>
          <w:rFonts w:hint="eastAsia" w:ascii="宋体" w:hAnsi="宋体"/>
          <w:b/>
          <w:sz w:val="40"/>
          <w:szCs w:val="40"/>
          <w:lang w:eastAsia="zh-CN"/>
        </w:rPr>
      </w:pPr>
    </w:p>
    <w:p w14:paraId="7E7AEEC8">
      <w:pPr>
        <w:spacing w:line="5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2023年犁头分院紧紧围绕县域紧密型医共体建设：以</w:t>
      </w:r>
      <w:r>
        <w:rPr>
          <w:rFonts w:hint="eastAsia" w:ascii="仿宋_GB2312" w:hAnsi="仿宋_GB2312" w:eastAsia="仿宋_GB2312" w:cs="仿宋_GB2312"/>
          <w:spacing w:val="8"/>
          <w:sz w:val="32"/>
          <w:szCs w:val="32"/>
          <w:shd w:val="clear" w:color="auto" w:fill="FFFFFF"/>
        </w:rPr>
        <w:t>深化医改</w:t>
      </w:r>
      <w:r>
        <w:rPr>
          <w:rFonts w:hint="eastAsia" w:ascii="仿宋_GB2312" w:hAnsi="仿宋_GB2312" w:eastAsia="仿宋_GB2312" w:cs="仿宋_GB2312"/>
          <w:sz w:val="32"/>
          <w:szCs w:val="32"/>
        </w:rPr>
        <w:t>为主线,推进健康蓝山，全面推进公共卫生服务， 把解决人民群众“看病难、看病贵”问题作为改善民生的重要内容，现将2023年度各项工作开展情况总结如下：</w:t>
      </w:r>
    </w:p>
    <w:p w14:paraId="25DDBF72">
      <w:pPr>
        <w:spacing w:line="500" w:lineRule="exac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w:t>
      </w:r>
      <w:r>
        <w:rPr>
          <w:rFonts w:hint="eastAsia" w:ascii="仿宋_GB2312" w:hAnsi="仿宋_GB2312" w:eastAsia="仿宋_GB2312" w:cs="仿宋_GB2312"/>
          <w:b/>
          <w:sz w:val="32"/>
          <w:szCs w:val="32"/>
        </w:rPr>
        <w:t>一、基本情况</w:t>
      </w:r>
    </w:p>
    <w:p w14:paraId="26F2CFB5">
      <w:pPr>
        <w:spacing w:line="560" w:lineRule="exact"/>
        <w:ind w:firstLine="640" w:firstLineChars="200"/>
        <w:rPr>
          <w:rFonts w:hAnsi="黑体" w:cs="Times New Roman"/>
          <w:color w:val="auto"/>
          <w:sz w:val="32"/>
          <w:szCs w:val="32"/>
          <w:u w:val="none"/>
        </w:rPr>
      </w:pPr>
      <w:r>
        <w:rPr>
          <w:rFonts w:hint="eastAsia" w:ascii="仿宋_GB2312" w:hAnsi="仿宋_GB2312" w:eastAsia="仿宋_GB2312" w:cs="仿宋_GB2312"/>
          <w:sz w:val="32"/>
          <w:szCs w:val="32"/>
        </w:rPr>
        <w:t>在职职工7人，医院设有预防保健科、全科医疗科、内科、外科、儿科、妇产科、中医科、DPCC标准化门诊、心理咨询等科室。 本院配备了血液生化分析仪，十二导联心电图，心电监护，除颤仪等诊疗急救设备开展内、外、妇、儿常见病，多发病的诊疗工作，内设有中医馆，能开展针灸、推拿、艾灸、拔罐、刮痧等中医药服务。住院部设有病床6张。辖区内共有4个行政村、4个村卫生室，共有2名乡村医生，空白村共有2个。</w:t>
      </w:r>
      <w:r>
        <w:rPr>
          <w:rFonts w:hint="eastAsia" w:ascii="仿宋_GB2312" w:hAnsi="仿宋_GB2312" w:eastAsia="仿宋_GB2312" w:cs="仿宋_GB2312"/>
          <w:bCs/>
          <w:color w:val="auto"/>
          <w:sz w:val="32"/>
          <w:szCs w:val="32"/>
          <w:u w:val="none"/>
          <w:lang w:val="en-US" w:eastAsia="zh-CN"/>
        </w:rPr>
        <w:t>2023</w:t>
      </w:r>
      <w:r>
        <w:rPr>
          <w:rFonts w:hint="eastAsia" w:ascii="仿宋_GB2312" w:hAnsi="仿宋_GB2312" w:eastAsia="仿宋_GB2312" w:cs="仿宋_GB2312"/>
          <w:bCs/>
          <w:color w:val="auto"/>
          <w:sz w:val="32"/>
          <w:szCs w:val="32"/>
          <w:u w:val="none"/>
        </w:rPr>
        <w:t>年度收、支总计</w:t>
      </w:r>
      <w:r>
        <w:rPr>
          <w:rFonts w:hint="eastAsia" w:ascii="仿宋_GB2312" w:hAnsi="仿宋_GB2312" w:eastAsia="仿宋_GB2312" w:cs="仿宋_GB2312"/>
          <w:bCs/>
          <w:color w:val="auto"/>
          <w:sz w:val="32"/>
          <w:szCs w:val="32"/>
          <w:u w:val="none"/>
          <w:lang w:val="en-US" w:eastAsia="zh-CN"/>
        </w:rPr>
        <w:t>79.27</w:t>
      </w:r>
      <w:r>
        <w:rPr>
          <w:rFonts w:hint="eastAsia" w:ascii="仿宋_GB2312" w:hAnsi="仿宋_GB2312" w:eastAsia="仿宋_GB2312" w:cs="仿宋_GB2312"/>
          <w:bCs/>
          <w:color w:val="auto"/>
          <w:sz w:val="32"/>
          <w:szCs w:val="32"/>
          <w:u w:val="none"/>
        </w:rPr>
        <w:t>万元。与20</w:t>
      </w:r>
      <w:r>
        <w:rPr>
          <w:rFonts w:hint="eastAsia" w:ascii="仿宋_GB2312" w:hAnsi="仿宋_GB2312" w:eastAsia="仿宋_GB2312" w:cs="仿宋_GB2312"/>
          <w:bCs/>
          <w:color w:val="auto"/>
          <w:sz w:val="32"/>
          <w:szCs w:val="32"/>
          <w:u w:val="none"/>
          <w:lang w:val="en-US" w:eastAsia="zh-CN"/>
        </w:rPr>
        <w:t>22</w:t>
      </w:r>
      <w:r>
        <w:rPr>
          <w:rFonts w:hint="eastAsia" w:ascii="仿宋_GB2312" w:hAnsi="仿宋_GB2312" w:eastAsia="仿宋_GB2312" w:cs="仿宋_GB2312"/>
          <w:bCs/>
          <w:color w:val="auto"/>
          <w:sz w:val="32"/>
          <w:szCs w:val="32"/>
          <w:u w:val="none"/>
        </w:rPr>
        <w:t>年相比，</w:t>
      </w:r>
      <w:r>
        <w:rPr>
          <w:rFonts w:hint="eastAsia" w:ascii="仿宋_GB2312" w:hAnsi="仿宋_GB2312" w:eastAsia="仿宋_GB2312" w:cs="仿宋_GB2312"/>
          <w:bCs/>
          <w:color w:val="auto"/>
          <w:sz w:val="32"/>
          <w:szCs w:val="32"/>
          <w:u w:val="none"/>
          <w:lang w:eastAsia="zh-CN"/>
        </w:rPr>
        <w:t>增加</w:t>
      </w:r>
      <w:r>
        <w:rPr>
          <w:rFonts w:hint="eastAsia" w:ascii="仿宋_GB2312" w:hAnsi="仿宋_GB2312" w:eastAsia="仿宋_GB2312" w:cs="仿宋_GB2312"/>
          <w:bCs/>
          <w:color w:val="auto"/>
          <w:sz w:val="32"/>
          <w:szCs w:val="32"/>
          <w:u w:val="none"/>
          <w:lang w:val="en-US" w:eastAsia="zh-CN"/>
        </w:rPr>
        <w:t>10</w:t>
      </w:r>
      <w:r>
        <w:rPr>
          <w:rFonts w:hint="eastAsia" w:ascii="仿宋_GB2312" w:hAnsi="仿宋_GB2312" w:eastAsia="仿宋_GB2312" w:cs="仿宋_GB2312"/>
          <w:bCs/>
          <w:color w:val="auto"/>
          <w:sz w:val="32"/>
          <w:szCs w:val="32"/>
          <w:u w:val="none"/>
        </w:rPr>
        <w:t>万元，</w:t>
      </w:r>
      <w:r>
        <w:rPr>
          <w:rFonts w:hint="eastAsia" w:ascii="仿宋_GB2312" w:hAnsi="仿宋_GB2312" w:eastAsia="仿宋_GB2312" w:cs="仿宋_GB2312"/>
          <w:bCs/>
          <w:color w:val="auto"/>
          <w:sz w:val="32"/>
          <w:szCs w:val="32"/>
          <w:u w:val="none"/>
          <w:lang w:val="en-US" w:eastAsia="zh-CN"/>
        </w:rPr>
        <w:t>14.44</w:t>
      </w:r>
      <w:r>
        <w:rPr>
          <w:rFonts w:hint="eastAsia" w:ascii="仿宋_GB2312" w:hAnsi="仿宋_GB2312" w:eastAsia="仿宋_GB2312" w:cs="仿宋_GB2312"/>
          <w:bCs/>
          <w:color w:val="auto"/>
          <w:sz w:val="32"/>
          <w:szCs w:val="32"/>
          <w:u w:val="none"/>
        </w:rPr>
        <w:t>%，主要是因为</w:t>
      </w:r>
      <w:r>
        <w:rPr>
          <w:rFonts w:hint="eastAsia" w:ascii="仿宋_GB2312" w:hAnsi="仿宋_GB2312" w:eastAsia="仿宋_GB2312" w:cs="仿宋_GB2312"/>
          <w:kern w:val="2"/>
          <w:sz w:val="32"/>
          <w:szCs w:val="32"/>
        </w:rPr>
        <w:t>公共卫生工作全面提升</w:t>
      </w:r>
      <w:r>
        <w:rPr>
          <w:rFonts w:hint="eastAsia" w:ascii="仿宋_GB2312" w:hAnsi="仿宋_GB2312" w:eastAsia="仿宋_GB2312" w:cs="仿宋_GB2312"/>
          <w:kern w:val="2"/>
          <w:sz w:val="32"/>
          <w:szCs w:val="32"/>
          <w:lang w:val="en-US" w:eastAsia="zh-CN"/>
        </w:rPr>
        <w:t>;</w:t>
      </w:r>
      <w:r>
        <w:rPr>
          <w:rFonts w:hint="eastAsia" w:ascii="仿宋_GB2312" w:hAnsi="仿宋_GB2312" w:eastAsia="仿宋_GB2312" w:cs="仿宋_GB2312"/>
          <w:sz w:val="32"/>
          <w:szCs w:val="32"/>
        </w:rPr>
        <w:t>为提升全乡公共卫生服务水平，严抓基本公共卫生服务项目工作，充分调动全院职工的工作积极性和主动性，取得了较好效果。</w:t>
      </w:r>
    </w:p>
    <w:p w14:paraId="60095D5E">
      <w:pPr>
        <w:pStyle w:val="16"/>
        <w:spacing w:line="600" w:lineRule="exact"/>
        <w:ind w:firstLine="640" w:firstLineChars="200"/>
        <w:rPr>
          <w:rFonts w:ascii="Times New Roman" w:hAnsi="Times New Roman" w:eastAsia="仿宋_GB2312" w:cs="Times New Roman"/>
          <w:color w:val="auto"/>
          <w:sz w:val="32"/>
          <w:szCs w:val="32"/>
          <w:u w:val="none"/>
        </w:rPr>
      </w:pPr>
      <w:r>
        <w:rPr>
          <w:rFonts w:ascii="Times New Roman" w:hAnsi="Times New Roman" w:eastAsia="仿宋_GB2312" w:cs="Times New Roman"/>
          <w:color w:val="auto"/>
          <w:sz w:val="32"/>
          <w:szCs w:val="32"/>
          <w:u w:val="none"/>
        </w:rPr>
        <w:t>本年收入合计</w:t>
      </w:r>
      <w:r>
        <w:rPr>
          <w:rFonts w:hint="eastAsia" w:ascii="Times New Roman" w:hAnsi="Times New Roman" w:eastAsia="仿宋_GB2312" w:cs="Times New Roman"/>
          <w:color w:val="auto"/>
          <w:sz w:val="32"/>
          <w:szCs w:val="32"/>
          <w:u w:val="none"/>
          <w:lang w:val="en-US" w:eastAsia="zh-CN"/>
        </w:rPr>
        <w:t>79.27</w:t>
      </w:r>
      <w:r>
        <w:rPr>
          <w:rFonts w:ascii="Times New Roman" w:hAnsi="Times New Roman" w:eastAsia="仿宋_GB2312" w:cs="Times New Roman"/>
          <w:color w:val="auto"/>
          <w:sz w:val="32"/>
          <w:szCs w:val="32"/>
          <w:u w:val="none"/>
        </w:rPr>
        <w:t>万元，其中：财政拨款收入</w:t>
      </w:r>
      <w:r>
        <w:rPr>
          <w:rFonts w:hint="eastAsia" w:ascii="Times New Roman" w:hAnsi="Times New Roman" w:eastAsia="仿宋_GB2312" w:cs="Times New Roman"/>
          <w:color w:val="auto"/>
          <w:sz w:val="32"/>
          <w:szCs w:val="32"/>
          <w:u w:val="none"/>
          <w:lang w:val="en-US" w:eastAsia="zh-CN"/>
        </w:rPr>
        <w:t>69.21</w:t>
      </w:r>
      <w:r>
        <w:rPr>
          <w:rFonts w:ascii="Times New Roman" w:hAnsi="Times New Roman" w:eastAsia="仿宋_GB2312" w:cs="Times New Roman"/>
          <w:color w:val="auto"/>
          <w:sz w:val="32"/>
          <w:szCs w:val="32"/>
          <w:u w:val="none"/>
        </w:rPr>
        <w:t>万元，占</w:t>
      </w:r>
      <w:r>
        <w:rPr>
          <w:rFonts w:hint="eastAsia" w:ascii="Times New Roman" w:hAnsi="Times New Roman" w:eastAsia="仿宋_GB2312" w:cs="Times New Roman"/>
          <w:color w:val="auto"/>
          <w:sz w:val="32"/>
          <w:szCs w:val="32"/>
          <w:u w:val="none"/>
          <w:lang w:val="en-US" w:eastAsia="zh-CN"/>
        </w:rPr>
        <w:t>87.31</w:t>
      </w:r>
      <w:r>
        <w:rPr>
          <w:rFonts w:ascii="Times New Roman" w:hAnsi="Times New Roman" w:eastAsia="仿宋_GB2312" w:cs="Times New Roman"/>
          <w:color w:val="auto"/>
          <w:sz w:val="32"/>
          <w:szCs w:val="32"/>
          <w:u w:val="none"/>
        </w:rPr>
        <w:t>%；上级补助收入</w:t>
      </w:r>
      <w:r>
        <w:rPr>
          <w:rFonts w:hint="eastAsia" w:ascii="Times New Roman" w:hAnsi="Times New Roman" w:eastAsia="仿宋_GB2312" w:cs="Times New Roman"/>
          <w:color w:val="auto"/>
          <w:sz w:val="32"/>
          <w:szCs w:val="32"/>
          <w:u w:val="none"/>
          <w:lang w:val="en-US" w:eastAsia="zh-CN"/>
        </w:rPr>
        <w:t>0</w:t>
      </w:r>
      <w:r>
        <w:rPr>
          <w:rFonts w:ascii="Times New Roman" w:hAnsi="Times New Roman" w:eastAsia="仿宋_GB2312" w:cs="Times New Roman"/>
          <w:color w:val="auto"/>
          <w:sz w:val="32"/>
          <w:szCs w:val="32"/>
          <w:u w:val="none"/>
        </w:rPr>
        <w:t>万元，占</w:t>
      </w:r>
      <w:r>
        <w:rPr>
          <w:rFonts w:hint="eastAsia" w:ascii="Times New Roman" w:hAnsi="Times New Roman" w:eastAsia="仿宋_GB2312" w:cs="Times New Roman"/>
          <w:color w:val="auto"/>
          <w:sz w:val="32"/>
          <w:szCs w:val="32"/>
          <w:u w:val="none"/>
          <w:lang w:val="en-US" w:eastAsia="zh-CN"/>
        </w:rPr>
        <w:t>0</w:t>
      </w:r>
      <w:r>
        <w:rPr>
          <w:rFonts w:ascii="Times New Roman" w:hAnsi="Times New Roman" w:eastAsia="仿宋_GB2312" w:cs="Times New Roman"/>
          <w:color w:val="auto"/>
          <w:sz w:val="32"/>
          <w:szCs w:val="32"/>
          <w:u w:val="none"/>
        </w:rPr>
        <w:t>%；事业收入</w:t>
      </w:r>
      <w:r>
        <w:rPr>
          <w:rFonts w:hint="eastAsia" w:ascii="Times New Roman" w:hAnsi="Times New Roman" w:eastAsia="仿宋_GB2312" w:cs="Times New Roman"/>
          <w:color w:val="auto"/>
          <w:sz w:val="32"/>
          <w:szCs w:val="32"/>
          <w:u w:val="none"/>
          <w:lang w:val="en-US" w:eastAsia="zh-CN"/>
        </w:rPr>
        <w:t>10.06</w:t>
      </w:r>
      <w:r>
        <w:rPr>
          <w:rFonts w:ascii="Times New Roman" w:hAnsi="Times New Roman" w:eastAsia="仿宋_GB2312" w:cs="Times New Roman"/>
          <w:color w:val="auto"/>
          <w:sz w:val="32"/>
          <w:szCs w:val="32"/>
          <w:u w:val="none"/>
        </w:rPr>
        <w:t>万元，占</w:t>
      </w:r>
      <w:r>
        <w:rPr>
          <w:rFonts w:hint="eastAsia" w:ascii="Times New Roman" w:hAnsi="Times New Roman" w:eastAsia="仿宋_GB2312" w:cs="Times New Roman"/>
          <w:color w:val="auto"/>
          <w:sz w:val="32"/>
          <w:szCs w:val="32"/>
          <w:u w:val="none"/>
          <w:lang w:val="en-US" w:eastAsia="zh-CN"/>
        </w:rPr>
        <w:t>12.69</w:t>
      </w:r>
      <w:r>
        <w:rPr>
          <w:rFonts w:ascii="Times New Roman" w:hAnsi="Times New Roman" w:eastAsia="仿宋_GB2312" w:cs="Times New Roman"/>
          <w:color w:val="auto"/>
          <w:sz w:val="32"/>
          <w:szCs w:val="32"/>
          <w:u w:val="none"/>
        </w:rPr>
        <w:t>%；</w:t>
      </w:r>
      <w:r>
        <w:rPr>
          <w:rFonts w:hint="eastAsia" w:ascii="Times New Roman" w:hAnsi="Times New Roman" w:eastAsia="仿宋_GB2312" w:cs="Times New Roman"/>
          <w:color w:val="auto"/>
          <w:sz w:val="32"/>
          <w:szCs w:val="32"/>
          <w:u w:val="none"/>
          <w:lang w:eastAsia="zh-CN"/>
        </w:rPr>
        <w:t>其他</w:t>
      </w:r>
      <w:r>
        <w:rPr>
          <w:rFonts w:ascii="Times New Roman" w:hAnsi="Times New Roman" w:eastAsia="仿宋_GB2312" w:cs="Times New Roman"/>
          <w:color w:val="auto"/>
          <w:sz w:val="32"/>
          <w:szCs w:val="32"/>
          <w:u w:val="none"/>
        </w:rPr>
        <w:t>收入</w:t>
      </w:r>
      <w:r>
        <w:rPr>
          <w:rFonts w:hint="eastAsia" w:ascii="Times New Roman" w:hAnsi="Times New Roman" w:eastAsia="仿宋_GB2312" w:cs="Times New Roman"/>
          <w:color w:val="auto"/>
          <w:sz w:val="32"/>
          <w:szCs w:val="32"/>
          <w:u w:val="none"/>
          <w:lang w:val="en-US" w:eastAsia="zh-CN"/>
        </w:rPr>
        <w:t>0</w:t>
      </w:r>
      <w:r>
        <w:rPr>
          <w:rFonts w:ascii="Times New Roman" w:hAnsi="Times New Roman" w:eastAsia="仿宋_GB2312" w:cs="Times New Roman"/>
          <w:color w:val="auto"/>
          <w:sz w:val="32"/>
          <w:szCs w:val="32"/>
          <w:u w:val="none"/>
        </w:rPr>
        <w:t>万元，占</w:t>
      </w:r>
      <w:r>
        <w:rPr>
          <w:rFonts w:hint="eastAsia" w:ascii="Times New Roman" w:hAnsi="Times New Roman" w:eastAsia="仿宋_GB2312" w:cs="Times New Roman"/>
          <w:color w:val="auto"/>
          <w:sz w:val="32"/>
          <w:szCs w:val="32"/>
          <w:u w:val="none"/>
          <w:lang w:val="en-US" w:eastAsia="zh-CN"/>
        </w:rPr>
        <w:t>0</w:t>
      </w:r>
      <w:r>
        <w:rPr>
          <w:rFonts w:ascii="Times New Roman" w:hAnsi="Times New Roman" w:eastAsia="仿宋_GB2312" w:cs="Times New Roman"/>
          <w:color w:val="auto"/>
          <w:sz w:val="32"/>
          <w:szCs w:val="32"/>
          <w:u w:val="none"/>
        </w:rPr>
        <w:t>%。本年支出合计</w:t>
      </w:r>
      <w:r>
        <w:rPr>
          <w:rFonts w:hint="eastAsia" w:ascii="Times New Roman" w:hAnsi="Times New Roman" w:eastAsia="仿宋_GB2312" w:cs="Times New Roman"/>
          <w:color w:val="auto"/>
          <w:sz w:val="32"/>
          <w:szCs w:val="32"/>
          <w:u w:val="none"/>
          <w:lang w:val="en-US" w:eastAsia="zh-CN"/>
        </w:rPr>
        <w:t>79.27</w:t>
      </w:r>
      <w:r>
        <w:rPr>
          <w:rFonts w:ascii="Times New Roman" w:hAnsi="Times New Roman" w:eastAsia="仿宋_GB2312" w:cs="Times New Roman"/>
          <w:color w:val="auto"/>
          <w:sz w:val="32"/>
          <w:szCs w:val="32"/>
          <w:u w:val="none"/>
        </w:rPr>
        <w:t>万元，其中：基本支出</w:t>
      </w:r>
      <w:r>
        <w:rPr>
          <w:rFonts w:hint="eastAsia" w:ascii="Times New Roman" w:hAnsi="Times New Roman" w:eastAsia="仿宋_GB2312" w:cs="Times New Roman"/>
          <w:color w:val="auto"/>
          <w:sz w:val="32"/>
          <w:szCs w:val="32"/>
          <w:u w:val="none"/>
          <w:lang w:val="en-US" w:eastAsia="zh-CN"/>
        </w:rPr>
        <w:t>47.41</w:t>
      </w:r>
      <w:r>
        <w:rPr>
          <w:rFonts w:ascii="Times New Roman" w:hAnsi="Times New Roman" w:eastAsia="仿宋_GB2312" w:cs="Times New Roman"/>
          <w:color w:val="auto"/>
          <w:sz w:val="32"/>
          <w:szCs w:val="32"/>
          <w:u w:val="none"/>
        </w:rPr>
        <w:t>万元，占</w:t>
      </w:r>
      <w:r>
        <w:rPr>
          <w:rFonts w:hint="eastAsia" w:ascii="Times New Roman" w:hAnsi="Times New Roman" w:eastAsia="仿宋_GB2312" w:cs="Times New Roman"/>
          <w:color w:val="auto"/>
          <w:sz w:val="32"/>
          <w:szCs w:val="32"/>
          <w:u w:val="none"/>
          <w:lang w:val="en-US" w:eastAsia="zh-CN"/>
        </w:rPr>
        <w:t>52.31</w:t>
      </w:r>
      <w:r>
        <w:rPr>
          <w:rFonts w:ascii="Times New Roman" w:hAnsi="Times New Roman" w:eastAsia="仿宋_GB2312" w:cs="Times New Roman"/>
          <w:color w:val="auto"/>
          <w:sz w:val="32"/>
          <w:szCs w:val="32"/>
          <w:u w:val="none"/>
        </w:rPr>
        <w:t>%；项目支出</w:t>
      </w:r>
      <w:r>
        <w:rPr>
          <w:rFonts w:hint="eastAsia" w:ascii="Times New Roman" w:hAnsi="Times New Roman" w:eastAsia="仿宋_GB2312" w:cs="Times New Roman"/>
          <w:color w:val="auto"/>
          <w:sz w:val="32"/>
          <w:szCs w:val="32"/>
          <w:u w:val="none"/>
          <w:lang w:val="en-US" w:eastAsia="zh-CN"/>
        </w:rPr>
        <w:t>31.86</w:t>
      </w:r>
      <w:r>
        <w:rPr>
          <w:rFonts w:ascii="Times New Roman" w:hAnsi="Times New Roman" w:eastAsia="仿宋_GB2312" w:cs="Times New Roman"/>
          <w:color w:val="auto"/>
          <w:sz w:val="32"/>
          <w:szCs w:val="32"/>
          <w:u w:val="none"/>
        </w:rPr>
        <w:t>万元，占</w:t>
      </w:r>
      <w:r>
        <w:rPr>
          <w:rFonts w:hint="eastAsia" w:ascii="Times New Roman" w:hAnsi="Times New Roman" w:eastAsia="仿宋_GB2312" w:cs="Times New Roman"/>
          <w:color w:val="auto"/>
          <w:sz w:val="32"/>
          <w:szCs w:val="32"/>
          <w:u w:val="none"/>
          <w:lang w:val="en-US" w:eastAsia="zh-CN"/>
        </w:rPr>
        <w:t>47.69</w:t>
      </w:r>
      <w:r>
        <w:rPr>
          <w:rFonts w:ascii="Times New Roman" w:hAnsi="Times New Roman" w:eastAsia="仿宋_GB2312" w:cs="Times New Roman"/>
          <w:color w:val="auto"/>
          <w:sz w:val="32"/>
          <w:szCs w:val="32"/>
          <w:u w:val="none"/>
        </w:rPr>
        <w:t>%；上缴上级支出</w:t>
      </w:r>
      <w:r>
        <w:rPr>
          <w:rFonts w:hint="eastAsia" w:ascii="Times New Roman" w:hAnsi="Times New Roman" w:eastAsia="仿宋_GB2312" w:cs="Times New Roman"/>
          <w:color w:val="auto"/>
          <w:sz w:val="32"/>
          <w:szCs w:val="32"/>
          <w:u w:val="none"/>
          <w:lang w:val="en-US" w:eastAsia="zh-CN"/>
        </w:rPr>
        <w:t>0</w:t>
      </w:r>
      <w:r>
        <w:rPr>
          <w:rFonts w:ascii="Times New Roman" w:hAnsi="Times New Roman" w:eastAsia="仿宋_GB2312" w:cs="Times New Roman"/>
          <w:color w:val="auto"/>
          <w:sz w:val="32"/>
          <w:szCs w:val="32"/>
          <w:u w:val="none"/>
        </w:rPr>
        <w:t>万元，占</w:t>
      </w:r>
      <w:r>
        <w:rPr>
          <w:rFonts w:hint="eastAsia" w:ascii="Times New Roman" w:hAnsi="Times New Roman" w:eastAsia="仿宋_GB2312" w:cs="Times New Roman"/>
          <w:color w:val="auto"/>
          <w:sz w:val="32"/>
          <w:szCs w:val="32"/>
          <w:u w:val="none"/>
          <w:lang w:val="en-US" w:eastAsia="zh-CN"/>
        </w:rPr>
        <w:t>0</w:t>
      </w:r>
      <w:r>
        <w:rPr>
          <w:rFonts w:ascii="Times New Roman" w:hAnsi="Times New Roman" w:eastAsia="仿宋_GB2312" w:cs="Times New Roman"/>
          <w:color w:val="auto"/>
          <w:sz w:val="32"/>
          <w:szCs w:val="32"/>
          <w:u w:val="none"/>
        </w:rPr>
        <w:t>%；经营支出</w:t>
      </w:r>
      <w:r>
        <w:rPr>
          <w:rFonts w:hint="eastAsia" w:ascii="Times New Roman" w:hAnsi="Times New Roman" w:eastAsia="仿宋_GB2312" w:cs="Times New Roman"/>
          <w:color w:val="auto"/>
          <w:sz w:val="32"/>
          <w:szCs w:val="32"/>
          <w:u w:val="none"/>
          <w:lang w:val="en-US" w:eastAsia="zh-CN"/>
        </w:rPr>
        <w:t>0</w:t>
      </w:r>
      <w:r>
        <w:rPr>
          <w:rFonts w:ascii="Times New Roman" w:hAnsi="Times New Roman" w:eastAsia="仿宋_GB2312" w:cs="Times New Roman"/>
          <w:color w:val="auto"/>
          <w:sz w:val="32"/>
          <w:szCs w:val="32"/>
          <w:u w:val="none"/>
        </w:rPr>
        <w:t>万元，占</w:t>
      </w:r>
      <w:r>
        <w:rPr>
          <w:rFonts w:hint="eastAsia" w:ascii="Times New Roman" w:hAnsi="Times New Roman" w:eastAsia="仿宋_GB2312" w:cs="Times New Roman"/>
          <w:color w:val="auto"/>
          <w:sz w:val="32"/>
          <w:szCs w:val="32"/>
          <w:u w:val="none"/>
          <w:lang w:val="en-US" w:eastAsia="zh-CN"/>
        </w:rPr>
        <w:t>0</w:t>
      </w:r>
      <w:r>
        <w:rPr>
          <w:rFonts w:ascii="Times New Roman" w:hAnsi="Times New Roman" w:eastAsia="仿宋_GB2312" w:cs="Times New Roman"/>
          <w:color w:val="auto"/>
          <w:sz w:val="32"/>
          <w:szCs w:val="32"/>
          <w:u w:val="none"/>
        </w:rPr>
        <w:t>%；对附属单位补助支出</w:t>
      </w:r>
      <w:r>
        <w:rPr>
          <w:rFonts w:hint="eastAsia" w:ascii="Times New Roman" w:hAnsi="Times New Roman" w:eastAsia="仿宋_GB2312" w:cs="Times New Roman"/>
          <w:color w:val="auto"/>
          <w:sz w:val="32"/>
          <w:szCs w:val="32"/>
          <w:u w:val="none"/>
          <w:lang w:val="en-US" w:eastAsia="zh-CN"/>
        </w:rPr>
        <w:t>0</w:t>
      </w:r>
      <w:r>
        <w:rPr>
          <w:rFonts w:ascii="Times New Roman" w:hAnsi="Times New Roman" w:eastAsia="仿宋_GB2312" w:cs="Times New Roman"/>
          <w:color w:val="auto"/>
          <w:sz w:val="32"/>
          <w:szCs w:val="32"/>
          <w:u w:val="none"/>
        </w:rPr>
        <w:t>万元，占</w:t>
      </w:r>
      <w:r>
        <w:rPr>
          <w:rFonts w:hint="eastAsia" w:ascii="Times New Roman" w:hAnsi="Times New Roman" w:eastAsia="仿宋_GB2312" w:cs="Times New Roman"/>
          <w:color w:val="auto"/>
          <w:sz w:val="32"/>
          <w:szCs w:val="32"/>
          <w:u w:val="none"/>
          <w:lang w:val="en-US" w:eastAsia="zh-CN"/>
        </w:rPr>
        <w:t>0</w:t>
      </w:r>
      <w:r>
        <w:rPr>
          <w:rFonts w:ascii="Times New Roman" w:hAnsi="Times New Roman" w:eastAsia="仿宋_GB2312" w:cs="Times New Roman"/>
          <w:color w:val="auto"/>
          <w:sz w:val="32"/>
          <w:szCs w:val="32"/>
          <w:u w:val="none"/>
        </w:rPr>
        <w:t>%。</w:t>
      </w:r>
    </w:p>
    <w:p w14:paraId="0615DB97">
      <w:pPr>
        <w:pStyle w:val="16"/>
        <w:spacing w:line="600" w:lineRule="exact"/>
        <w:ind w:firstLine="640" w:firstLineChars="200"/>
        <w:rPr>
          <w:rFonts w:hint="eastAsia" w:ascii="Times New Roman" w:hAnsi="Times New Roman" w:eastAsia="仿宋_GB2312" w:cs="Times New Roman"/>
          <w:bCs/>
          <w:color w:val="auto"/>
          <w:sz w:val="32"/>
          <w:szCs w:val="32"/>
          <w:u w:val="none"/>
          <w:lang w:eastAsia="zh-CN"/>
        </w:rPr>
      </w:pPr>
      <w:r>
        <w:rPr>
          <w:rFonts w:hint="eastAsia" w:ascii="Times New Roman" w:hAnsi="Times New Roman" w:eastAsia="仿宋_GB2312" w:cs="Times New Roman"/>
          <w:color w:val="auto"/>
          <w:sz w:val="32"/>
          <w:szCs w:val="32"/>
          <w:u w:val="none"/>
          <w:lang w:val="en-US" w:eastAsia="zh-CN"/>
        </w:rPr>
        <w:t>2023</w:t>
      </w:r>
      <w:r>
        <w:rPr>
          <w:rFonts w:ascii="Times New Roman" w:hAnsi="Times New Roman" w:eastAsia="仿宋_GB2312" w:cs="Times New Roman"/>
          <w:color w:val="auto"/>
          <w:sz w:val="32"/>
          <w:szCs w:val="32"/>
          <w:u w:val="none"/>
        </w:rPr>
        <w:t>年度财政拨款收、支总计</w:t>
      </w:r>
      <w:r>
        <w:rPr>
          <w:rFonts w:hint="eastAsia" w:ascii="Times New Roman" w:hAnsi="Times New Roman" w:eastAsia="仿宋_GB2312" w:cs="Times New Roman"/>
          <w:color w:val="auto"/>
          <w:sz w:val="32"/>
          <w:szCs w:val="32"/>
          <w:u w:val="none"/>
          <w:lang w:val="en-US" w:eastAsia="zh-CN"/>
        </w:rPr>
        <w:t>69.21</w:t>
      </w:r>
      <w:r>
        <w:rPr>
          <w:rFonts w:ascii="Times New Roman" w:hAnsi="Times New Roman" w:eastAsia="仿宋_GB2312" w:cs="Times New Roman"/>
          <w:color w:val="auto"/>
          <w:sz w:val="32"/>
          <w:szCs w:val="32"/>
          <w:u w:val="none"/>
        </w:rPr>
        <w:t>万元，与20</w:t>
      </w:r>
      <w:r>
        <w:rPr>
          <w:rFonts w:hint="eastAsia" w:ascii="Times New Roman" w:hAnsi="Times New Roman" w:eastAsia="仿宋_GB2312" w:cs="Times New Roman"/>
          <w:color w:val="auto"/>
          <w:sz w:val="32"/>
          <w:szCs w:val="32"/>
          <w:u w:val="none"/>
          <w:lang w:val="en-US" w:eastAsia="zh-CN"/>
        </w:rPr>
        <w:t>22</w:t>
      </w:r>
      <w:r>
        <w:rPr>
          <w:rFonts w:ascii="Times New Roman" w:hAnsi="Times New Roman" w:eastAsia="仿宋_GB2312" w:cs="Times New Roman"/>
          <w:color w:val="auto"/>
          <w:sz w:val="32"/>
          <w:szCs w:val="32"/>
          <w:u w:val="none"/>
        </w:rPr>
        <w:t>年相比，</w:t>
      </w:r>
      <w:r>
        <w:rPr>
          <w:rFonts w:hint="eastAsia" w:ascii="Times New Roman" w:hAnsi="Times New Roman" w:eastAsia="仿宋_GB2312" w:cs="Times New Roman"/>
          <w:bCs/>
          <w:color w:val="auto"/>
          <w:sz w:val="32"/>
          <w:szCs w:val="32"/>
          <w:u w:val="none"/>
          <w:lang w:eastAsia="zh-CN"/>
        </w:rPr>
        <w:t>增加</w:t>
      </w:r>
      <w:r>
        <w:rPr>
          <w:rFonts w:hint="eastAsia" w:ascii="Times New Roman" w:hAnsi="Times New Roman" w:eastAsia="仿宋_GB2312" w:cs="Times New Roman"/>
          <w:bCs/>
          <w:color w:val="auto"/>
          <w:sz w:val="32"/>
          <w:szCs w:val="32"/>
          <w:u w:val="none"/>
          <w:lang w:val="en-US" w:eastAsia="zh-CN"/>
        </w:rPr>
        <w:t>10</w:t>
      </w:r>
      <w:r>
        <w:rPr>
          <w:rFonts w:hint="eastAsia" w:ascii="Times New Roman" w:hAnsi="Times New Roman" w:eastAsia="仿宋_GB2312" w:cs="Times New Roman"/>
          <w:bCs/>
          <w:color w:val="auto"/>
          <w:sz w:val="32"/>
          <w:szCs w:val="32"/>
          <w:u w:val="none"/>
        </w:rPr>
        <w:t>万元，</w:t>
      </w:r>
      <w:r>
        <w:rPr>
          <w:rFonts w:hint="eastAsia" w:ascii="Times New Roman" w:hAnsi="Times New Roman" w:eastAsia="仿宋_GB2312" w:cs="Times New Roman"/>
          <w:bCs/>
          <w:color w:val="auto"/>
          <w:sz w:val="32"/>
          <w:szCs w:val="32"/>
          <w:u w:val="none"/>
          <w:lang w:eastAsia="zh-CN"/>
        </w:rPr>
        <w:t>占比</w:t>
      </w:r>
      <w:r>
        <w:rPr>
          <w:rFonts w:hint="eastAsia" w:ascii="Times New Roman" w:hAnsi="Times New Roman" w:eastAsia="仿宋_GB2312" w:cs="Times New Roman"/>
          <w:bCs/>
          <w:color w:val="auto"/>
          <w:sz w:val="32"/>
          <w:szCs w:val="32"/>
          <w:u w:val="none"/>
          <w:lang w:val="en-US" w:eastAsia="zh-CN"/>
        </w:rPr>
        <w:t>16.89</w:t>
      </w:r>
      <w:r>
        <w:rPr>
          <w:rFonts w:hint="eastAsia" w:ascii="Times New Roman" w:hAnsi="Times New Roman" w:eastAsia="仿宋_GB2312" w:cs="Times New Roman"/>
          <w:bCs/>
          <w:color w:val="auto"/>
          <w:sz w:val="32"/>
          <w:szCs w:val="32"/>
          <w:u w:val="none"/>
        </w:rPr>
        <w:t>%</w:t>
      </w:r>
      <w:r>
        <w:rPr>
          <w:rFonts w:hint="eastAsia" w:ascii="Times New Roman" w:hAnsi="Times New Roman" w:eastAsia="仿宋_GB2312" w:cs="Times New Roman"/>
          <w:bCs/>
          <w:color w:val="auto"/>
          <w:sz w:val="32"/>
          <w:szCs w:val="32"/>
          <w:u w:val="none"/>
          <w:lang w:eastAsia="zh-CN"/>
        </w:rPr>
        <w:t>。</w:t>
      </w:r>
      <w:r>
        <w:rPr>
          <w:rFonts w:hint="eastAsia" w:ascii="Times New Roman" w:hAnsi="Times New Roman" w:eastAsia="仿宋_GB2312" w:cs="Times New Roman"/>
          <w:color w:val="auto"/>
          <w:sz w:val="32"/>
          <w:szCs w:val="32"/>
          <w:u w:val="none"/>
          <w:lang w:eastAsia="zh-CN"/>
        </w:rPr>
        <w:t>主要是成立县域紧密型医共体之后，乡镇卫生院能够资源共享，加大了对基础设施建设、医疗专用设备及专业人才的投入，业务水平大副提升，卫生院业务收入增加。</w:t>
      </w:r>
    </w:p>
    <w:p w14:paraId="41A7BF4C">
      <w:pPr>
        <w:pStyle w:val="16"/>
        <w:spacing w:line="600" w:lineRule="exact"/>
        <w:ind w:firstLine="640" w:firstLineChars="200"/>
        <w:rPr>
          <w:rFonts w:ascii="Times New Roman" w:hAnsi="Times New Roman" w:eastAsia="仿宋_GB2312" w:cs="Times New Roman"/>
          <w:color w:val="auto"/>
          <w:sz w:val="32"/>
          <w:szCs w:val="32"/>
          <w:u w:val="none"/>
        </w:rPr>
      </w:pPr>
      <w:r>
        <w:rPr>
          <w:rFonts w:hint="eastAsia" w:ascii="Times New Roman" w:hAnsi="Times New Roman" w:eastAsia="仿宋_GB2312" w:cs="Times New Roman"/>
          <w:color w:val="auto"/>
          <w:sz w:val="32"/>
          <w:szCs w:val="32"/>
          <w:u w:val="none"/>
          <w:lang w:val="en-US" w:eastAsia="zh-CN"/>
        </w:rPr>
        <w:t>2023</w:t>
      </w:r>
      <w:r>
        <w:rPr>
          <w:rFonts w:ascii="Times New Roman" w:hAnsi="Times New Roman" w:eastAsia="仿宋_GB2312" w:cs="Times New Roman"/>
          <w:color w:val="auto"/>
          <w:sz w:val="32"/>
          <w:szCs w:val="32"/>
          <w:u w:val="none"/>
        </w:rPr>
        <w:t>年度财政拨款支出</w:t>
      </w:r>
      <w:r>
        <w:rPr>
          <w:rFonts w:hint="eastAsia" w:ascii="Times New Roman" w:hAnsi="Times New Roman" w:eastAsia="仿宋_GB2312" w:cs="Times New Roman"/>
          <w:color w:val="auto"/>
          <w:sz w:val="32"/>
          <w:szCs w:val="32"/>
          <w:u w:val="none"/>
          <w:lang w:val="en-US" w:eastAsia="zh-CN"/>
        </w:rPr>
        <w:t>69.21</w:t>
      </w:r>
      <w:r>
        <w:rPr>
          <w:rFonts w:ascii="Times New Roman" w:hAnsi="Times New Roman" w:eastAsia="仿宋_GB2312" w:cs="Times New Roman"/>
          <w:color w:val="auto"/>
          <w:sz w:val="32"/>
          <w:szCs w:val="32"/>
          <w:u w:val="none"/>
        </w:rPr>
        <w:t>万元，占本年支出合计的</w:t>
      </w:r>
      <w:r>
        <w:rPr>
          <w:rFonts w:hint="eastAsia" w:ascii="Times New Roman" w:hAnsi="Times New Roman" w:eastAsia="仿宋_GB2312" w:cs="Times New Roman"/>
          <w:color w:val="auto"/>
          <w:sz w:val="32"/>
          <w:szCs w:val="32"/>
          <w:u w:val="none"/>
          <w:lang w:val="en-US" w:eastAsia="zh-CN"/>
        </w:rPr>
        <w:t>87.31</w:t>
      </w:r>
      <w:r>
        <w:rPr>
          <w:rFonts w:ascii="Times New Roman" w:hAnsi="Times New Roman" w:eastAsia="仿宋_GB2312" w:cs="Times New Roman"/>
          <w:color w:val="auto"/>
          <w:sz w:val="32"/>
          <w:szCs w:val="32"/>
          <w:u w:val="none"/>
        </w:rPr>
        <w:t>%，与20</w:t>
      </w:r>
      <w:r>
        <w:rPr>
          <w:rFonts w:hint="eastAsia" w:ascii="Times New Roman" w:hAnsi="Times New Roman" w:eastAsia="仿宋_GB2312" w:cs="Times New Roman"/>
          <w:color w:val="auto"/>
          <w:sz w:val="32"/>
          <w:szCs w:val="32"/>
          <w:u w:val="none"/>
          <w:lang w:val="en-US" w:eastAsia="zh-CN"/>
        </w:rPr>
        <w:t>22</w:t>
      </w:r>
      <w:r>
        <w:rPr>
          <w:rFonts w:ascii="Times New Roman" w:hAnsi="Times New Roman" w:eastAsia="仿宋_GB2312" w:cs="Times New Roman"/>
          <w:color w:val="auto"/>
          <w:sz w:val="32"/>
          <w:szCs w:val="32"/>
          <w:u w:val="none"/>
        </w:rPr>
        <w:t>年相比，财政拨款支出</w:t>
      </w:r>
      <w:r>
        <w:rPr>
          <w:rFonts w:hint="eastAsia" w:ascii="Times New Roman" w:hAnsi="Times New Roman" w:eastAsia="仿宋_GB2312" w:cs="Times New Roman"/>
          <w:color w:val="auto"/>
          <w:sz w:val="32"/>
          <w:szCs w:val="32"/>
          <w:u w:val="none"/>
          <w:lang w:eastAsia="zh-CN"/>
        </w:rPr>
        <w:t>减少</w:t>
      </w:r>
      <w:r>
        <w:rPr>
          <w:rFonts w:hint="eastAsia" w:ascii="Times New Roman" w:hAnsi="Times New Roman" w:eastAsia="仿宋_GB2312" w:cs="Times New Roman"/>
          <w:color w:val="auto"/>
          <w:sz w:val="32"/>
          <w:szCs w:val="32"/>
          <w:u w:val="none"/>
          <w:lang w:val="en-US" w:eastAsia="zh-CN"/>
        </w:rPr>
        <w:t>0.06</w:t>
      </w:r>
      <w:r>
        <w:rPr>
          <w:rFonts w:ascii="Times New Roman" w:hAnsi="Times New Roman" w:eastAsia="仿宋_GB2312" w:cs="Times New Roman"/>
          <w:color w:val="auto"/>
          <w:sz w:val="32"/>
          <w:szCs w:val="32"/>
          <w:u w:val="none"/>
        </w:rPr>
        <w:t>万元，</w:t>
      </w:r>
      <w:r>
        <w:rPr>
          <w:rFonts w:hint="eastAsia" w:ascii="Times New Roman" w:hAnsi="Times New Roman" w:eastAsia="仿宋_GB2312" w:cs="Times New Roman"/>
          <w:color w:val="auto"/>
          <w:sz w:val="32"/>
          <w:szCs w:val="32"/>
          <w:u w:val="none"/>
          <w:lang w:eastAsia="zh-CN"/>
        </w:rPr>
        <w:t>减少</w:t>
      </w:r>
      <w:r>
        <w:rPr>
          <w:rFonts w:hint="eastAsia" w:ascii="Times New Roman" w:hAnsi="Times New Roman" w:eastAsia="仿宋_GB2312" w:cs="Times New Roman"/>
          <w:color w:val="auto"/>
          <w:sz w:val="32"/>
          <w:szCs w:val="32"/>
          <w:u w:val="none"/>
          <w:lang w:val="en-US" w:eastAsia="zh-CN"/>
        </w:rPr>
        <w:t>0.09</w:t>
      </w:r>
      <w:r>
        <w:rPr>
          <w:rFonts w:ascii="Times New Roman" w:hAnsi="Times New Roman" w:eastAsia="仿宋_GB2312" w:cs="Times New Roman"/>
          <w:color w:val="auto"/>
          <w:sz w:val="32"/>
          <w:szCs w:val="32"/>
          <w:u w:val="none"/>
        </w:rPr>
        <w:t>%，主要是因为</w:t>
      </w:r>
      <w:r>
        <w:rPr>
          <w:rFonts w:hint="eastAsia" w:ascii="Times New Roman" w:hAnsi="Times New Roman" w:eastAsia="仿宋_GB2312" w:cs="Times New Roman"/>
          <w:color w:val="auto"/>
          <w:sz w:val="32"/>
          <w:szCs w:val="32"/>
          <w:u w:val="none"/>
          <w:lang w:val="en-US" w:eastAsia="zh-CN"/>
        </w:rPr>
        <w:t>2022年</w:t>
      </w:r>
      <w:r>
        <w:rPr>
          <w:rFonts w:hint="eastAsia" w:ascii="Times New Roman" w:hAnsi="Times New Roman" w:eastAsia="仿宋_GB2312" w:cs="Times New Roman"/>
          <w:bCs/>
          <w:color w:val="auto"/>
          <w:sz w:val="32"/>
          <w:szCs w:val="32"/>
          <w:u w:val="none"/>
          <w:lang w:val="en-US" w:eastAsia="zh-CN"/>
        </w:rPr>
        <w:t>乡镇卫生院基本公共卫生经费拨款纳入上级主管部门核算，未纳入本年收支决算。</w:t>
      </w:r>
    </w:p>
    <w:p w14:paraId="38ECE8C2">
      <w:pPr>
        <w:pStyle w:val="16"/>
        <w:spacing w:line="600" w:lineRule="exact"/>
        <w:ind w:firstLine="640" w:firstLineChars="200"/>
        <w:rPr>
          <w:rFonts w:hint="eastAsia" w:ascii="Times New Roman" w:hAnsi="Times New Roman" w:eastAsia="仿宋_GB2312" w:cs="Times New Roman"/>
          <w:color w:val="auto"/>
          <w:sz w:val="32"/>
          <w:szCs w:val="32"/>
          <w:u w:val="none"/>
          <w:lang w:eastAsia="zh-CN"/>
        </w:rPr>
      </w:pPr>
      <w:r>
        <w:rPr>
          <w:rFonts w:hint="eastAsia" w:ascii="Times New Roman" w:hAnsi="Times New Roman" w:eastAsia="仿宋_GB2312" w:cs="Times New Roman"/>
          <w:color w:val="auto"/>
          <w:sz w:val="32"/>
          <w:szCs w:val="32"/>
          <w:u w:val="none"/>
          <w:lang w:val="en-US" w:eastAsia="zh-CN"/>
        </w:rPr>
        <w:t>2023</w:t>
      </w:r>
      <w:r>
        <w:rPr>
          <w:rFonts w:ascii="Times New Roman" w:hAnsi="Times New Roman" w:eastAsia="仿宋_GB2312" w:cs="Times New Roman"/>
          <w:color w:val="auto"/>
          <w:sz w:val="32"/>
          <w:szCs w:val="32"/>
          <w:u w:val="none"/>
        </w:rPr>
        <w:t>年度财政拨款支出</w:t>
      </w:r>
      <w:r>
        <w:rPr>
          <w:rFonts w:hint="eastAsia" w:ascii="Times New Roman" w:hAnsi="Times New Roman" w:eastAsia="仿宋_GB2312" w:cs="Times New Roman"/>
          <w:color w:val="auto"/>
          <w:sz w:val="32"/>
          <w:szCs w:val="32"/>
          <w:u w:val="none"/>
          <w:lang w:val="en-US" w:eastAsia="zh-CN"/>
        </w:rPr>
        <w:t>69.21</w:t>
      </w:r>
      <w:r>
        <w:rPr>
          <w:rFonts w:ascii="Times New Roman" w:hAnsi="Times New Roman" w:eastAsia="仿宋_GB2312" w:cs="Times New Roman"/>
          <w:color w:val="auto"/>
          <w:sz w:val="32"/>
          <w:szCs w:val="32"/>
          <w:u w:val="none"/>
        </w:rPr>
        <w:t>万元，主要用于以下方面：一般公共服务（类）支出</w:t>
      </w:r>
      <w:r>
        <w:rPr>
          <w:rFonts w:hint="eastAsia" w:ascii="Times New Roman" w:hAnsi="Times New Roman" w:eastAsia="仿宋_GB2312" w:cs="Times New Roman"/>
          <w:color w:val="auto"/>
          <w:sz w:val="32"/>
          <w:szCs w:val="32"/>
          <w:u w:val="none"/>
          <w:lang w:val="en-US" w:eastAsia="zh-CN"/>
        </w:rPr>
        <w:t>0</w:t>
      </w:r>
      <w:r>
        <w:rPr>
          <w:rFonts w:ascii="Times New Roman" w:hAnsi="Times New Roman" w:eastAsia="仿宋_GB2312" w:cs="Times New Roman"/>
          <w:color w:val="auto"/>
          <w:sz w:val="32"/>
          <w:szCs w:val="32"/>
          <w:u w:val="none"/>
        </w:rPr>
        <w:t>万元，占%；</w:t>
      </w:r>
      <w:r>
        <w:rPr>
          <w:rFonts w:hint="eastAsia" w:ascii="Times New Roman" w:hAnsi="Times New Roman" w:eastAsia="仿宋_GB2312" w:cs="Times New Roman"/>
          <w:color w:val="auto"/>
          <w:sz w:val="32"/>
          <w:szCs w:val="32"/>
          <w:u w:val="none"/>
        </w:rPr>
        <w:t>卫生健康支出</w:t>
      </w:r>
      <w:r>
        <w:rPr>
          <w:rFonts w:hint="eastAsia" w:ascii="Times New Roman" w:hAnsi="Times New Roman" w:eastAsia="仿宋_GB2312" w:cs="Times New Roman"/>
          <w:color w:val="auto"/>
          <w:sz w:val="32"/>
          <w:szCs w:val="32"/>
          <w:u w:val="none"/>
          <w:lang w:val="en-US" w:eastAsia="zh-CN"/>
        </w:rPr>
        <w:t>69.21</w:t>
      </w:r>
      <w:r>
        <w:rPr>
          <w:rFonts w:ascii="Times New Roman" w:hAnsi="Times New Roman" w:eastAsia="仿宋_GB2312" w:cs="Times New Roman"/>
          <w:color w:val="auto"/>
          <w:sz w:val="32"/>
          <w:szCs w:val="32"/>
          <w:u w:val="none"/>
        </w:rPr>
        <w:t>万元，占</w:t>
      </w:r>
      <w:r>
        <w:rPr>
          <w:rFonts w:hint="eastAsia" w:ascii="Times New Roman" w:hAnsi="Times New Roman" w:eastAsia="仿宋_GB2312" w:cs="Times New Roman"/>
          <w:color w:val="auto"/>
          <w:sz w:val="32"/>
          <w:szCs w:val="32"/>
          <w:u w:val="none"/>
          <w:lang w:val="en-US" w:eastAsia="zh-CN"/>
        </w:rPr>
        <w:t>100</w:t>
      </w:r>
      <w:r>
        <w:rPr>
          <w:rFonts w:ascii="Times New Roman" w:hAnsi="Times New Roman" w:eastAsia="仿宋_GB2312" w:cs="Times New Roman"/>
          <w:color w:val="auto"/>
          <w:sz w:val="32"/>
          <w:szCs w:val="32"/>
          <w:u w:val="none"/>
        </w:rPr>
        <w:t>%</w:t>
      </w:r>
      <w:r>
        <w:rPr>
          <w:rFonts w:hint="eastAsia" w:ascii="Times New Roman" w:hAnsi="Times New Roman" w:eastAsia="仿宋_GB2312" w:cs="Times New Roman"/>
          <w:color w:val="auto"/>
          <w:sz w:val="32"/>
          <w:szCs w:val="32"/>
          <w:u w:val="none"/>
          <w:lang w:eastAsia="zh-CN"/>
        </w:rPr>
        <w:t>。</w:t>
      </w:r>
    </w:p>
    <w:p w14:paraId="02CC9139">
      <w:pPr>
        <w:pStyle w:val="16"/>
        <w:spacing w:line="600" w:lineRule="exact"/>
        <w:ind w:firstLine="640" w:firstLineChars="200"/>
        <w:rPr>
          <w:rFonts w:hint="eastAsia" w:ascii="Times New Roman" w:hAnsi="Times New Roman" w:eastAsia="仿宋_GB2312" w:cs="Times New Roman"/>
          <w:color w:val="auto"/>
          <w:sz w:val="32"/>
          <w:szCs w:val="32"/>
          <w:u w:val="none"/>
          <w:lang w:eastAsia="zh-CN"/>
        </w:rPr>
      </w:pPr>
      <w:r>
        <w:rPr>
          <w:rFonts w:hint="eastAsia" w:ascii="Times New Roman" w:hAnsi="Times New Roman" w:eastAsia="仿宋_GB2312" w:cs="Times New Roman"/>
          <w:color w:val="auto"/>
          <w:sz w:val="32"/>
          <w:szCs w:val="32"/>
          <w:u w:val="none"/>
          <w:lang w:val="en-US" w:eastAsia="zh-CN"/>
        </w:rPr>
        <w:t>2023</w:t>
      </w:r>
      <w:r>
        <w:rPr>
          <w:rFonts w:ascii="Times New Roman" w:hAnsi="Times New Roman" w:eastAsia="仿宋_GB2312" w:cs="Times New Roman"/>
          <w:color w:val="auto"/>
          <w:sz w:val="32"/>
          <w:szCs w:val="32"/>
          <w:u w:val="none"/>
        </w:rPr>
        <w:t>年度财政拨款支出年初预算数为</w:t>
      </w:r>
      <w:r>
        <w:rPr>
          <w:rFonts w:hint="eastAsia" w:ascii="Times New Roman" w:hAnsi="Times New Roman" w:eastAsia="仿宋_GB2312" w:cs="Times New Roman"/>
          <w:color w:val="auto"/>
          <w:sz w:val="32"/>
          <w:szCs w:val="32"/>
          <w:u w:val="none"/>
          <w:lang w:val="en-US" w:eastAsia="zh-CN"/>
        </w:rPr>
        <w:t>69.21</w:t>
      </w:r>
      <w:r>
        <w:rPr>
          <w:rFonts w:ascii="Times New Roman" w:hAnsi="Times New Roman" w:eastAsia="仿宋_GB2312" w:cs="Times New Roman"/>
          <w:color w:val="auto"/>
          <w:sz w:val="32"/>
          <w:szCs w:val="32"/>
          <w:u w:val="none"/>
        </w:rPr>
        <w:t>万元，支出决算数为</w:t>
      </w:r>
      <w:r>
        <w:rPr>
          <w:rFonts w:hint="eastAsia" w:ascii="Times New Roman" w:hAnsi="Times New Roman" w:eastAsia="仿宋_GB2312" w:cs="Times New Roman"/>
          <w:color w:val="auto"/>
          <w:sz w:val="32"/>
          <w:szCs w:val="32"/>
          <w:u w:val="none"/>
          <w:lang w:val="en-US" w:eastAsia="zh-CN"/>
        </w:rPr>
        <w:t>69.21</w:t>
      </w:r>
      <w:r>
        <w:rPr>
          <w:rFonts w:ascii="Times New Roman" w:hAnsi="Times New Roman" w:eastAsia="仿宋_GB2312" w:cs="Times New Roman"/>
          <w:color w:val="auto"/>
          <w:sz w:val="32"/>
          <w:szCs w:val="32"/>
          <w:u w:val="none"/>
        </w:rPr>
        <w:t>万元，完成年初预算的</w:t>
      </w:r>
      <w:r>
        <w:rPr>
          <w:rFonts w:hint="eastAsia" w:ascii="Times New Roman" w:hAnsi="Times New Roman" w:eastAsia="仿宋_GB2312" w:cs="Times New Roman"/>
          <w:color w:val="auto"/>
          <w:sz w:val="32"/>
          <w:szCs w:val="32"/>
          <w:u w:val="none"/>
          <w:lang w:val="en-US" w:eastAsia="zh-CN"/>
        </w:rPr>
        <w:t>100</w:t>
      </w:r>
      <w:r>
        <w:rPr>
          <w:rFonts w:ascii="Times New Roman" w:hAnsi="Times New Roman" w:eastAsia="仿宋_GB2312" w:cs="Times New Roman"/>
          <w:color w:val="auto"/>
          <w:sz w:val="32"/>
          <w:szCs w:val="32"/>
          <w:u w:val="none"/>
        </w:rPr>
        <w:t>%</w:t>
      </w:r>
      <w:r>
        <w:rPr>
          <w:rFonts w:hint="eastAsia" w:ascii="Times New Roman" w:hAnsi="Times New Roman" w:eastAsia="仿宋_GB2312" w:cs="Times New Roman"/>
          <w:color w:val="auto"/>
          <w:sz w:val="32"/>
          <w:szCs w:val="32"/>
          <w:u w:val="none"/>
          <w:lang w:eastAsia="zh-CN"/>
        </w:rPr>
        <w:t>。</w:t>
      </w:r>
    </w:p>
    <w:p w14:paraId="3ACAC0B8">
      <w:pPr>
        <w:pStyle w:val="16"/>
        <w:spacing w:line="600" w:lineRule="exact"/>
        <w:ind w:firstLine="640" w:firstLineChars="200"/>
        <w:rPr>
          <w:rFonts w:hint="eastAsia" w:ascii="Times New Roman" w:hAnsi="Times New Roman" w:eastAsia="仿宋_GB2312" w:cs="Times New Roman"/>
          <w:color w:val="auto"/>
          <w:sz w:val="32"/>
          <w:szCs w:val="32"/>
          <w:u w:val="none"/>
          <w:lang w:eastAsia="zh-CN"/>
        </w:rPr>
      </w:pPr>
      <w:r>
        <w:rPr>
          <w:rFonts w:hint="eastAsia" w:ascii="Times New Roman" w:hAnsi="Times New Roman" w:eastAsia="仿宋_GB2312" w:cs="Times New Roman"/>
          <w:color w:val="auto"/>
          <w:sz w:val="32"/>
          <w:szCs w:val="32"/>
          <w:u w:val="none"/>
          <w:lang w:val="en-US" w:eastAsia="zh-CN"/>
        </w:rPr>
        <w:t>卫生健康支出210（类）基层医疗卫生机构21003（款）乡镇卫生院2100302（项）</w:t>
      </w:r>
    </w:p>
    <w:p w14:paraId="25456C1D">
      <w:pPr>
        <w:pStyle w:val="16"/>
        <w:spacing w:line="600" w:lineRule="exact"/>
        <w:ind w:firstLine="640" w:firstLineChars="200"/>
        <w:rPr>
          <w:rFonts w:hAnsi="黑体" w:cs="Times New Roman"/>
          <w:color w:val="auto"/>
          <w:sz w:val="32"/>
          <w:szCs w:val="32"/>
          <w:u w:val="none"/>
        </w:rPr>
      </w:pPr>
      <w:r>
        <w:rPr>
          <w:rFonts w:hint="eastAsia" w:ascii="Times New Roman" w:hAnsi="Times New Roman" w:eastAsia="仿宋_GB2312" w:cs="Times New Roman"/>
          <w:color w:val="auto"/>
          <w:sz w:val="32"/>
          <w:szCs w:val="32"/>
          <w:u w:val="none"/>
          <w:lang w:val="en-US" w:eastAsia="zh-CN"/>
        </w:rPr>
        <w:t>年初预算为69.21</w:t>
      </w:r>
      <w:r>
        <w:rPr>
          <w:rFonts w:ascii="Times New Roman" w:hAnsi="Times New Roman" w:eastAsia="仿宋_GB2312" w:cs="Times New Roman"/>
          <w:color w:val="auto"/>
          <w:sz w:val="32"/>
          <w:szCs w:val="32"/>
          <w:u w:val="none"/>
        </w:rPr>
        <w:t>万元，</w:t>
      </w:r>
      <w:r>
        <w:rPr>
          <w:rFonts w:hint="eastAsia" w:ascii="Times New Roman" w:hAnsi="Times New Roman" w:eastAsia="仿宋_GB2312" w:cs="Times New Roman"/>
          <w:color w:val="auto"/>
          <w:sz w:val="32"/>
          <w:szCs w:val="32"/>
          <w:u w:val="none"/>
          <w:lang w:val="en-US" w:eastAsia="zh-CN"/>
        </w:rPr>
        <w:t>支出决算为69.21</w:t>
      </w:r>
      <w:r>
        <w:rPr>
          <w:rFonts w:ascii="Times New Roman" w:hAnsi="Times New Roman" w:eastAsia="仿宋_GB2312" w:cs="Times New Roman"/>
          <w:color w:val="auto"/>
          <w:sz w:val="32"/>
          <w:szCs w:val="32"/>
          <w:u w:val="none"/>
        </w:rPr>
        <w:t>万元，</w:t>
      </w:r>
      <w:r>
        <w:rPr>
          <w:rFonts w:hint="eastAsia" w:ascii="Times New Roman" w:hAnsi="Times New Roman" w:eastAsia="仿宋_GB2312" w:cs="Times New Roman"/>
          <w:color w:val="auto"/>
          <w:sz w:val="32"/>
          <w:szCs w:val="32"/>
          <w:u w:val="none"/>
          <w:lang w:val="en-US" w:eastAsia="zh-CN"/>
        </w:rPr>
        <w:t>完成年初预算的100</w:t>
      </w:r>
      <w:r>
        <w:rPr>
          <w:rFonts w:ascii="Times New Roman" w:hAnsi="Times New Roman" w:eastAsia="仿宋_GB2312" w:cs="Times New Roman"/>
          <w:color w:val="auto"/>
          <w:sz w:val="32"/>
          <w:szCs w:val="32"/>
          <w:u w:val="none"/>
        </w:rPr>
        <w:t>%</w:t>
      </w:r>
      <w:r>
        <w:rPr>
          <w:rFonts w:hint="eastAsia" w:ascii="Times New Roman" w:hAnsi="Times New Roman" w:eastAsia="仿宋_GB2312" w:cs="Times New Roman"/>
          <w:color w:val="auto"/>
          <w:sz w:val="32"/>
          <w:szCs w:val="32"/>
          <w:u w:val="none"/>
          <w:lang w:eastAsia="zh-CN"/>
        </w:rPr>
        <w:t>，</w:t>
      </w:r>
      <w:r>
        <w:rPr>
          <w:rFonts w:hint="eastAsia" w:ascii="Times New Roman" w:hAnsi="Times New Roman" w:eastAsia="仿宋_GB2312" w:cs="Times New Roman"/>
          <w:color w:val="auto"/>
          <w:sz w:val="32"/>
          <w:szCs w:val="32"/>
          <w:u w:val="none"/>
          <w:lang w:val="en-US" w:eastAsia="zh-CN"/>
        </w:rPr>
        <w:t>决算数等于年初预算数的主要原因是严格执行预算</w:t>
      </w:r>
      <w:r>
        <w:rPr>
          <w:rFonts w:hint="eastAsia" w:ascii="Times New Roman" w:hAnsi="Times New Roman" w:eastAsia="仿宋_GB2312" w:cs="Times New Roman"/>
          <w:color w:val="auto"/>
          <w:sz w:val="32"/>
          <w:szCs w:val="32"/>
          <w:u w:val="none"/>
          <w:lang w:eastAsia="zh-CN"/>
        </w:rPr>
        <w:t>。</w:t>
      </w:r>
    </w:p>
    <w:p w14:paraId="11D4CCD9">
      <w:pPr>
        <w:pStyle w:val="16"/>
        <w:spacing w:line="600" w:lineRule="exact"/>
        <w:ind w:firstLine="640" w:firstLineChars="200"/>
        <w:rPr>
          <w:rFonts w:hint="eastAsia" w:ascii="仿宋_GB2312" w:hAnsi="仿宋_GB2312" w:eastAsia="仿宋_GB2312" w:cs="仿宋_GB2312"/>
          <w:b/>
          <w:bCs/>
          <w:sz w:val="32"/>
          <w:szCs w:val="32"/>
        </w:rPr>
      </w:pPr>
      <w:r>
        <w:rPr>
          <w:rFonts w:hint="eastAsia" w:ascii="Times New Roman" w:hAnsi="Times New Roman" w:eastAsia="仿宋_GB2312" w:cs="Times New Roman"/>
          <w:color w:val="auto"/>
          <w:sz w:val="32"/>
          <w:szCs w:val="32"/>
          <w:u w:val="none"/>
          <w:lang w:val="en-US" w:eastAsia="zh-CN"/>
        </w:rPr>
        <w:t>2023</w:t>
      </w:r>
      <w:r>
        <w:rPr>
          <w:rFonts w:ascii="Times New Roman" w:hAnsi="Times New Roman" w:eastAsia="仿宋_GB2312" w:cs="Times New Roman"/>
          <w:color w:val="auto"/>
          <w:sz w:val="32"/>
          <w:szCs w:val="32"/>
          <w:u w:val="none"/>
        </w:rPr>
        <w:t>年度财政拨款基本支出</w:t>
      </w:r>
      <w:r>
        <w:rPr>
          <w:rFonts w:hint="eastAsia" w:ascii="Times New Roman" w:hAnsi="Times New Roman" w:eastAsia="仿宋_GB2312" w:cs="Times New Roman"/>
          <w:color w:val="auto"/>
          <w:sz w:val="32"/>
          <w:szCs w:val="32"/>
          <w:u w:val="none"/>
          <w:lang w:val="en-US" w:eastAsia="zh-CN"/>
        </w:rPr>
        <w:t>37.34</w:t>
      </w:r>
      <w:r>
        <w:rPr>
          <w:rFonts w:ascii="Times New Roman" w:hAnsi="Times New Roman" w:eastAsia="仿宋_GB2312" w:cs="Times New Roman"/>
          <w:color w:val="auto"/>
          <w:sz w:val="32"/>
          <w:szCs w:val="32"/>
          <w:u w:val="none"/>
        </w:rPr>
        <w:t>万元，其中：人员经费</w:t>
      </w:r>
      <w:r>
        <w:rPr>
          <w:rFonts w:hint="eastAsia" w:ascii="Times New Roman" w:hAnsi="Times New Roman" w:eastAsia="仿宋_GB2312" w:cs="Times New Roman"/>
          <w:color w:val="auto"/>
          <w:sz w:val="32"/>
          <w:szCs w:val="32"/>
          <w:u w:val="none"/>
          <w:lang w:val="en-US" w:eastAsia="zh-CN"/>
        </w:rPr>
        <w:t>37.34</w:t>
      </w:r>
      <w:r>
        <w:rPr>
          <w:rFonts w:ascii="Times New Roman" w:hAnsi="Times New Roman" w:eastAsia="仿宋_GB2312" w:cs="Times New Roman"/>
          <w:color w:val="auto"/>
          <w:sz w:val="32"/>
          <w:szCs w:val="32"/>
          <w:u w:val="none"/>
        </w:rPr>
        <w:t>万元，占基本支出的</w:t>
      </w:r>
      <w:r>
        <w:rPr>
          <w:rFonts w:hint="eastAsia" w:ascii="Times New Roman" w:hAnsi="Times New Roman" w:eastAsia="仿宋_GB2312" w:cs="Times New Roman"/>
          <w:color w:val="auto"/>
          <w:sz w:val="32"/>
          <w:szCs w:val="32"/>
          <w:u w:val="none"/>
          <w:lang w:val="en-US" w:eastAsia="zh-CN"/>
        </w:rPr>
        <w:t>100</w:t>
      </w:r>
      <w:r>
        <w:rPr>
          <w:rFonts w:ascii="Times New Roman" w:hAnsi="Times New Roman" w:eastAsia="仿宋_GB2312" w:cs="Times New Roman"/>
          <w:color w:val="auto"/>
          <w:sz w:val="32"/>
          <w:szCs w:val="32"/>
          <w:u w:val="none"/>
        </w:rPr>
        <w:t>%</w:t>
      </w:r>
      <w:r>
        <w:rPr>
          <w:rFonts w:hint="eastAsia" w:ascii="Times New Roman" w:hAnsi="Times New Roman" w:eastAsia="仿宋_GB2312" w:cs="Times New Roman"/>
          <w:color w:val="auto"/>
          <w:sz w:val="32"/>
          <w:szCs w:val="32"/>
          <w:u w:val="none"/>
          <w:lang w:eastAsia="zh-CN"/>
        </w:rPr>
        <w:t>，</w:t>
      </w:r>
      <w:r>
        <w:rPr>
          <w:rFonts w:ascii="Times New Roman" w:hAnsi="Times New Roman" w:eastAsia="仿宋_GB2312" w:cs="Times New Roman"/>
          <w:color w:val="auto"/>
          <w:sz w:val="32"/>
          <w:szCs w:val="32"/>
          <w:u w:val="none"/>
        </w:rPr>
        <w:t>主要包括基本工资、</w:t>
      </w:r>
      <w:r>
        <w:rPr>
          <w:rFonts w:hint="eastAsia" w:ascii="Times New Roman" w:hAnsi="Times New Roman" w:eastAsia="仿宋_GB2312" w:cs="Times New Roman"/>
          <w:color w:val="auto"/>
          <w:sz w:val="32"/>
          <w:szCs w:val="32"/>
          <w:u w:val="none"/>
          <w:lang w:val="en-US" w:eastAsia="zh-CN"/>
        </w:rPr>
        <w:t>津贴补贴、</w:t>
      </w:r>
      <w:r>
        <w:rPr>
          <w:rFonts w:hint="eastAsia" w:ascii="Times New Roman" w:hAnsi="Times New Roman" w:eastAsia="仿宋_GB2312" w:cs="Times New Roman"/>
          <w:color w:val="auto"/>
          <w:sz w:val="32"/>
          <w:szCs w:val="32"/>
          <w:u w:val="none"/>
          <w:lang w:eastAsia="zh-CN"/>
        </w:rPr>
        <w:t>绩效工资、机关事业单位基本养老保险费</w:t>
      </w:r>
      <w:r>
        <w:rPr>
          <w:rFonts w:ascii="Times New Roman" w:hAnsi="Times New Roman" w:eastAsia="仿宋_GB2312" w:cs="Times New Roman"/>
          <w:color w:val="auto"/>
          <w:sz w:val="32"/>
          <w:szCs w:val="32"/>
          <w:u w:val="none"/>
        </w:rPr>
        <w:t>、</w:t>
      </w:r>
      <w:r>
        <w:rPr>
          <w:rFonts w:hint="eastAsia" w:ascii="Times New Roman" w:hAnsi="Times New Roman" w:eastAsia="仿宋_GB2312" w:cs="Times New Roman"/>
          <w:color w:val="auto"/>
          <w:sz w:val="32"/>
          <w:szCs w:val="32"/>
          <w:u w:val="none"/>
        </w:rPr>
        <w:t>职工基本医疗保险缴费</w:t>
      </w:r>
      <w:r>
        <w:rPr>
          <w:rFonts w:hint="eastAsia" w:ascii="Times New Roman" w:hAnsi="Times New Roman" w:eastAsia="仿宋_GB2312" w:cs="Times New Roman"/>
          <w:color w:val="auto"/>
          <w:sz w:val="32"/>
          <w:szCs w:val="32"/>
          <w:u w:val="none"/>
          <w:lang w:val="en-US" w:eastAsia="zh-CN"/>
        </w:rPr>
        <w:t>。</w:t>
      </w:r>
    </w:p>
    <w:p w14:paraId="5F7BE5BF">
      <w:pPr>
        <w:spacing w:line="500" w:lineRule="exact"/>
        <w:ind w:firstLine="585"/>
        <w:rPr>
          <w:rFonts w:hint="eastAsia" w:ascii="仿宋_GB2312" w:hAnsi="仿宋_GB2312" w:eastAsia="仿宋_GB2312" w:cs="仿宋_GB2312"/>
          <w:b/>
          <w:sz w:val="32"/>
          <w:szCs w:val="32"/>
        </w:rPr>
      </w:pPr>
      <w:r>
        <w:rPr>
          <w:rFonts w:hint="eastAsia" w:ascii="仿宋_GB2312" w:hAnsi="仿宋_GB2312" w:eastAsia="仿宋_GB2312" w:cs="仿宋_GB2312"/>
          <w:b/>
          <w:sz w:val="32"/>
          <w:szCs w:val="32"/>
        </w:rPr>
        <w:t>（一）行政工作情况</w:t>
      </w:r>
    </w:p>
    <w:p w14:paraId="03029769">
      <w:pPr>
        <w:spacing w:line="5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加强内部管理，加强党风廉政建设和反商业贿赂，健立、健全内部管理制度，结合单位的实际工作情况和需要，制定了各项规章制度，明确任务、明确责任、分工协作。坚持以人为本，团结协作，开拓创新。工作中，多交流，多商议，广泛听取职工的意见和建议。充分发扬民主，集思广</w:t>
      </w:r>
      <w:r>
        <w:rPr>
          <w:rFonts w:hint="eastAsia" w:ascii="仿宋_GB2312" w:hAnsi="仿宋_GB2312" w:eastAsia="仿宋_GB2312" w:cs="仿宋_GB2312"/>
          <w:sz w:val="32"/>
          <w:szCs w:val="32"/>
          <w:lang w:eastAsia="zh-CN"/>
        </w:rPr>
        <w:t>益</w:t>
      </w:r>
      <w:bookmarkStart w:id="0" w:name="_GoBack"/>
      <w:bookmarkEnd w:id="0"/>
      <w:r>
        <w:rPr>
          <w:rFonts w:hint="eastAsia" w:ascii="仿宋_GB2312" w:hAnsi="仿宋_GB2312" w:eastAsia="仿宋_GB2312" w:cs="仿宋_GB2312"/>
          <w:sz w:val="32"/>
          <w:szCs w:val="32"/>
        </w:rPr>
        <w:t xml:space="preserve">，使每个职工都参与到本院的管理中来。    </w:t>
      </w:r>
    </w:p>
    <w:p w14:paraId="64704DE9">
      <w:pPr>
        <w:spacing w:line="480" w:lineRule="auto"/>
        <w:ind w:firstLine="643"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（二）落实开展基本医疗服务</w:t>
      </w:r>
      <w:r>
        <w:rPr>
          <w:rFonts w:hint="eastAsia" w:ascii="仿宋_GB2312" w:hAnsi="仿宋_GB2312" w:eastAsia="仿宋_GB2312" w:cs="仿宋_GB2312"/>
          <w:sz w:val="32"/>
          <w:szCs w:val="32"/>
        </w:rPr>
        <w:t xml:space="preserve"> </w:t>
      </w:r>
    </w:p>
    <w:p w14:paraId="12E1CAA2">
      <w:pPr>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2023年中,在县卫健局和医共体总院的领导下，在全院职工的共同努力下，2023年1-11月门诊人次1039 人，医疗总收入3.2499 万元，西药 1.1826 万元，中成药 0.9769万元，药占比67% 。门诊就诊人次和业务收入都比上一年度大幅度提高。</w:t>
      </w:r>
    </w:p>
    <w:p w14:paraId="6E0D97E7">
      <w:pPr>
        <w:spacing w:line="5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1、医疗质量管理</w:t>
      </w:r>
      <w:r>
        <w:rPr>
          <w:rFonts w:hint="eastAsia" w:ascii="仿宋_GB2312" w:hAnsi="仿宋_GB2312" w:eastAsia="仿宋_GB2312" w:cs="仿宋_GB2312"/>
          <w:sz w:val="32"/>
          <w:szCs w:val="32"/>
        </w:rPr>
        <w:br w:type="textWrapping"/>
      </w:r>
      <w:r>
        <w:rPr>
          <w:rFonts w:hint="eastAsia" w:ascii="仿宋_GB2312" w:hAnsi="仿宋_GB2312" w:eastAsia="仿宋_GB2312" w:cs="仿宋_GB2312"/>
          <w:sz w:val="32"/>
          <w:szCs w:val="32"/>
        </w:rPr>
        <w:t>　　不断提高医疗质量是促进医院发展的动力，严格医疗质量管理，全面提升医疗服务质量是</w:t>
      </w:r>
      <w:r>
        <w:rPr>
          <w:rFonts w:hint="eastAsia" w:ascii="仿宋_GB2312" w:hAnsi="仿宋_GB2312" w:eastAsia="仿宋_GB2312" w:cs="仿宋_GB2312"/>
          <w:sz w:val="32"/>
          <w:szCs w:val="32"/>
          <w:lang w:eastAsia="zh-CN"/>
        </w:rPr>
        <w:t>本院</w:t>
      </w:r>
      <w:r>
        <w:rPr>
          <w:rFonts w:hint="eastAsia" w:ascii="仿宋_GB2312" w:hAnsi="仿宋_GB2312" w:eastAsia="仿宋_GB2312" w:cs="仿宋_GB2312"/>
          <w:sz w:val="32"/>
          <w:szCs w:val="32"/>
        </w:rPr>
        <w:t>的重要任务，着重从医疗核心制度落实，尤其是对门诊处方的管理。</w:t>
      </w:r>
      <w:r>
        <w:rPr>
          <w:rFonts w:hint="eastAsia" w:ascii="仿宋_GB2312" w:hAnsi="仿宋_GB2312" w:eastAsia="仿宋_GB2312" w:cs="仿宋_GB2312"/>
          <w:sz w:val="32"/>
          <w:szCs w:val="32"/>
        </w:rPr>
        <w:br w:type="textWrapping"/>
      </w:r>
      <w:r>
        <w:rPr>
          <w:rFonts w:hint="eastAsia" w:ascii="仿宋_GB2312" w:hAnsi="仿宋_GB2312" w:eastAsia="仿宋_GB2312" w:cs="仿宋_GB2312"/>
          <w:b/>
          <w:sz w:val="32"/>
          <w:szCs w:val="32"/>
        </w:rPr>
        <w:t>　</w:t>
      </w:r>
      <w:r>
        <w:rPr>
          <w:rFonts w:hint="eastAsia" w:ascii="仿宋_GB2312" w:hAnsi="仿宋_GB2312" w:eastAsia="仿宋_GB2312" w:cs="仿宋_GB2312"/>
          <w:sz w:val="32"/>
          <w:szCs w:val="32"/>
        </w:rPr>
        <w:t>　2、严抓管理，核心制度落到实处</w:t>
      </w:r>
      <w:r>
        <w:rPr>
          <w:rFonts w:hint="eastAsia" w:ascii="仿宋_GB2312" w:hAnsi="仿宋_GB2312" w:eastAsia="仿宋_GB2312" w:cs="仿宋_GB2312"/>
          <w:sz w:val="32"/>
          <w:szCs w:val="32"/>
        </w:rPr>
        <w:br w:type="textWrapping"/>
      </w:r>
      <w:r>
        <w:rPr>
          <w:rFonts w:hint="eastAsia" w:ascii="仿宋_GB2312" w:hAnsi="仿宋_GB2312" w:eastAsia="仿宋_GB2312" w:cs="仿宋_GB2312"/>
          <w:sz w:val="32"/>
          <w:szCs w:val="32"/>
        </w:rPr>
        <w:t>　　今年继续加大十三项核心制度的执行和落实力度，对</w:t>
      </w:r>
      <w:r>
        <w:rPr>
          <w:rFonts w:hint="eastAsia" w:ascii="仿宋_GB2312" w:hAnsi="仿宋_GB2312" w:eastAsia="仿宋_GB2312" w:cs="仿宋_GB2312"/>
          <w:sz w:val="32"/>
          <w:szCs w:val="32"/>
          <w:lang w:eastAsia="zh-CN"/>
        </w:rPr>
        <w:t>本院</w:t>
      </w:r>
      <w:r>
        <w:rPr>
          <w:rFonts w:hint="eastAsia" w:ascii="仿宋_GB2312" w:hAnsi="仿宋_GB2312" w:eastAsia="仿宋_GB2312" w:cs="仿宋_GB2312"/>
          <w:sz w:val="32"/>
          <w:szCs w:val="32"/>
        </w:rPr>
        <w:t>的实际情况有了更全面的了解，这使我们在加强制度落实的基础上更加人性化的管理。</w:t>
      </w:r>
      <w:r>
        <w:rPr>
          <w:rFonts w:hint="eastAsia" w:ascii="仿宋_GB2312" w:hAnsi="仿宋_GB2312" w:eastAsia="仿宋_GB2312" w:cs="仿宋_GB2312"/>
          <w:sz w:val="32"/>
          <w:szCs w:val="32"/>
        </w:rPr>
        <w:br w:type="textWrapping"/>
      </w:r>
      <w:r>
        <w:rPr>
          <w:rFonts w:hint="eastAsia" w:ascii="仿宋_GB2312" w:hAnsi="仿宋_GB2312" w:eastAsia="仿宋_GB2312" w:cs="仿宋_GB2312"/>
          <w:sz w:val="32"/>
          <w:szCs w:val="32"/>
        </w:rPr>
        <w:t>　　3、强化培训三基知识和临床技能操作</w:t>
      </w:r>
      <w:r>
        <w:rPr>
          <w:rFonts w:hint="eastAsia" w:ascii="仿宋_GB2312" w:hAnsi="仿宋_GB2312" w:eastAsia="仿宋_GB2312" w:cs="仿宋_GB2312"/>
          <w:sz w:val="32"/>
          <w:szCs w:val="32"/>
        </w:rPr>
        <w:br w:type="textWrapping"/>
      </w:r>
      <w:r>
        <w:rPr>
          <w:rFonts w:hint="eastAsia" w:ascii="仿宋_GB2312" w:hAnsi="仿宋_GB2312" w:eastAsia="仿宋_GB2312" w:cs="仿宋_GB2312"/>
          <w:sz w:val="32"/>
          <w:szCs w:val="32"/>
        </w:rPr>
        <w:t>　　加强对青年医生三基理论和临床技能操作水平面的提升。根据本</w:t>
      </w:r>
      <w:r>
        <w:rPr>
          <w:rFonts w:hint="eastAsia" w:ascii="仿宋_GB2312" w:hAnsi="仿宋_GB2312" w:eastAsia="仿宋_GB2312" w:cs="仿宋_GB2312"/>
          <w:sz w:val="32"/>
          <w:szCs w:val="32"/>
          <w:lang w:eastAsia="zh-CN"/>
        </w:rPr>
        <w:t>乡</w:t>
      </w:r>
      <w:r>
        <w:rPr>
          <w:rFonts w:hint="eastAsia" w:ascii="仿宋_GB2312" w:hAnsi="仿宋_GB2312" w:eastAsia="仿宋_GB2312" w:cs="仿宋_GB2312"/>
          <w:sz w:val="32"/>
          <w:szCs w:val="32"/>
        </w:rPr>
        <w:t>工作特点和常见疾病，制定业务学习计划，提高临</w:t>
      </w:r>
      <w:r>
        <w:rPr>
          <w:rFonts w:hint="eastAsia" w:ascii="仿宋_GB2312" w:hAnsi="仿宋_GB2312" w:eastAsia="仿宋_GB2312" w:cs="仿宋_GB2312"/>
          <w:sz w:val="32"/>
          <w:szCs w:val="32"/>
          <w:lang w:eastAsia="zh-CN"/>
        </w:rPr>
        <w:t>床医生</w:t>
      </w:r>
      <w:r>
        <w:rPr>
          <w:rFonts w:hint="eastAsia" w:ascii="仿宋_GB2312" w:hAnsi="仿宋_GB2312" w:eastAsia="仿宋_GB2312" w:cs="仿宋_GB2312"/>
          <w:sz w:val="32"/>
          <w:szCs w:val="32"/>
        </w:rPr>
        <w:t>急救技能。通过培训考核，进一步提高了我院医务人员理论和操作水平，推动了医疗临床、急救工作的规范化进程。</w:t>
      </w:r>
      <w:r>
        <w:rPr>
          <w:rFonts w:hint="eastAsia" w:ascii="仿宋_GB2312" w:hAnsi="仿宋_GB2312" w:eastAsia="仿宋_GB2312" w:cs="仿宋_GB2312"/>
          <w:sz w:val="32"/>
          <w:szCs w:val="32"/>
        </w:rPr>
        <w:br w:type="textWrapping"/>
      </w:r>
      <w:r>
        <w:rPr>
          <w:rFonts w:hint="eastAsia" w:ascii="仿宋_GB2312" w:hAnsi="仿宋_GB2312" w:eastAsia="仿宋_GB2312" w:cs="仿宋_GB2312"/>
          <w:sz w:val="32"/>
          <w:szCs w:val="32"/>
        </w:rPr>
        <w:t>　　4、加强抗菌药物合理使用的管理</w:t>
      </w:r>
      <w:r>
        <w:rPr>
          <w:rFonts w:hint="eastAsia" w:ascii="仿宋_GB2312" w:hAnsi="仿宋_GB2312" w:eastAsia="仿宋_GB2312" w:cs="仿宋_GB2312"/>
          <w:sz w:val="32"/>
          <w:szCs w:val="32"/>
        </w:rPr>
        <w:br w:type="textWrapping"/>
      </w:r>
      <w:r>
        <w:rPr>
          <w:rFonts w:hint="eastAsia" w:ascii="仿宋_GB2312" w:hAnsi="仿宋_GB2312" w:eastAsia="仿宋_GB2312" w:cs="仿宋_GB2312"/>
          <w:sz w:val="32"/>
          <w:szCs w:val="32"/>
        </w:rPr>
        <w:t>　　我院加强对抗菌药物遴选、采购、处方、调剂、临床应用和药物评价的管理。临床医生优先选用《国家基本药物目录》收录的抗菌素药物品种。加强对基本药物的管理及使用，规范门诊医师的处方。</w:t>
      </w:r>
    </w:p>
    <w:p w14:paraId="4A88411D">
      <w:pPr>
        <w:spacing w:line="5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5、加强护理管理</w:t>
      </w:r>
    </w:p>
    <w:p w14:paraId="2F861184">
      <w:pPr>
        <w:spacing w:line="5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提高护理人员的素质，加强护士培训，提高服务，强化责任。加强医疗废物的管理，落实责任，强化医疗废物的专人专管制度。</w:t>
      </w:r>
    </w:p>
    <w:p w14:paraId="1146ADEE">
      <w:pPr>
        <w:spacing w:line="5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6、加强药房管理</w:t>
      </w:r>
    </w:p>
    <w:p w14:paraId="55B28ACA">
      <w:pPr>
        <w:spacing w:line="500" w:lineRule="exact"/>
        <w:ind w:firstLine="640" w:firstLineChars="200"/>
        <w:rPr>
          <w:rFonts w:hint="eastAsia" w:ascii="仿宋_GB2312" w:hAnsi="仿宋_GB2312" w:eastAsia="仿宋_GB2312" w:cs="仿宋_GB2312"/>
          <w:b/>
          <w:bCs/>
          <w:color w:val="000000"/>
          <w:kern w:val="0"/>
          <w:sz w:val="32"/>
          <w:szCs w:val="32"/>
        </w:rPr>
      </w:pPr>
      <w:r>
        <w:rPr>
          <w:rFonts w:hint="eastAsia" w:ascii="仿宋_GB2312" w:hAnsi="仿宋_GB2312" w:eastAsia="仿宋_GB2312" w:cs="仿宋_GB2312"/>
          <w:sz w:val="32"/>
          <w:szCs w:val="32"/>
        </w:rPr>
        <w:t>全面推进基药的使用，建立好购销药物的台账，积极做好药物的维护，全年度未出现过期药品，加强乡村医师基本药物的购销，推进了基本药物的实施。</w:t>
      </w:r>
    </w:p>
    <w:p w14:paraId="3154EC36">
      <w:pPr>
        <w:ind w:firstLine="643" w:firstLineChars="200"/>
        <w:jc w:val="left"/>
        <w:rPr>
          <w:rFonts w:hint="eastAsia" w:ascii="仿宋_GB2312" w:hAnsi="仿宋_GB2312" w:eastAsia="仿宋_GB2312" w:cs="仿宋_GB2312"/>
          <w:b/>
          <w:bCs/>
          <w:color w:val="000000"/>
          <w:kern w:val="0"/>
          <w:sz w:val="32"/>
          <w:szCs w:val="32"/>
        </w:rPr>
      </w:pPr>
      <w:r>
        <w:rPr>
          <w:rFonts w:hint="eastAsia" w:ascii="仿宋_GB2312" w:hAnsi="仿宋_GB2312" w:eastAsia="仿宋_GB2312" w:cs="仿宋_GB2312"/>
          <w:b/>
          <w:bCs/>
          <w:color w:val="000000"/>
          <w:kern w:val="0"/>
          <w:sz w:val="32"/>
          <w:szCs w:val="32"/>
        </w:rPr>
        <w:t>(三)</w:t>
      </w:r>
      <w:r>
        <w:rPr>
          <w:rFonts w:hint="eastAsia" w:ascii="仿宋_GB2312" w:hAnsi="仿宋_GB2312" w:eastAsia="仿宋_GB2312" w:cs="仿宋_GB2312"/>
          <w:b/>
          <w:bCs/>
          <w:sz w:val="32"/>
          <w:szCs w:val="32"/>
        </w:rPr>
        <w:t>落实国家基本公卫服务。</w:t>
      </w:r>
    </w:p>
    <w:p w14:paraId="56162D1D">
      <w:pPr>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1.犁头户籍人口3158人，常</w:t>
      </w:r>
      <w:r>
        <w:rPr>
          <w:rFonts w:hint="eastAsia" w:ascii="仿宋_GB2312" w:hAnsi="仿宋_GB2312" w:eastAsia="仿宋_GB2312" w:cs="仿宋_GB2312"/>
          <w:sz w:val="32"/>
          <w:szCs w:val="32"/>
          <w:lang w:eastAsia="zh-CN"/>
        </w:rPr>
        <w:t>住</w:t>
      </w:r>
      <w:r>
        <w:rPr>
          <w:rFonts w:hint="eastAsia" w:ascii="仿宋_GB2312" w:hAnsi="仿宋_GB2312" w:eastAsia="仿宋_GB2312" w:cs="仿宋_GB2312"/>
          <w:sz w:val="32"/>
          <w:szCs w:val="32"/>
        </w:rPr>
        <w:t xml:space="preserve">人口2395人，建立规范健康档案2913人份，处理3.0系统待核实、纠错或投诉健康档案，共清理重复或不规范档案  </w:t>
      </w:r>
      <w:r>
        <w:rPr>
          <w:rFonts w:hint="eastAsia" w:ascii="仿宋_GB2312" w:hAnsi="仿宋_GB2312" w:eastAsia="仿宋_GB2312" w:cs="仿宋_GB2312"/>
          <w:sz w:val="32"/>
          <w:szCs w:val="32"/>
          <w:lang w:val="en-US" w:eastAsia="zh-CN"/>
        </w:rPr>
        <w:t>300余</w:t>
      </w:r>
      <w:r>
        <w:rPr>
          <w:rFonts w:hint="eastAsia" w:ascii="仿宋_GB2312" w:hAnsi="仿宋_GB2312" w:eastAsia="仿宋_GB2312" w:cs="仿宋_GB2312"/>
          <w:sz w:val="32"/>
          <w:szCs w:val="32"/>
        </w:rPr>
        <w:t>人份，健康档案开放进度达到相关要求。2.老年人健康管理：建立老年人专项卡共288人，为辖区65岁及以上老年人以及慢病管理的对象进行了一年一度的免费健康体检，207的体检任务数，我院当前共完成218人，体检率达75.69%，自主体检不断推进当中。3.高血压患者管理人数178人，</w:t>
      </w:r>
      <w:r>
        <w:rPr>
          <w:rFonts w:hint="eastAsia" w:ascii="仿宋_GB2312" w:hAnsi="仿宋_GB2312" w:eastAsia="仿宋_GB2312" w:cs="仿宋_GB2312"/>
          <w:color w:val="000000"/>
          <w:sz w:val="32"/>
          <w:szCs w:val="32"/>
        </w:rPr>
        <w:t>开展35岁及以上居民首诊测血压；居民诊疗过程测血压；健康体检测血压；和健康档案建立过程中询问等方式发现高血压患者。</w:t>
      </w:r>
      <w:r>
        <w:rPr>
          <w:rFonts w:hint="eastAsia" w:ascii="仿宋_GB2312" w:hAnsi="仿宋_GB2312" w:eastAsia="仿宋_GB2312" w:cs="仿宋_GB2312"/>
          <w:sz w:val="32"/>
          <w:szCs w:val="32"/>
        </w:rPr>
        <w:t>已完成任务数，比往年新增46人，截止11月份管理规范率达93.82%。4.糖尿病患者管理：DPCC标准化门诊建设，共筛查35岁以上人群共648人，完成率达100%,糖尿病管理人数51人，比往年新增21人，截止11月份管理规范率达90%。</w:t>
      </w:r>
      <w:r>
        <w:rPr>
          <w:rFonts w:hint="eastAsia" w:ascii="仿宋_GB2312" w:hAnsi="仿宋_GB2312" w:eastAsia="仿宋_GB2312" w:cs="仿宋_GB2312"/>
          <w:color w:val="000000"/>
          <w:sz w:val="32"/>
          <w:szCs w:val="32"/>
        </w:rPr>
        <w:t>对确诊的2型糖尿病患者进行登记管理，并提供面对面随访，每次随访要询问病情、进行</w:t>
      </w:r>
      <w:r>
        <w:rPr>
          <w:rFonts w:hint="eastAsia" w:ascii="仿宋_GB2312" w:hAnsi="仿宋_GB2312" w:eastAsia="仿宋_GB2312" w:cs="仿宋_GB2312"/>
          <w:color w:val="000000"/>
          <w:sz w:val="32"/>
          <w:szCs w:val="32"/>
          <w:lang w:eastAsia="zh-CN"/>
        </w:rPr>
        <w:t>糖化血红蛋白和血酮</w:t>
      </w:r>
      <w:r>
        <w:rPr>
          <w:rFonts w:hint="eastAsia" w:ascii="仿宋_GB2312" w:hAnsi="仿宋_GB2312" w:eastAsia="仿宋_GB2312" w:cs="仿宋_GB2312"/>
          <w:color w:val="000000"/>
          <w:sz w:val="32"/>
          <w:szCs w:val="32"/>
        </w:rPr>
        <w:t>等检查，对用药、饮食、运动、心理等提供健康指导。</w:t>
      </w:r>
      <w:r>
        <w:rPr>
          <w:rFonts w:hint="eastAsia" w:ascii="仿宋_GB2312" w:hAnsi="仿宋_GB2312" w:eastAsia="仿宋_GB2312" w:cs="仿宋_GB2312"/>
          <w:sz w:val="32"/>
          <w:szCs w:val="32"/>
        </w:rPr>
        <w:t>5.预防接种：</w:t>
      </w:r>
      <w:r>
        <w:rPr>
          <w:rFonts w:hint="eastAsia" w:ascii="仿宋_GB2312" w:hAnsi="仿宋_GB2312" w:eastAsia="仿宋_GB2312" w:cs="仿宋_GB2312"/>
          <w:color w:val="000000"/>
          <w:sz w:val="32"/>
          <w:szCs w:val="32"/>
        </w:rPr>
        <w:t>共完成10次常规冷链运转，建卡及时率100%。在基础疫苗接种过程中同时还开展疫苗查漏补种工作。同时在接种前还进行了疫苗接种前告知工作，及时进行预防接种AEFI检测和报告。接种过程中严格按照疫苗流通和接种规程并完善各项安全注射制度并上墙，严格执行预防接种的“三查”、“七对”，全年无接种差错及接种事故发生。6.孕产妇保健:辖区产妇总数16人，活产数16 人，孕妇建卡 22 人，建卡率100%；7.重性精神病患者管理：辖区重性精神病人建档18人，规范管理18人，服药率100</w:t>
      </w:r>
      <w:r>
        <w:rPr>
          <w:rFonts w:hint="eastAsia" w:ascii="仿宋_GB2312" w:hAnsi="仿宋_GB2312" w:eastAsia="仿宋_GB2312" w:cs="仿宋_GB2312"/>
          <w:sz w:val="32"/>
          <w:szCs w:val="32"/>
        </w:rPr>
        <w:t xml:space="preserve"> </w:t>
      </w:r>
      <w:r>
        <w:rPr>
          <w:rFonts w:hint="eastAsia" w:ascii="仿宋_GB2312" w:hAnsi="仿宋_GB2312" w:eastAsia="仿宋_GB2312" w:cs="仿宋_GB2312"/>
          <w:color w:val="000000"/>
          <w:sz w:val="32"/>
          <w:szCs w:val="32"/>
        </w:rPr>
        <w:t>%</w:t>
      </w:r>
      <w:r>
        <w:rPr>
          <w:rFonts w:hint="eastAsia" w:ascii="仿宋_GB2312" w:hAnsi="仿宋_GB2312" w:eastAsia="仿宋_GB2312" w:cs="仿宋_GB2312"/>
          <w:sz w:val="32"/>
          <w:szCs w:val="32"/>
        </w:rPr>
        <w:t xml:space="preserve"> ，随访率100</w:t>
      </w:r>
      <w:r>
        <w:rPr>
          <w:rFonts w:hint="eastAsia" w:ascii="仿宋_GB2312" w:hAnsi="仿宋_GB2312" w:eastAsia="仿宋_GB2312" w:cs="仿宋_GB2312"/>
          <w:color w:val="000000"/>
          <w:sz w:val="32"/>
          <w:szCs w:val="32"/>
        </w:rPr>
        <w:t>%。8. 结核病患者管理：辖区内共有结核病人1名，各项指标都能达到上级的要求，进学校进行对象抽样检查15人，并对辖区内65岁以上及糖尿病患者筛查30人，从而进一步规范了本辖区结核病的管理工作。9.</w:t>
      </w:r>
      <w:r>
        <w:rPr>
          <w:rFonts w:hint="eastAsia" w:ascii="仿宋_GB2312" w:hAnsi="仿宋_GB2312" w:eastAsia="仿宋_GB2312" w:cs="仿宋_GB2312"/>
          <w:kern w:val="0"/>
          <w:sz w:val="32"/>
          <w:szCs w:val="32"/>
        </w:rPr>
        <w:t>中医药健康管理：65岁以上老年人中医体质辨别218人。10.传染病和突发公共卫生事件报告和处理，本年度</w:t>
      </w:r>
      <w:r>
        <w:rPr>
          <w:rFonts w:hint="eastAsia" w:ascii="仿宋_GB2312" w:hAnsi="仿宋_GB2312" w:eastAsia="仿宋_GB2312" w:cs="仿宋_GB2312"/>
          <w:color w:val="000000"/>
          <w:sz w:val="32"/>
          <w:szCs w:val="32"/>
        </w:rPr>
        <w:t>辖区未发生公共突发卫生事件，在传染病的防控方面，严格按上级要求进行。11.</w:t>
      </w:r>
      <w:r>
        <w:rPr>
          <w:rFonts w:hint="eastAsia" w:ascii="仿宋_GB2312" w:hAnsi="仿宋_GB2312" w:eastAsia="仿宋_GB2312" w:cs="仿宋_GB2312"/>
          <w:kern w:val="0"/>
          <w:sz w:val="32"/>
          <w:szCs w:val="32"/>
        </w:rPr>
        <w:t>卫生监督协管：</w:t>
      </w:r>
      <w:r>
        <w:rPr>
          <w:rFonts w:hint="eastAsia" w:ascii="仿宋_GB2312" w:hAnsi="仿宋_GB2312" w:eastAsia="仿宋_GB2312" w:cs="仿宋_GB2312"/>
          <w:color w:val="000000"/>
          <w:sz w:val="32"/>
          <w:szCs w:val="32"/>
        </w:rPr>
        <w:t>对公共场所、供水站、学校、卫生站等重点实施了监督检查，共监督检查1个学校，2个村卫生室 2家供水站，对检查中发现部分问题，根据规定对其下达卫生监督意见书，责令其限期整改。12.</w:t>
      </w:r>
      <w:r>
        <w:rPr>
          <w:rFonts w:hint="eastAsia" w:ascii="仿宋_GB2312" w:hAnsi="仿宋_GB2312" w:eastAsia="仿宋_GB2312" w:cs="仿宋_GB2312"/>
          <w:sz w:val="32"/>
          <w:szCs w:val="32"/>
        </w:rPr>
        <w:t xml:space="preserve">家庭医生签约服务：完成了家庭医生签约服务人数 </w:t>
      </w:r>
      <w:r>
        <w:rPr>
          <w:rFonts w:hint="eastAsia" w:ascii="仿宋_GB2312" w:hAnsi="仿宋_GB2312" w:eastAsia="仿宋_GB2312" w:cs="仿宋_GB2312"/>
          <w:sz w:val="32"/>
          <w:szCs w:val="32"/>
          <w:lang w:val="en-US" w:eastAsia="zh-CN"/>
        </w:rPr>
        <w:t>2915</w:t>
      </w:r>
      <w:r>
        <w:rPr>
          <w:rFonts w:hint="eastAsia" w:ascii="仿宋_GB2312" w:hAnsi="仿宋_GB2312" w:eastAsia="仿宋_GB2312" w:cs="仿宋_GB2312"/>
          <w:sz w:val="32"/>
          <w:szCs w:val="32"/>
        </w:rPr>
        <w:t>人，高血压</w:t>
      </w:r>
      <w:r>
        <w:rPr>
          <w:rFonts w:hint="eastAsia" w:ascii="仿宋_GB2312" w:hAnsi="仿宋_GB2312" w:eastAsia="仿宋_GB2312" w:cs="仿宋_GB2312"/>
          <w:sz w:val="32"/>
          <w:szCs w:val="32"/>
          <w:lang w:val="en-US" w:eastAsia="zh-CN"/>
        </w:rPr>
        <w:t>178</w:t>
      </w:r>
      <w:r>
        <w:rPr>
          <w:rFonts w:hint="eastAsia" w:ascii="仿宋_GB2312" w:hAnsi="仿宋_GB2312" w:eastAsia="仿宋_GB2312" w:cs="仿宋_GB2312"/>
          <w:sz w:val="32"/>
          <w:szCs w:val="32"/>
        </w:rPr>
        <w:t>人，糖尿病</w:t>
      </w:r>
      <w:r>
        <w:rPr>
          <w:rFonts w:hint="eastAsia" w:ascii="仿宋_GB2312" w:hAnsi="仿宋_GB2312" w:eastAsia="仿宋_GB2312" w:cs="仿宋_GB2312"/>
          <w:sz w:val="32"/>
          <w:szCs w:val="32"/>
          <w:lang w:val="en-US" w:eastAsia="zh-CN"/>
        </w:rPr>
        <w:t>51</w:t>
      </w:r>
      <w:r>
        <w:rPr>
          <w:rFonts w:hint="eastAsia" w:ascii="仿宋_GB2312" w:hAnsi="仿宋_GB2312" w:eastAsia="仿宋_GB2312" w:cs="仿宋_GB2312"/>
          <w:sz w:val="32"/>
          <w:szCs w:val="32"/>
        </w:rPr>
        <w:t>人，孕产妇</w:t>
      </w:r>
      <w:r>
        <w:rPr>
          <w:rFonts w:hint="eastAsia" w:ascii="仿宋_GB2312" w:hAnsi="仿宋_GB2312" w:eastAsia="仿宋_GB2312" w:cs="仿宋_GB2312"/>
          <w:sz w:val="32"/>
          <w:szCs w:val="32"/>
          <w:lang w:val="en-US" w:eastAsia="zh-CN"/>
        </w:rPr>
        <w:t>16</w:t>
      </w:r>
      <w:r>
        <w:rPr>
          <w:rFonts w:hint="eastAsia" w:ascii="仿宋_GB2312" w:hAnsi="仿宋_GB2312" w:eastAsia="仿宋_GB2312" w:cs="仿宋_GB2312"/>
          <w:sz w:val="32"/>
          <w:szCs w:val="32"/>
        </w:rPr>
        <w:t>人，精神病</w:t>
      </w:r>
      <w:r>
        <w:rPr>
          <w:rFonts w:hint="eastAsia" w:ascii="仿宋_GB2312" w:hAnsi="仿宋_GB2312" w:eastAsia="仿宋_GB2312" w:cs="仿宋_GB2312"/>
          <w:sz w:val="32"/>
          <w:szCs w:val="32"/>
          <w:lang w:val="en-US" w:eastAsia="zh-CN"/>
        </w:rPr>
        <w:t>18</w:t>
      </w:r>
      <w:r>
        <w:rPr>
          <w:rFonts w:hint="eastAsia" w:ascii="仿宋_GB2312" w:hAnsi="仿宋_GB2312" w:eastAsia="仿宋_GB2312" w:cs="仿宋_GB2312"/>
          <w:sz w:val="32"/>
          <w:szCs w:val="32"/>
        </w:rPr>
        <w:t>人，老年人</w:t>
      </w:r>
      <w:r>
        <w:rPr>
          <w:rFonts w:hint="eastAsia" w:ascii="仿宋_GB2312" w:hAnsi="仿宋_GB2312" w:eastAsia="仿宋_GB2312" w:cs="仿宋_GB2312"/>
          <w:sz w:val="32"/>
          <w:szCs w:val="32"/>
          <w:lang w:val="en-US" w:eastAsia="zh-CN"/>
        </w:rPr>
        <w:t>288</w:t>
      </w:r>
      <w:r>
        <w:rPr>
          <w:rFonts w:hint="eastAsia" w:ascii="仿宋_GB2312" w:hAnsi="仿宋_GB2312" w:eastAsia="仿宋_GB2312" w:cs="仿宋_GB2312"/>
          <w:sz w:val="32"/>
          <w:szCs w:val="32"/>
        </w:rPr>
        <w:t>人，结核病</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人，其中</w:t>
      </w:r>
      <w:r>
        <w:rPr>
          <w:rFonts w:hint="eastAsia" w:ascii="仿宋_GB2312" w:hAnsi="仿宋_GB2312" w:eastAsia="仿宋_GB2312" w:cs="仿宋_GB2312"/>
          <w:sz w:val="32"/>
          <w:szCs w:val="32"/>
          <w:lang w:eastAsia="zh-CN"/>
        </w:rPr>
        <w:t>脱贫</w:t>
      </w:r>
      <w:r>
        <w:rPr>
          <w:rFonts w:hint="eastAsia" w:ascii="仿宋_GB2312" w:hAnsi="仿宋_GB2312" w:eastAsia="仿宋_GB2312" w:cs="仿宋_GB2312"/>
          <w:sz w:val="32"/>
          <w:szCs w:val="32"/>
        </w:rPr>
        <w:t>户</w:t>
      </w:r>
      <w:r>
        <w:rPr>
          <w:rFonts w:hint="eastAsia" w:ascii="仿宋_GB2312" w:hAnsi="仿宋_GB2312" w:eastAsia="仿宋_GB2312" w:cs="仿宋_GB2312"/>
          <w:sz w:val="32"/>
          <w:szCs w:val="32"/>
          <w:lang w:eastAsia="zh-CN"/>
        </w:rPr>
        <w:t>监测户</w:t>
      </w:r>
      <w:r>
        <w:rPr>
          <w:rFonts w:hint="eastAsia" w:ascii="仿宋_GB2312" w:hAnsi="仿宋_GB2312" w:eastAsia="仿宋_GB2312" w:cs="仿宋_GB2312"/>
          <w:sz w:val="32"/>
          <w:szCs w:val="32"/>
        </w:rPr>
        <w:t>中的签约数是</w:t>
      </w:r>
      <w:r>
        <w:rPr>
          <w:rFonts w:hint="eastAsia" w:ascii="仿宋_GB2312" w:hAnsi="仿宋_GB2312" w:eastAsia="仿宋_GB2312" w:cs="仿宋_GB2312"/>
          <w:sz w:val="32"/>
          <w:szCs w:val="32"/>
          <w:lang w:val="en-US" w:eastAsia="zh-CN"/>
        </w:rPr>
        <w:t>1001</w:t>
      </w:r>
      <w:r>
        <w:rPr>
          <w:rFonts w:hint="eastAsia" w:ascii="仿宋_GB2312" w:hAnsi="仿宋_GB2312" w:eastAsia="仿宋_GB2312" w:cs="仿宋_GB2312"/>
          <w:sz w:val="32"/>
          <w:szCs w:val="32"/>
        </w:rPr>
        <w:t>人，有</w:t>
      </w:r>
      <w:r>
        <w:rPr>
          <w:rFonts w:hint="eastAsia" w:ascii="仿宋_GB2312" w:hAnsi="仿宋_GB2312" w:eastAsia="仿宋_GB2312" w:cs="仿宋_GB2312"/>
          <w:sz w:val="32"/>
          <w:szCs w:val="32"/>
          <w:lang w:val="en-US" w:eastAsia="zh-CN"/>
        </w:rPr>
        <w:t>214</w:t>
      </w:r>
      <w:r>
        <w:rPr>
          <w:rFonts w:hint="eastAsia" w:ascii="仿宋_GB2312" w:hAnsi="仿宋_GB2312" w:eastAsia="仿宋_GB2312" w:cs="仿宋_GB2312"/>
          <w:sz w:val="32"/>
          <w:szCs w:val="32"/>
        </w:rPr>
        <w:t>户，高血压</w:t>
      </w:r>
      <w:r>
        <w:rPr>
          <w:rFonts w:hint="eastAsia" w:ascii="仿宋_GB2312" w:hAnsi="仿宋_GB2312" w:eastAsia="仿宋_GB2312" w:cs="仿宋_GB2312"/>
          <w:sz w:val="32"/>
          <w:szCs w:val="32"/>
          <w:lang w:val="en-US" w:eastAsia="zh-CN"/>
        </w:rPr>
        <w:t>75</w:t>
      </w:r>
      <w:r>
        <w:rPr>
          <w:rFonts w:hint="eastAsia" w:ascii="仿宋_GB2312" w:hAnsi="仿宋_GB2312" w:eastAsia="仿宋_GB2312" w:cs="仿宋_GB2312"/>
          <w:sz w:val="32"/>
          <w:szCs w:val="32"/>
        </w:rPr>
        <w:t>，糖尿病2</w:t>
      </w:r>
      <w:r>
        <w:rPr>
          <w:rFonts w:hint="eastAsia" w:ascii="仿宋_GB2312" w:hAnsi="仿宋_GB2312" w:eastAsia="仿宋_GB2312" w:cs="仿宋_GB2312"/>
          <w:sz w:val="32"/>
          <w:szCs w:val="32"/>
          <w:lang w:val="en-US" w:eastAsia="zh-CN"/>
        </w:rPr>
        <w:t>7</w:t>
      </w:r>
      <w:r>
        <w:rPr>
          <w:rFonts w:hint="eastAsia" w:ascii="仿宋_GB2312" w:hAnsi="仿宋_GB2312" w:eastAsia="仿宋_GB2312" w:cs="仿宋_GB2312"/>
          <w:sz w:val="32"/>
          <w:szCs w:val="32"/>
        </w:rPr>
        <w:t>人</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精神病</w:t>
      </w:r>
      <w:r>
        <w:rPr>
          <w:rFonts w:hint="eastAsia" w:ascii="仿宋_GB2312" w:hAnsi="仿宋_GB2312" w:eastAsia="仿宋_GB2312" w:cs="仿宋_GB2312"/>
          <w:sz w:val="32"/>
          <w:szCs w:val="32"/>
          <w:lang w:val="en-US" w:eastAsia="zh-CN"/>
        </w:rPr>
        <w:t>14</w:t>
      </w:r>
      <w:r>
        <w:rPr>
          <w:rFonts w:hint="eastAsia" w:ascii="仿宋_GB2312" w:hAnsi="仿宋_GB2312" w:eastAsia="仿宋_GB2312" w:cs="仿宋_GB2312"/>
          <w:sz w:val="32"/>
          <w:szCs w:val="32"/>
        </w:rPr>
        <w:t>人，结核病1人。13.乡村振兴健康帮扶工作情况：脱贫户214户，100%完成签约，按上级要求建立脱贫户和监测户台账及慢病随访台账，督促辖区内村卫生室做好环境卫生。湖南省健康扶贫信息管理系统签约率完成100%。组建家庭责任医师并与贫困人口实行签约服务。15.村卫生医保刷卡，截止11月落实村卫生刷卡共1</w:t>
      </w:r>
      <w:r>
        <w:rPr>
          <w:rFonts w:hint="eastAsia" w:ascii="仿宋_GB2312" w:hAnsi="仿宋_GB2312" w:eastAsia="仿宋_GB2312" w:cs="仿宋_GB2312"/>
          <w:sz w:val="32"/>
          <w:szCs w:val="32"/>
          <w:lang w:val="en-US" w:eastAsia="zh-CN"/>
        </w:rPr>
        <w:t>04</w:t>
      </w:r>
      <w:r>
        <w:rPr>
          <w:rFonts w:hint="eastAsia" w:ascii="仿宋_GB2312" w:hAnsi="仿宋_GB2312" w:eastAsia="仿宋_GB2312" w:cs="仿宋_GB2312"/>
          <w:sz w:val="32"/>
          <w:szCs w:val="32"/>
        </w:rPr>
        <w:t>人</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16.落实医保“两病门诊”支付政策。由于本乡地理位置特殊，有两个行政村在竹市隔壁，居住零散，为了更好的服务慢病管理对象，只能开展送药上门指导，</w:t>
      </w:r>
      <w:r>
        <w:rPr>
          <w:rFonts w:hint="eastAsia" w:ascii="仿宋_GB2312" w:hAnsi="仿宋_GB2312" w:eastAsia="仿宋_GB2312" w:cs="仿宋_GB2312"/>
          <w:sz w:val="32"/>
          <w:szCs w:val="32"/>
        </w:rPr>
        <w:t xml:space="preserve">100%完成了既定两病门诊任务 </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两病慢性病患者用药有了保障，更能促进和接受不间断的药物治疗，增强慢病患者药物治疗的依从性，使各项指标均能得到良好的控制</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sz w:val="32"/>
          <w:szCs w:val="32"/>
        </w:rPr>
        <w:t xml:space="preserve"> </w:t>
      </w:r>
    </w:p>
    <w:p w14:paraId="717BE875">
      <w:pPr>
        <w:jc w:val="left"/>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lang w:eastAsia="zh-CN"/>
        </w:rPr>
        <w:t>四、</w:t>
      </w:r>
      <w:r>
        <w:rPr>
          <w:rFonts w:hint="eastAsia" w:ascii="仿宋_GB2312" w:hAnsi="仿宋_GB2312" w:eastAsia="仿宋_GB2312" w:cs="仿宋_GB2312"/>
          <w:b/>
          <w:bCs/>
          <w:sz w:val="32"/>
          <w:szCs w:val="32"/>
        </w:rPr>
        <w:t>存在的问题</w:t>
      </w:r>
    </w:p>
    <w:p w14:paraId="6806F5FB">
      <w:pPr>
        <w:ind w:left="560"/>
        <w:jc w:val="left"/>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1、医院整体布局欠佳，</w:t>
      </w:r>
      <w:r>
        <w:rPr>
          <w:rFonts w:hint="eastAsia" w:ascii="仿宋_GB2312" w:hAnsi="仿宋_GB2312" w:eastAsia="仿宋_GB2312" w:cs="仿宋_GB2312"/>
          <w:sz w:val="32"/>
          <w:szCs w:val="32"/>
          <w:lang w:val="en-US" w:eastAsia="zh-CN"/>
        </w:rPr>
        <w:t>6S 精细化管理未启动（准备12月份启动6S管理）</w:t>
      </w:r>
    </w:p>
    <w:p w14:paraId="50D9EAAA">
      <w:pPr>
        <w:ind w:left="559" w:leftChars="266" w:firstLine="0" w:firstLineChars="0"/>
        <w:jc w:val="left"/>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2</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基础设施欠缺，配套设施不完善，犁头医疗收入有限</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资金周转还是非常困难。</w:t>
      </w:r>
    </w:p>
    <w:p w14:paraId="5999998C">
      <w:pPr>
        <w:numPr>
          <w:ilvl w:val="0"/>
          <w:numId w:val="0"/>
        </w:numPr>
        <w:tabs>
          <w:tab w:val="center" w:pos="4490"/>
        </w:tabs>
        <w:jc w:val="left"/>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eastAsia="zh-CN"/>
        </w:rPr>
        <w:t>五、下一年度</w:t>
      </w:r>
      <w:r>
        <w:rPr>
          <w:rFonts w:hint="eastAsia" w:ascii="仿宋_GB2312" w:hAnsi="仿宋_GB2312" w:eastAsia="仿宋_GB2312" w:cs="仿宋_GB2312"/>
          <w:b/>
          <w:bCs/>
          <w:sz w:val="32"/>
          <w:szCs w:val="32"/>
        </w:rPr>
        <w:t>年度工作初步设想</w:t>
      </w:r>
      <w:r>
        <w:rPr>
          <w:rFonts w:hint="eastAsia" w:ascii="仿宋_GB2312" w:hAnsi="仿宋_GB2312" w:eastAsia="仿宋_GB2312" w:cs="仿宋_GB2312"/>
          <w:b/>
          <w:bCs/>
          <w:sz w:val="32"/>
          <w:szCs w:val="32"/>
          <w:lang w:eastAsia="zh-CN"/>
        </w:rPr>
        <w:tab/>
      </w:r>
    </w:p>
    <w:p w14:paraId="7502E83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加强院内医疗服务管理，进一步提高医疗质量</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积极推进中医</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药管理，进一步提高中医药服务水平。继续加强公共卫生服务，落实各项工作目标，按照时间节点完成各项工作任务</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积极深化医疗体制改革，</w:t>
      </w:r>
      <w:r>
        <w:rPr>
          <w:rFonts w:hint="eastAsia" w:ascii="仿宋_GB2312" w:hAnsi="仿宋_GB2312" w:eastAsia="仿宋_GB2312" w:cs="仿宋_GB2312"/>
          <w:sz w:val="32"/>
          <w:szCs w:val="32"/>
        </w:rPr>
        <w:t>加强基层基础医疗建设，落实医改既定目标，更好服务犁头群众</w:t>
      </w:r>
      <w:r>
        <w:rPr>
          <w:rFonts w:hint="eastAsia" w:ascii="仿宋_GB2312" w:hAnsi="仿宋_GB2312" w:eastAsia="仿宋_GB2312" w:cs="仿宋_GB2312"/>
          <w:sz w:val="32"/>
          <w:szCs w:val="32"/>
          <w:lang w:eastAsia="zh-CN"/>
        </w:rPr>
        <w:t>。</w:t>
      </w:r>
    </w:p>
    <w:p w14:paraId="5234ED39">
      <w:pPr>
        <w:numPr>
          <w:ilvl w:val="0"/>
          <w:numId w:val="0"/>
        </w:numPr>
        <w:spacing w:line="480" w:lineRule="auto"/>
        <w:ind w:left="5867" w:leftChars="2794" w:firstLine="0" w:firstLineChars="0"/>
        <w:jc w:val="left"/>
        <w:rPr>
          <w:rFonts w:hint="eastAsia" w:ascii="仿宋_GB2312" w:hAnsi="仿宋_GB2312" w:eastAsia="仿宋_GB2312" w:cs="仿宋_GB2312"/>
          <w:sz w:val="32"/>
          <w:szCs w:val="32"/>
        </w:rPr>
      </w:pPr>
    </w:p>
    <w:p w14:paraId="7C4299EF">
      <w:pPr>
        <w:numPr>
          <w:ilvl w:val="0"/>
          <w:numId w:val="0"/>
        </w:numPr>
        <w:spacing w:line="480" w:lineRule="auto"/>
        <w:jc w:val="right"/>
        <w:rPr>
          <w:rFonts w:hint="eastAsia" w:ascii="仿宋" w:hAnsi="仿宋" w:eastAsia="仿宋" w:cs="仿宋"/>
          <w:sz w:val="28"/>
          <w:szCs w:val="28"/>
        </w:rPr>
      </w:pPr>
      <w:r>
        <w:rPr>
          <w:rFonts w:hint="eastAsia" w:ascii="仿宋_GB2312" w:hAnsi="仿宋_GB2312" w:eastAsia="仿宋_GB2312" w:cs="仿宋_GB2312"/>
          <w:sz w:val="32"/>
          <w:szCs w:val="32"/>
          <w:lang w:val="en-US" w:eastAsia="zh-CN"/>
        </w:rPr>
        <w:t>蓝山县</w:t>
      </w:r>
      <w:r>
        <w:rPr>
          <w:rFonts w:hint="eastAsia" w:ascii="仿宋_GB2312" w:hAnsi="仿宋_GB2312" w:eastAsia="仿宋_GB2312" w:cs="仿宋_GB2312"/>
          <w:sz w:val="32"/>
          <w:szCs w:val="32"/>
        </w:rPr>
        <w:t>犁头</w:t>
      </w:r>
      <w:r>
        <w:rPr>
          <w:rFonts w:hint="eastAsia" w:ascii="仿宋_GB2312" w:hAnsi="仿宋_GB2312" w:eastAsia="仿宋_GB2312" w:cs="仿宋_GB2312"/>
          <w:sz w:val="32"/>
          <w:szCs w:val="32"/>
          <w:lang w:val="en-US" w:eastAsia="zh-CN"/>
        </w:rPr>
        <w:t>瑶族乡</w:t>
      </w:r>
      <w:r>
        <w:rPr>
          <w:rFonts w:hint="eastAsia" w:ascii="仿宋_GB2312" w:hAnsi="仿宋_GB2312" w:eastAsia="仿宋_GB2312" w:cs="仿宋_GB2312"/>
          <w:sz w:val="32"/>
          <w:szCs w:val="32"/>
          <w:lang w:eastAsia="zh-CN"/>
        </w:rPr>
        <w:t>卫生院</w:t>
      </w:r>
      <w:r>
        <w:rPr>
          <w:rFonts w:hint="eastAsia" w:ascii="仿宋_GB2312" w:hAnsi="仿宋_GB2312" w:eastAsia="仿宋_GB2312" w:cs="仿宋_GB2312"/>
          <w:sz w:val="32"/>
          <w:szCs w:val="32"/>
        </w:rPr>
        <w:t xml:space="preserve">        </w:t>
      </w:r>
      <w:r>
        <w:rPr>
          <w:rFonts w:hint="eastAsia" w:ascii="仿宋" w:hAnsi="仿宋" w:eastAsia="仿宋" w:cs="仿宋"/>
          <w:sz w:val="28"/>
          <w:szCs w:val="28"/>
        </w:rPr>
        <w:t xml:space="preserve">                      </w:t>
      </w:r>
    </w:p>
    <w:sectPr>
      <w:headerReference r:id="rId3" w:type="default"/>
      <w:footerReference r:id="rId4" w:type="default"/>
      <w:pgSz w:w="11906" w:h="16838"/>
      <w:pgMar w:top="1043" w:right="1463" w:bottom="1043" w:left="1463" w:header="0"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moder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ambria">
    <w:panose1 w:val="02040503050406030204"/>
    <w:charset w:val="00"/>
    <w:family w:val="roman"/>
    <w:pitch w:val="default"/>
    <w:sig w:usb0="E00002FF" w:usb1="400004FF" w:usb2="00000000" w:usb3="00000000" w:csb0="2000019F"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ED5741">
    <w:pPr>
      <w:pStyle w:val="5"/>
    </w:pPr>
    <w:r>
      <w:rPr>
        <w:lang w:val="zh-CN"/>
      </w:rPr>
      <w:t xml:space="preserve"> </w:t>
    </w:r>
    <w:r>
      <w:rPr>
        <w:b/>
      </w:rPr>
      <w:fldChar w:fldCharType="begin"/>
    </w:r>
    <w:r>
      <w:rPr>
        <w:b/>
      </w:rPr>
      <w:instrText xml:space="preserve">PAGE</w:instrText>
    </w:r>
    <w:r>
      <w:rPr>
        <w:b/>
      </w:rPr>
      <w:fldChar w:fldCharType="separate"/>
    </w:r>
    <w:r>
      <w:rPr>
        <w:b/>
      </w:rPr>
      <w:t>6</w:t>
    </w:r>
    <w:r>
      <w:rPr>
        <w:b/>
      </w:rPr>
      <w:fldChar w:fldCharType="end"/>
    </w:r>
    <w:r>
      <w:rPr>
        <w:lang w:val="zh-CN"/>
      </w:rPr>
      <w:t xml:space="preserve"> / </w:t>
    </w:r>
    <w:r>
      <w:rPr>
        <w:b/>
      </w:rPr>
      <w:fldChar w:fldCharType="begin"/>
    </w:r>
    <w:r>
      <w:rPr>
        <w:b/>
      </w:rPr>
      <w:instrText xml:space="preserve">NUMPAGES</w:instrText>
    </w:r>
    <w:r>
      <w:rPr>
        <w:b/>
      </w:rPr>
      <w:fldChar w:fldCharType="separate"/>
    </w:r>
    <w:r>
      <w:rPr>
        <w:b/>
      </w:rPr>
      <w:t>6</w:t>
    </w:r>
    <w:r>
      <w:rPr>
        <w:b/>
      </w:rPr>
      <w:fldChar w:fldCharType="end"/>
    </w:r>
  </w:p>
  <w:p w14:paraId="2E6578A3">
    <w:pPr>
      <w:pStyle w:val="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0BBD53">
    <w:pPr>
      <w:pStyle w:val="6"/>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lhMTEzMmFkOTgyYTQwZTA5MDdjM2NiZjNjOGFlOTIifQ=="/>
  </w:docVars>
  <w:rsids>
    <w:rsidRoot w:val="00000000"/>
    <w:rsid w:val="01400655"/>
    <w:rsid w:val="3B403CDD"/>
    <w:rsid w:val="4C2339C6"/>
    <w:rsid w:val="55225B8C"/>
    <w:rsid w:val="620B0658"/>
    <w:rsid w:val="75AC40D0"/>
    <w:rsid w:val="794B4CD8"/>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1" w:semiHidden="0" w:name="Default Paragraph Font"/>
    <w:lsdException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4">
    <w:name w:val="heading 2"/>
    <w:basedOn w:val="1"/>
    <w:next w:val="1"/>
    <w:link w:val="12"/>
    <w:qFormat/>
    <w:uiPriority w:val="99"/>
    <w:pPr>
      <w:keepNext/>
      <w:keepLines/>
      <w:spacing w:before="260" w:after="260" w:line="416" w:lineRule="auto"/>
      <w:outlineLvl w:val="1"/>
    </w:pPr>
    <w:rPr>
      <w:rFonts w:ascii="Cambria" w:hAnsi="Cambria"/>
      <w:b/>
      <w:bCs/>
      <w:sz w:val="32"/>
      <w:szCs w:val="32"/>
    </w:rPr>
  </w:style>
  <w:style w:type="character" w:default="1" w:styleId="10">
    <w:name w:val="Default Paragraph Font"/>
    <w:qFormat/>
    <w:uiPriority w:val="1"/>
  </w:style>
  <w:style w:type="table" w:default="1" w:styleId="8">
    <w:name w:val="Normal Table"/>
    <w:qFormat/>
    <w:uiPriority w:val="99"/>
    <w:tblPr>
      <w:tblCellMar>
        <w:top w:w="0" w:type="dxa"/>
        <w:left w:w="108" w:type="dxa"/>
        <w:bottom w:w="0" w:type="dxa"/>
        <w:right w:w="108" w:type="dxa"/>
      </w:tblCellMar>
    </w:tblPr>
  </w:style>
  <w:style w:type="paragraph" w:styleId="2">
    <w:name w:val="Body Text First Indent 2"/>
    <w:basedOn w:val="3"/>
    <w:unhideWhenUsed/>
    <w:qFormat/>
    <w:uiPriority w:val="99"/>
    <w:pPr>
      <w:ind w:firstLine="420" w:firstLineChars="200"/>
    </w:pPr>
  </w:style>
  <w:style w:type="paragraph" w:styleId="3">
    <w:name w:val="Body Text Indent"/>
    <w:basedOn w:val="1"/>
    <w:unhideWhenUsed/>
    <w:qFormat/>
    <w:uiPriority w:val="99"/>
    <w:pPr>
      <w:spacing w:after="120" w:afterLines="0" w:afterAutospacing="0"/>
      <w:ind w:left="420" w:leftChars="200"/>
    </w:pPr>
  </w:style>
  <w:style w:type="paragraph" w:styleId="5">
    <w:name w:val="footer"/>
    <w:basedOn w:val="1"/>
    <w:link w:val="15"/>
    <w:qFormat/>
    <w:uiPriority w:val="99"/>
    <w:pPr>
      <w:tabs>
        <w:tab w:val="center" w:pos="4153"/>
        <w:tab w:val="right" w:pos="8306"/>
      </w:tabs>
      <w:snapToGrid w:val="0"/>
      <w:jc w:val="left"/>
    </w:pPr>
    <w:rPr>
      <w:sz w:val="18"/>
      <w:szCs w:val="18"/>
    </w:rPr>
  </w:style>
  <w:style w:type="paragraph" w:styleId="6">
    <w:name w:val="header"/>
    <w:basedOn w:val="1"/>
    <w:link w:val="14"/>
    <w:qFormat/>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99"/>
    <w:pPr>
      <w:widowControl/>
      <w:spacing w:before="100" w:beforeAutospacing="1" w:after="100" w:afterAutospacing="1"/>
      <w:jc w:val="left"/>
    </w:pPr>
    <w:rPr>
      <w:rFonts w:ascii="宋体" w:hAnsi="宋体" w:cs="宋体"/>
      <w:kern w:val="0"/>
      <w:sz w:val="24"/>
      <w:szCs w:val="24"/>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1">
    <w:name w:val="Hyperlink"/>
    <w:basedOn w:val="10"/>
    <w:qFormat/>
    <w:uiPriority w:val="0"/>
    <w:rPr>
      <w:color w:val="212121"/>
      <w:u w:val="none"/>
    </w:rPr>
  </w:style>
  <w:style w:type="character" w:customStyle="1" w:styleId="12">
    <w:name w:val="标题 2 Char"/>
    <w:basedOn w:val="10"/>
    <w:link w:val="4"/>
    <w:qFormat/>
    <w:uiPriority w:val="99"/>
    <w:rPr>
      <w:rFonts w:ascii="Cambria" w:hAnsi="Cambria" w:eastAsia="宋体" w:cs="Times New Roman"/>
      <w:b/>
      <w:bCs/>
      <w:sz w:val="32"/>
      <w:szCs w:val="32"/>
    </w:rPr>
  </w:style>
  <w:style w:type="paragraph" w:styleId="13">
    <w:name w:val="List Paragraph"/>
    <w:basedOn w:val="1"/>
    <w:qFormat/>
    <w:uiPriority w:val="99"/>
    <w:pPr>
      <w:ind w:firstLine="420" w:firstLineChars="200"/>
    </w:pPr>
  </w:style>
  <w:style w:type="character" w:customStyle="1" w:styleId="14">
    <w:name w:val="页眉 Char"/>
    <w:basedOn w:val="10"/>
    <w:link w:val="6"/>
    <w:qFormat/>
    <w:uiPriority w:val="99"/>
    <w:rPr>
      <w:rFonts w:cs="Times New Roman"/>
      <w:sz w:val="18"/>
      <w:szCs w:val="18"/>
    </w:rPr>
  </w:style>
  <w:style w:type="character" w:customStyle="1" w:styleId="15">
    <w:name w:val="页脚 Char"/>
    <w:basedOn w:val="10"/>
    <w:link w:val="5"/>
    <w:qFormat/>
    <w:uiPriority w:val="99"/>
    <w:rPr>
      <w:rFonts w:cs="Times New Roman"/>
      <w:sz w:val="18"/>
      <w:szCs w:val="18"/>
    </w:rPr>
  </w:style>
  <w:style w:type="paragraph" w:customStyle="1" w:styleId="16">
    <w:name w:val="Default"/>
    <w:qFormat/>
    <w:uiPriority w:val="0"/>
    <w:pPr>
      <w:widowControl w:val="0"/>
      <w:autoSpaceDE w:val="0"/>
      <w:autoSpaceDN w:val="0"/>
      <w:adjustRightInd w:val="0"/>
    </w:pPr>
    <w:rPr>
      <w:rFonts w:ascii="黑体" w:hAnsi="Calibri" w:eastAsia="黑体" w:cs="黑体"/>
      <w:color w:val="000000"/>
      <w:sz w:val="24"/>
      <w:szCs w:val="24"/>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3275</Words>
  <Characters>3616</Characters>
  <Paragraphs>31</Paragraphs>
  <TotalTime>1</TotalTime>
  <ScaleCrop>false</ScaleCrop>
  <LinksUpToDate>false</LinksUpToDate>
  <CharactersWithSpaces>3692</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2022-12-10T12:54:00Z</dcterms:created>
  <dc:creator>Administrator</dc:creator>
  <cp:lastModifiedBy>江山</cp:lastModifiedBy>
  <cp:lastPrinted>2022-12-10T12:51:00Z</cp:lastPrinted>
  <dcterms:modified xsi:type="dcterms:W3CDTF">2024-08-20T08:01:15Z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567D9F84A2204FF79565D298221E6494_13</vt:lpwstr>
  </property>
</Properties>
</file>