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E0A28">
      <w:pPr>
        <w:jc w:val="center"/>
        <w:outlineLvl w:val="0"/>
        <w:rPr>
          <w:rFonts w:hint="eastAsia" w:ascii="黑体" w:hAnsi="黑体" w:eastAsia="黑体"/>
          <w:bCs/>
          <w:color w:val="000000"/>
          <w:sz w:val="36"/>
          <w:szCs w:val="36"/>
        </w:rPr>
      </w:pPr>
      <w:r>
        <w:rPr>
          <w:rFonts w:hint="eastAsia" w:ascii="黑体" w:hAnsi="黑体" w:eastAsia="黑体"/>
          <w:bCs/>
          <w:color w:val="000000"/>
          <w:sz w:val="36"/>
          <w:szCs w:val="36"/>
        </w:rPr>
        <w:t>中国共产主义青年团蓝山县委员会</w:t>
      </w:r>
    </w:p>
    <w:p w14:paraId="3A1F5F81">
      <w:pPr>
        <w:jc w:val="center"/>
        <w:outlineLvl w:val="0"/>
        <w:rPr>
          <w:rFonts w:ascii="黑体" w:hAnsi="黑体" w:eastAsia="黑体"/>
          <w:bCs/>
          <w:sz w:val="36"/>
          <w:szCs w:val="36"/>
        </w:rPr>
      </w:pPr>
      <w:r>
        <w:rPr>
          <w:rFonts w:hint="eastAsia" w:ascii="黑体" w:hAnsi="黑体" w:eastAsia="黑体"/>
          <w:bCs/>
          <w:sz w:val="36"/>
          <w:szCs w:val="36"/>
        </w:rPr>
        <w:t>整体绩效评价报告</w:t>
      </w:r>
    </w:p>
    <w:p w14:paraId="583EBBF4">
      <w:pPr>
        <w:keepNext w:val="0"/>
        <w:keepLines w:val="0"/>
        <w:pageBreakBefore w:val="0"/>
        <w:kinsoku/>
        <w:wordWrap/>
        <w:overflowPunct/>
        <w:topLinePunct w:val="0"/>
        <w:autoSpaceDE/>
        <w:autoSpaceDN/>
        <w:bidi w:val="0"/>
        <w:spacing w:line="600" w:lineRule="exact"/>
        <w:textAlignment w:val="auto"/>
        <w:rPr>
          <w:rFonts w:ascii="仿宋" w:hAnsi="仿宋" w:eastAsia="仿宋" w:cs="仿宋"/>
          <w:bCs/>
          <w:sz w:val="32"/>
          <w:szCs w:val="32"/>
        </w:rPr>
      </w:pPr>
      <w:r>
        <w:rPr>
          <w:rFonts w:hint="eastAsia" w:ascii="黑体" w:hAnsi="黑体" w:eastAsia="黑体"/>
          <w:bCs/>
          <w:sz w:val="36"/>
          <w:szCs w:val="36"/>
        </w:rPr>
        <w:br w:type="textWrapping"/>
      </w:r>
      <w:r>
        <w:rPr>
          <w:rFonts w:hint="eastAsia" w:ascii="仿宋" w:hAnsi="仿宋" w:eastAsia="仿宋" w:cs="仿宋"/>
          <w:bCs/>
          <w:sz w:val="32"/>
          <w:szCs w:val="32"/>
        </w:rPr>
        <w:t xml:space="preserve">   根据《《中华人民共和国预算法》、中共湖南省委办公厅 湖南省人民政府办公厅《关于全面实施预算绩效管理的实施意见》（湘办发[2019]10号）、《蓝山县财政局关于开展2023年度财政支出绩效自评工作的通知》（蓝财绩[2023]1号）精神，我单位领导高度重视，认真组织，对2023年部门整体支出进行了绩效自评，现将我单位部门整体支出绩效自评情况报告如下：</w:t>
      </w:r>
    </w:p>
    <w:p w14:paraId="0DDF28B5">
      <w:pPr>
        <w:keepNext w:val="0"/>
        <w:keepLines w:val="0"/>
        <w:pageBreakBefore w:val="0"/>
        <w:kinsoku/>
        <w:wordWrap/>
        <w:overflowPunct/>
        <w:topLinePunct w:val="0"/>
        <w:autoSpaceDE/>
        <w:autoSpaceDN/>
        <w:bidi w:val="0"/>
        <w:spacing w:line="60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一、部门概况</w:t>
      </w:r>
    </w:p>
    <w:p w14:paraId="30F50EC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(一）部门基本情况</w:t>
      </w:r>
    </w:p>
    <w:p w14:paraId="4DEC588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1、领导全县共青团工作。 </w:t>
      </w:r>
    </w:p>
    <w:p w14:paraId="53EB770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2、负责县青联和县少先队工作委员会常务性工作。 </w:t>
      </w:r>
    </w:p>
    <w:p w14:paraId="2CE8B9A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3、承担县委、县政府和有关方面委托的青少年工作事务，参与民主管理和民主监督。协助、参与、处理社会上与青少年利益相关的工作。 </w:t>
      </w:r>
    </w:p>
    <w:p w14:paraId="2DA8974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bCs/>
          <w:sz w:val="32"/>
          <w:szCs w:val="32"/>
        </w:rPr>
        <w:t>4、参与全县性青少年法规制度实施、监督等工作，负责县未</w:t>
      </w:r>
      <w:bookmarkStart w:id="0" w:name="_GoBack"/>
      <w:bookmarkEnd w:id="0"/>
      <w:r>
        <w:rPr>
          <w:rFonts w:hint="eastAsia" w:ascii="仿宋_GB2312" w:hAnsi="仿宋_GB2312" w:eastAsia="仿宋_GB2312" w:cs="仿宋_GB2312"/>
          <w:bCs/>
          <w:sz w:val="32"/>
          <w:szCs w:val="32"/>
        </w:rPr>
        <w:t>成</w:t>
      </w:r>
      <w:r>
        <w:rPr>
          <w:rFonts w:hint="eastAsia" w:ascii="仿宋_GB2312" w:hAnsi="仿宋" w:eastAsia="仿宋_GB2312"/>
          <w:sz w:val="32"/>
          <w:szCs w:val="32"/>
        </w:rPr>
        <w:t xml:space="preserve">年人保护方面的日常工作。 </w:t>
      </w:r>
    </w:p>
    <w:p w14:paraId="51848518">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黑体"/>
          <w:bCs/>
          <w:sz w:val="28"/>
          <w:szCs w:val="28"/>
        </w:rPr>
      </w:pPr>
      <w:r>
        <w:rPr>
          <w:rFonts w:hint="eastAsia" w:ascii="仿宋_GB2312" w:hAnsi="仿宋" w:eastAsia="仿宋_GB2312"/>
          <w:sz w:val="32"/>
          <w:szCs w:val="32"/>
        </w:rPr>
        <w:t>5、调查青年思想动态和青年工作情况，研究青年运动、青少年工作理论、青少年事业发展等工作，为县委、县政府决策提供依据。</w:t>
      </w:r>
      <w:r>
        <w:rPr>
          <w:rFonts w:ascii="仿宋_GB2312" w:hAnsi="黑体"/>
          <w:bCs/>
          <w:sz w:val="28"/>
          <w:szCs w:val="28"/>
        </w:rPr>
        <w:t xml:space="preserve"> </w:t>
      </w:r>
    </w:p>
    <w:p w14:paraId="23C7FE7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6、负责全县团的组织建设，协助党组织管理、选拔和培训团的干部，指导县青少年活动营地和县实施希望工程办公室领导小组的工作。 </w:t>
      </w:r>
    </w:p>
    <w:p w14:paraId="17B0266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7、负责、指导并组织面向全县青少年的思想理论教育、宣传文化活动，培养、选拔、推荐优秀青年，负责管理、指导团县委系统刊物的编发。 </w:t>
      </w:r>
    </w:p>
    <w:p w14:paraId="0DBC0F8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8、负责全县青年统战工作及青少年外事、县内外青少年友好交流工作。</w:t>
      </w:r>
    </w:p>
    <w:p w14:paraId="1092C109">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（二）人员情况</w:t>
      </w:r>
    </w:p>
    <w:p w14:paraId="671D429D">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黑体" w:eastAsia="楷体_GB2312"/>
          <w:bCs/>
          <w:sz w:val="28"/>
          <w:szCs w:val="28"/>
        </w:rPr>
      </w:pPr>
      <w:r>
        <w:rPr>
          <w:rFonts w:hint="eastAsia" w:ascii="仿宋_GB2312" w:hAnsi="仿宋" w:eastAsia="仿宋_GB2312"/>
          <w:sz w:val="32"/>
          <w:szCs w:val="32"/>
        </w:rPr>
        <w:t>中国共产主义青年团蓝山县委员会</w:t>
      </w:r>
      <w:r>
        <w:rPr>
          <w:rFonts w:hint="eastAsia" w:ascii="仿宋" w:hAnsi="仿宋" w:eastAsia="仿宋" w:cs="仿宋"/>
          <w:sz w:val="30"/>
          <w:szCs w:val="30"/>
        </w:rPr>
        <w:t>2023年度编制数6人，实有人数5人。</w:t>
      </w:r>
    </w:p>
    <w:p w14:paraId="558D09B4">
      <w:pPr>
        <w:keepNext w:val="0"/>
        <w:keepLines w:val="0"/>
        <w:pageBreakBefore w:val="0"/>
        <w:kinsoku/>
        <w:wordWrap/>
        <w:overflowPunct/>
        <w:topLinePunct w:val="0"/>
        <w:autoSpaceDE/>
        <w:autoSpaceDN/>
        <w:bidi w:val="0"/>
        <w:spacing w:line="60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二、单位整体支出管理及使用情况</w:t>
      </w:r>
    </w:p>
    <w:p w14:paraId="7512EA4F">
      <w:pPr>
        <w:pStyle w:val="14"/>
        <w:keepNext w:val="0"/>
        <w:keepLines w:val="0"/>
        <w:pageBreakBefore w:val="0"/>
        <w:numPr>
          <w:ilvl w:val="0"/>
          <w:numId w:val="0"/>
        </w:numPr>
        <w:kinsoku/>
        <w:wordWrap/>
        <w:overflowPunct/>
        <w:topLinePunct w:val="0"/>
        <w:autoSpaceDE/>
        <w:autoSpaceDN/>
        <w:bidi w:val="0"/>
        <w:spacing w:line="600" w:lineRule="exact"/>
        <w:ind w:left="1000" w:leftChars="0" w:hanging="360" w:firstLineChars="0"/>
        <w:textAlignment w:val="auto"/>
        <w:rPr>
          <w:rFonts w:ascii="仿宋_GB2312" w:hAnsi="仿宋" w:eastAsia="仿宋_GB2312"/>
          <w:b/>
          <w:sz w:val="32"/>
          <w:szCs w:val="32"/>
        </w:rPr>
      </w:pPr>
      <w:r>
        <w:rPr>
          <w:rFonts w:hint="default" w:ascii="仿宋_GB2312" w:hAnsi="仿宋" w:eastAsia="仿宋_GB2312" w:cs="黑体"/>
          <w:b/>
          <w:sz w:val="32"/>
          <w:szCs w:val="32"/>
          <w:lang w:val="en-US" w:eastAsia="zh-CN" w:bidi="ar-SA"/>
        </w:rPr>
        <w:t>①</w:t>
      </w:r>
      <w:r>
        <w:rPr>
          <w:rFonts w:hint="eastAsia" w:ascii="仿宋_GB2312" w:hAnsi="仿宋" w:eastAsia="仿宋_GB2312"/>
          <w:b/>
          <w:sz w:val="32"/>
          <w:szCs w:val="32"/>
        </w:rPr>
        <w:t>单位基本支出管理</w:t>
      </w:r>
    </w:p>
    <w:p w14:paraId="4AD5A497">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
          <w:bCs/>
          <w:sz w:val="32"/>
          <w:szCs w:val="32"/>
        </w:rPr>
      </w:pPr>
      <w:r>
        <w:rPr>
          <w:rFonts w:hint="eastAsia" w:ascii="仿宋_GB2312" w:hAnsi="仿宋" w:eastAsia="仿宋_GB2312"/>
          <w:sz w:val="32"/>
          <w:szCs w:val="32"/>
        </w:rPr>
        <w:t>中国共产主义青年团蓝山县委员会2023年年初预算59.91万元，全年预算数100.83万41.03</w:t>
      </w:r>
      <w:r>
        <w:rPr>
          <w:rFonts w:hint="eastAsia" w:ascii="仿宋" w:hAnsi="仿宋" w:eastAsia="仿宋" w:cs="仿宋"/>
          <w:bCs/>
          <w:sz w:val="32"/>
          <w:szCs w:val="32"/>
        </w:rPr>
        <w:t>万元；2023年全年实际支出100.83万。</w:t>
      </w:r>
    </w:p>
    <w:p w14:paraId="0C8E69DA">
      <w:pPr>
        <w:pStyle w:val="2"/>
        <w:keepNext w:val="0"/>
        <w:keepLines w:val="0"/>
        <w:pageBreakBefore w:val="0"/>
        <w:numPr>
          <w:ilvl w:val="0"/>
          <w:numId w:val="0"/>
        </w:numPr>
        <w:kinsoku/>
        <w:wordWrap/>
        <w:overflowPunct/>
        <w:topLinePunct w:val="0"/>
        <w:autoSpaceDE/>
        <w:autoSpaceDN/>
        <w:bidi w:val="0"/>
        <w:spacing w:line="600" w:lineRule="exact"/>
        <w:ind w:left="1000" w:leftChars="0" w:hanging="360" w:firstLineChars="0"/>
        <w:textAlignment w:val="auto"/>
        <w:rPr>
          <w:rFonts w:ascii="仿宋" w:hAnsi="仿宋" w:eastAsia="仿宋"/>
          <w:b/>
          <w:sz w:val="32"/>
          <w:szCs w:val="32"/>
        </w:rPr>
      </w:pPr>
      <w:r>
        <w:rPr>
          <w:rFonts w:hint="default" w:ascii="仿宋" w:hAnsi="仿宋" w:eastAsia="仿宋" w:cs="黑体"/>
          <w:b/>
          <w:sz w:val="32"/>
          <w:szCs w:val="32"/>
          <w:lang w:val="en-US" w:eastAsia="zh-CN" w:bidi="ar-SA"/>
        </w:rPr>
        <w:t>②</w:t>
      </w:r>
      <w:r>
        <w:rPr>
          <w:rFonts w:hint="eastAsia" w:ascii="仿宋" w:hAnsi="仿宋" w:eastAsia="仿宋"/>
          <w:b/>
          <w:sz w:val="32"/>
          <w:szCs w:val="32"/>
        </w:rPr>
        <w:t>“三公经费”支出使用和管理情况</w:t>
      </w:r>
    </w:p>
    <w:p w14:paraId="1FF889DB">
      <w:pPr>
        <w:pStyle w:val="14"/>
        <w:keepNext w:val="0"/>
        <w:keepLines w:val="0"/>
        <w:pageBreakBefore w:val="0"/>
        <w:kinsoku/>
        <w:wordWrap/>
        <w:overflowPunct/>
        <w:topLinePunct w:val="0"/>
        <w:autoSpaceDE/>
        <w:autoSpaceDN/>
        <w:bidi w:val="0"/>
        <w:spacing w:line="600"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本年度年无三公经费支出，无招待费支出，无公车运行维护费支出。</w:t>
      </w:r>
    </w:p>
    <w:p w14:paraId="6AFFCBF4">
      <w:pPr>
        <w:keepNext w:val="0"/>
        <w:keepLines w:val="0"/>
        <w:pageBreakBefore w:val="0"/>
        <w:kinsoku/>
        <w:wordWrap/>
        <w:overflowPunct/>
        <w:topLinePunct w:val="0"/>
        <w:autoSpaceDE/>
        <w:autoSpaceDN/>
        <w:bidi w:val="0"/>
        <w:spacing w:line="60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三、单位绩效评价工作组织实施情况</w:t>
      </w:r>
    </w:p>
    <w:p w14:paraId="728FE75F">
      <w:pPr>
        <w:keepNext w:val="0"/>
        <w:keepLines w:val="0"/>
        <w:pageBreakBefore w:val="0"/>
        <w:kinsoku/>
        <w:wordWrap/>
        <w:overflowPunct/>
        <w:topLinePunct w:val="0"/>
        <w:autoSpaceDE/>
        <w:autoSpaceDN/>
        <w:bidi w:val="0"/>
        <w:snapToGrid/>
        <w:spacing w:line="600" w:lineRule="exact"/>
        <w:ind w:firstLine="750" w:firstLineChars="250"/>
        <w:contextualSpacing/>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根据蓝山县财政局关于开展2023年度财政支出绩效自评工作的通知要求，我单位召开了部门预算绩效评价工作会议，成立了县团委预算绩效评价工作小组，使用了财务室、办公室为成员部门，认真开展了绩效自评工作。评价的内容包括预算配置、预算执行、预算管理、职责履行、履职效益和“三公经费”支出等，确保实现绩效自评、绩效监控覆盖率100%；绩效自评结果公开率100%。</w:t>
      </w:r>
    </w:p>
    <w:p w14:paraId="43902CF6">
      <w:pPr>
        <w:keepNext w:val="0"/>
        <w:keepLines w:val="0"/>
        <w:pageBreakBefore w:val="0"/>
        <w:kinsoku/>
        <w:wordWrap/>
        <w:overflowPunct/>
        <w:topLinePunct w:val="0"/>
        <w:autoSpaceDE/>
        <w:autoSpaceDN/>
        <w:bidi w:val="0"/>
        <w:spacing w:line="60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四、绩效情况</w:t>
      </w:r>
    </w:p>
    <w:p w14:paraId="3E05006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（一）部门职责履行情况分析</w:t>
      </w:r>
    </w:p>
    <w:p w14:paraId="3A47B179">
      <w:pPr>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jc w:val="both"/>
        <w:textAlignment w:val="auto"/>
        <w:rPr>
          <w:rFonts w:ascii="仿宋_GB2312" w:eastAsia="仿宋_GB2312"/>
          <w:sz w:val="32"/>
          <w:szCs w:val="32"/>
        </w:rPr>
      </w:pPr>
      <w:r>
        <w:rPr>
          <w:rFonts w:ascii="仿宋_GB2312" w:hAnsi="Tahoma" w:eastAsia="仿宋_GB2312" w:cs="黑体"/>
          <w:sz w:val="32"/>
          <w:szCs w:val="32"/>
          <w:lang w:val="en-US" w:eastAsia="zh-CN" w:bidi="ar-SA"/>
        </w:rPr>
        <w:t>1.</w:t>
      </w:r>
      <w:r>
        <w:rPr>
          <w:rFonts w:hint="eastAsia" w:ascii="仿宋_GB2312" w:eastAsia="仿宋_GB2312"/>
          <w:b/>
          <w:bCs/>
          <w:sz w:val="32"/>
          <w:szCs w:val="32"/>
        </w:rPr>
        <w:t>学思践悟，理论学习有深度。</w:t>
      </w:r>
      <w:r>
        <w:rPr>
          <w:rFonts w:hint="eastAsia" w:ascii="仿宋_GB2312" w:eastAsia="仿宋_GB2312"/>
          <w:sz w:val="32"/>
          <w:szCs w:val="32"/>
        </w:rPr>
        <w:t>积极开展团员和青年主题教育活动，动员团员青年坚持不懈学思践悟习近平新时代中国特色社会主义思想，主题教育开展以来，组织各级团委书记、青联委员开展集中学习5次。</w:t>
      </w:r>
    </w:p>
    <w:p w14:paraId="573E594E">
      <w:pPr>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jc w:val="both"/>
        <w:textAlignment w:val="auto"/>
        <w:rPr>
          <w:rFonts w:ascii="仿宋_GB2312" w:eastAsia="仿宋_GB2312"/>
          <w:sz w:val="32"/>
          <w:szCs w:val="32"/>
        </w:rPr>
      </w:pPr>
      <w:r>
        <w:rPr>
          <w:rFonts w:ascii="仿宋_GB2312" w:hAnsi="Tahoma" w:eastAsia="仿宋_GB2312" w:cs="黑体"/>
          <w:sz w:val="32"/>
          <w:szCs w:val="32"/>
          <w:lang w:val="en-US" w:eastAsia="zh-CN" w:bidi="ar-SA"/>
        </w:rPr>
        <w:t>2.</w:t>
      </w:r>
      <w:r>
        <w:rPr>
          <w:rFonts w:hint="eastAsia" w:ascii="仿宋_GB2312" w:eastAsia="仿宋_GB2312"/>
          <w:b/>
          <w:bCs/>
          <w:sz w:val="32"/>
          <w:szCs w:val="32"/>
        </w:rPr>
        <w:t>当好桥梁，凝聚青年有力度。</w:t>
      </w:r>
      <w:r>
        <w:rPr>
          <w:rFonts w:hint="eastAsia" w:ascii="仿宋_GB2312" w:eastAsia="仿宋_GB2312"/>
          <w:sz w:val="32"/>
          <w:szCs w:val="32"/>
        </w:rPr>
        <w:t>擦亮“青”字号品牌，凝聚青年力量。积极打造青年讲师团，2023年共有青年讲师团、红领巾巡讲团成员23名，每月向讲师团成员发布宣讲主题，并通过积分制评分，全年在全县各学校、乡镇、社区共开展宣讲210场，覆盖青少年34500余人次。</w:t>
      </w:r>
    </w:p>
    <w:p w14:paraId="22E136D9">
      <w:pPr>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jc w:val="both"/>
        <w:textAlignment w:val="auto"/>
        <w:rPr>
          <w:rFonts w:ascii="仿宋_GB2312" w:eastAsia="仿宋_GB2312"/>
          <w:sz w:val="32"/>
          <w:szCs w:val="32"/>
        </w:rPr>
      </w:pPr>
      <w:r>
        <w:rPr>
          <w:rFonts w:ascii="仿宋_GB2312" w:hAnsi="Tahoma" w:eastAsia="仿宋_GB2312" w:cs="黑体"/>
          <w:sz w:val="32"/>
          <w:szCs w:val="32"/>
          <w:lang w:val="en-US" w:eastAsia="zh-CN" w:bidi="ar-SA"/>
        </w:rPr>
        <w:t>3.</w:t>
      </w:r>
      <w:r>
        <w:rPr>
          <w:rFonts w:hint="eastAsia" w:ascii="仿宋_GB2312" w:eastAsia="仿宋_GB2312"/>
          <w:b/>
          <w:bCs/>
          <w:sz w:val="32"/>
          <w:szCs w:val="32"/>
        </w:rPr>
        <w:t>务实笃行，榜样引领有尺度。</w:t>
      </w:r>
      <w:r>
        <w:rPr>
          <w:rFonts w:hint="eastAsia" w:ascii="仿宋_GB2312" w:eastAsia="仿宋_GB2312"/>
          <w:sz w:val="32"/>
          <w:szCs w:val="32"/>
        </w:rPr>
        <w:t>突出榜样引领，加强思想引领的创新性，</w:t>
      </w:r>
      <w:r>
        <w:rPr>
          <w:rFonts w:hint="eastAsia" w:ascii="仿宋_GB2312" w:hAnsi="宋体" w:eastAsia="仿宋_GB2312" w:cs="仿宋_GB2312"/>
          <w:color w:val="000000"/>
          <w:sz w:val="31"/>
          <w:szCs w:val="31"/>
        </w:rPr>
        <w:t>开展2023年“红领巾奖章”二星章评比活动，48名少先队员荣获“二星章”，16个少先队集体荣获“二星章集体”，开展2023年“小暖蓝”优秀志愿者表彰大会，大会共表彰优秀志愿者44名，优秀讲师19名。</w:t>
      </w:r>
    </w:p>
    <w:p w14:paraId="22F0780D">
      <w:pPr>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jc w:val="both"/>
        <w:textAlignment w:val="auto"/>
        <w:rPr>
          <w:rFonts w:ascii="仿宋_GB2312" w:eastAsia="仿宋_GB2312"/>
          <w:sz w:val="32"/>
          <w:szCs w:val="32"/>
        </w:rPr>
      </w:pPr>
      <w:r>
        <w:rPr>
          <w:rFonts w:ascii="仿宋_GB2312" w:hAnsi="Tahoma" w:eastAsia="仿宋_GB2312" w:cs="黑体"/>
          <w:sz w:val="32"/>
          <w:szCs w:val="32"/>
          <w:lang w:val="en-US" w:eastAsia="zh-CN" w:bidi="ar-SA"/>
        </w:rPr>
        <w:t>4.</w:t>
      </w:r>
      <w:r>
        <w:rPr>
          <w:rFonts w:hint="eastAsia" w:ascii="仿宋_GB2312" w:hAnsi="宋体" w:eastAsia="仿宋_GB2312" w:cs="仿宋_GB2312"/>
          <w:b/>
          <w:bCs/>
          <w:color w:val="000000"/>
          <w:sz w:val="31"/>
          <w:szCs w:val="31"/>
        </w:rPr>
        <w:t>组织建设，统筹推进有深度。</w:t>
      </w:r>
      <w:r>
        <w:rPr>
          <w:rFonts w:hint="eastAsia" w:ascii="仿宋_GB2312" w:hAnsi="宋体" w:eastAsia="仿宋_GB2312" w:cs="仿宋_GB2312"/>
          <w:color w:val="000000"/>
          <w:sz w:val="31"/>
          <w:szCs w:val="31"/>
        </w:rPr>
        <w:t>组织领导更加有力，保障经费8.8万元用于开展活动，订购团旗、团徽，表彰优秀团员、团组织团干部等，</w:t>
      </w:r>
      <w:r>
        <w:rPr>
          <w:rFonts w:hint="eastAsia" w:ascii="仿宋" w:hAnsi="仿宋" w:eastAsia="仿宋" w:cs="仿宋"/>
          <w:sz w:val="32"/>
          <w:szCs w:val="32"/>
          <w:shd w:val="clear" w:color="auto" w:fill="FFFFFF"/>
        </w:rPr>
        <w:t>以提升团干部素质，促进团干部成长为目的，举办青年马克思主义培训班，不断提高团干部为青年服务的能力与意识。</w:t>
      </w:r>
      <w:r>
        <w:rPr>
          <w:rFonts w:hint="eastAsia" w:ascii="仿宋_GB2312" w:hAnsi="宋体" w:eastAsia="仿宋_GB2312" w:cs="仿宋_GB2312"/>
          <w:sz w:val="31"/>
          <w:szCs w:val="31"/>
        </w:rPr>
        <w:t>在团县委协调统筹下，阳光雨协会、永州星月投资有限公司、创锦环保东莞有限公司走进犁头中小，开展企业与学校结对帮扶活动，助推乡村教育振兴。</w:t>
      </w:r>
    </w:p>
    <w:p w14:paraId="5E0D6723">
      <w:pPr>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jc w:val="both"/>
        <w:textAlignment w:val="auto"/>
        <w:rPr>
          <w:rFonts w:ascii="仿宋_GB2312" w:eastAsia="仿宋_GB2312"/>
          <w:sz w:val="32"/>
          <w:szCs w:val="32"/>
        </w:rPr>
      </w:pPr>
      <w:r>
        <w:rPr>
          <w:rFonts w:ascii="仿宋_GB2312" w:hAnsi="Tahoma" w:eastAsia="仿宋_GB2312" w:cs="黑体"/>
          <w:sz w:val="32"/>
          <w:szCs w:val="32"/>
          <w:lang w:val="en-US" w:eastAsia="zh-CN" w:bidi="ar-SA"/>
        </w:rPr>
        <w:t>5.</w:t>
      </w:r>
      <w:r>
        <w:rPr>
          <w:rFonts w:hint="eastAsia" w:ascii="仿宋_GB2312" w:eastAsia="仿宋_GB2312"/>
          <w:b/>
          <w:bCs/>
          <w:sz w:val="32"/>
          <w:szCs w:val="32"/>
        </w:rPr>
        <w:t>精益求精，志愿服务有温度</w:t>
      </w:r>
      <w:r>
        <w:rPr>
          <w:rFonts w:hint="eastAsia" w:ascii="仿宋_GB2312" w:eastAsia="仿宋_GB2312"/>
          <w:sz w:val="32"/>
          <w:szCs w:val="32"/>
        </w:rPr>
        <w:t>。2023年展开2期百人以上大型志愿者培训会。</w:t>
      </w:r>
      <w:r>
        <w:rPr>
          <w:rFonts w:hint="eastAsia" w:ascii="仿宋_GB2312" w:hAnsi="宋体" w:eastAsia="仿宋_GB2312" w:cs="仿宋_GB2312"/>
          <w:color w:val="000000"/>
          <w:sz w:val="31"/>
          <w:szCs w:val="31"/>
        </w:rPr>
        <w:t>联合县文明创建办开展2023年学雷锋志愿服务活动暨“城市管理提升巩固年”文明养成行动启动仪式，“3.5”学雷锋志愿服务月期间，带领各级团员青年以“弘扬雷锋精神，争做志愿先锋”为主题，通过慰问孤寡老人、义务劳动、青春宣讲等形式开展学雷锋志愿服务活动。</w:t>
      </w:r>
    </w:p>
    <w:p w14:paraId="05A0AEBF">
      <w:pPr>
        <w:keepNext w:val="0"/>
        <w:keepLines w:val="0"/>
        <w:pageBreakBefore w:val="0"/>
        <w:kinsoku/>
        <w:wordWrap/>
        <w:overflowPunct/>
        <w:topLinePunct w:val="0"/>
        <w:autoSpaceDE/>
        <w:autoSpaceDN/>
        <w:bidi w:val="0"/>
        <w:spacing w:line="60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五、后续的工作计划</w:t>
      </w:r>
    </w:p>
    <w:p w14:paraId="50DB0E25">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 加强财务管理，严格财务审核。在费用报账支付时，按照预算规定的费用项目和用途进行资金使用审核、列报支付、财务核算，杜绝超支现象的发生。</w:t>
      </w:r>
    </w:p>
    <w:p w14:paraId="33D1B7D4">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持续抓好“三公”经费控制管理。严格控制“三公”经费的规模和比例，把关“三公”经费支出的审核、审批，杜绝挪用和挤占其他预算资金行为；进一步细化“三公”经费的管理，合理压缩“三公”经费支出。</w:t>
      </w:r>
    </w:p>
    <w:p w14:paraId="23A5391B">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3．加强项目开展进度的跟踪，开展项目绩效评价，确保项目绩效目标的完成。</w:t>
      </w:r>
    </w:p>
    <w:p w14:paraId="32CD9ED9">
      <w:pPr>
        <w:wordWrap w:val="0"/>
        <w:jc w:val="right"/>
        <w:rPr>
          <w:rFonts w:ascii="仿宋" w:hAnsi="仿宋" w:eastAsia="仿宋" w:cs="仿宋"/>
          <w:bCs/>
          <w:sz w:val="32"/>
          <w:szCs w:val="32"/>
        </w:rPr>
      </w:pPr>
      <w:r>
        <w:rPr>
          <w:rFonts w:hint="eastAsia" w:ascii="仿宋" w:hAnsi="仿宋" w:eastAsia="仿宋" w:cs="仿宋"/>
          <w:bCs/>
          <w:sz w:val="32"/>
          <w:szCs w:val="32"/>
        </w:rPr>
        <w:t>2023年5月14日</w:t>
      </w:r>
    </w:p>
    <w:sectPr>
      <w:footerReference r:id="rId4" w:type="default"/>
      <w:footerReference r:id="rId5" w:type="even"/>
      <w:pgSz w:w="11906" w:h="16838"/>
      <w:pgMar w:top="1440" w:right="1800" w:bottom="1440" w:left="1800" w:header="851" w:footer="1361"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0B3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7EE5">
    <w:pPr>
      <w:pStyle w:val="3"/>
      <w:framePr w:wrap="around" w:vAnchor="text" w:hAnchor="margin" w:xAlign="outside" w:y="1"/>
      <w:rPr>
        <w:rStyle w:val="9"/>
      </w:rPr>
    </w:pPr>
    <w:r>
      <w:fldChar w:fldCharType="begin"/>
    </w:r>
    <w:r>
      <w:rPr>
        <w:rStyle w:val="9"/>
      </w:rPr>
      <w:instrText xml:space="preserve">PAGE  </w:instrText>
    </w:r>
    <w:r>
      <w:fldChar w:fldCharType="end"/>
    </w:r>
  </w:p>
  <w:p w14:paraId="3DB670A8">
    <w:pPr>
      <w:pStyle w:val="3"/>
      <w:ind w:right="360" w:firstLine="360"/>
    </w:pP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2"/>
  </w:compat>
  <w:docVars>
    <w:docVar w:name="commondata" w:val="eyJoZGlkIjoiMjA5OTY3Y2EwYWNjN2JjNjZhYTFhYTU3NTU5OTY4NTMifQ=="/>
  </w:docVars>
  <w:rsids>
    <w:rsidRoot w:val="00287F2B"/>
    <w:rsid w:val="00287F2B"/>
    <w:rsid w:val="005018C2"/>
    <w:rsid w:val="009B2287"/>
    <w:rsid w:val="00A16A3E"/>
    <w:rsid w:val="00BC6983"/>
    <w:rsid w:val="00BF68E9"/>
    <w:rsid w:val="00C406A5"/>
    <w:rsid w:val="00E35EE0"/>
    <w:rsid w:val="06BB1041"/>
    <w:rsid w:val="18270900"/>
    <w:rsid w:val="3EA705E8"/>
    <w:rsid w:val="7D52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footer"/>
    <w:basedOn w:val="1"/>
    <w:link w:val="13"/>
    <w:unhideWhenUsed/>
    <w:qFormat/>
    <w:uiPriority w:val="0"/>
    <w:pPr>
      <w:tabs>
        <w:tab w:val="center" w:pos="4153"/>
        <w:tab w:val="right" w:pos="8306"/>
      </w:tabs>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0"/>
    <w:pPr>
      <w:spacing w:beforeAutospacing="1" w:after="0" w:afterAutospacing="1"/>
    </w:pPr>
    <w:rPr>
      <w:sz w:val="24"/>
    </w:rPr>
  </w:style>
  <w:style w:type="character" w:styleId="9">
    <w:name w:val="page number"/>
    <w:basedOn w:val="8"/>
    <w:qFormat/>
    <w:uiPriority w:val="0"/>
  </w:style>
  <w:style w:type="paragraph" w:customStyle="1" w:styleId="10">
    <w:name w:val="样式2"/>
    <w:basedOn w:val="1"/>
    <w:qFormat/>
    <w:uiPriority w:val="99"/>
    <w:pPr>
      <w:shd w:val="clear" w:color="auto" w:fill="FFFFFF"/>
      <w:spacing w:before="100" w:beforeAutospacing="1" w:after="100" w:afterAutospacing="1"/>
      <w:ind w:left="562"/>
      <w:jc w:val="center"/>
    </w:pPr>
    <w:rPr>
      <w:rFonts w:ascii="宋体"/>
      <w:b/>
      <w:bCs/>
      <w:szCs w:val="21"/>
    </w:rPr>
  </w:style>
  <w:style w:type="paragraph" w:customStyle="1" w:styleId="11">
    <w:name w:val="列出段落1"/>
    <w:basedOn w:val="1"/>
    <w:unhideWhenUsed/>
    <w:qFormat/>
    <w:uiPriority w:val="99"/>
    <w:pPr>
      <w:ind w:firstLine="420" w:firstLineChars="200"/>
    </w:pPr>
  </w:style>
  <w:style w:type="character" w:customStyle="1" w:styleId="12">
    <w:name w:val="页眉 Char"/>
    <w:basedOn w:val="8"/>
    <w:link w:val="4"/>
    <w:qFormat/>
    <w:uiPriority w:val="99"/>
    <w:rPr>
      <w:rFonts w:ascii="Tahoma" w:hAnsi="Tahoma"/>
      <w:sz w:val="18"/>
      <w:szCs w:val="18"/>
    </w:rPr>
  </w:style>
  <w:style w:type="character" w:customStyle="1" w:styleId="13">
    <w:name w:val="页脚 Char"/>
    <w:basedOn w:val="8"/>
    <w:link w:val="3"/>
    <w:qFormat/>
    <w:uiPriority w:val="0"/>
    <w:rPr>
      <w:rFonts w:ascii="Tahoma" w:hAnsi="Tahoma"/>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1764</Words>
  <Characters>1865</Characters>
  <Lines>13</Lines>
  <Paragraphs>3</Paragraphs>
  <TotalTime>23</TotalTime>
  <ScaleCrop>false</ScaleCrop>
  <LinksUpToDate>false</LinksUpToDate>
  <CharactersWithSpaces>1877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brave</cp:lastModifiedBy>
  <dcterms:modified xsi:type="dcterms:W3CDTF">2024-07-10T06:11:18Z</dcterms:modified>
  <dc:title>2017年度部门整体绩效评价报告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6DD3441A55DF43428F37502AA3453A06</vt:lpwstr>
  </property>
</Properties>
</file>