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C1A982">
      <w:pPr>
        <w:jc w:val="center"/>
        <w:outlineLvl w:val="0"/>
        <w:rPr>
          <w:rFonts w:ascii="黑体" w:hAnsi="黑体" w:eastAsia="黑体"/>
          <w:bCs/>
          <w:sz w:val="36"/>
          <w:szCs w:val="36"/>
        </w:rPr>
      </w:pPr>
      <w:r>
        <w:rPr>
          <w:rFonts w:hint="eastAsia" w:ascii="黑体" w:hAnsi="黑体" w:eastAsia="黑体"/>
          <w:bCs/>
          <w:color w:val="000000"/>
          <w:sz w:val="36"/>
          <w:szCs w:val="36"/>
        </w:rPr>
        <w:t>蓝山县科学技术协会</w:t>
      </w:r>
      <w:r>
        <w:rPr>
          <w:rFonts w:hint="eastAsia" w:ascii="黑体" w:hAnsi="黑体" w:eastAsia="黑体"/>
          <w:bCs/>
          <w:sz w:val="36"/>
          <w:szCs w:val="36"/>
        </w:rPr>
        <w:t>整体绩效评价报告</w:t>
      </w:r>
    </w:p>
    <w:p w14:paraId="00CF8593">
      <w:pPr>
        <w:ind w:left="720" w:hanging="640" w:hangingChars="200"/>
        <w:rPr>
          <w:rFonts w:hint="eastAsia" w:ascii="仿宋" w:hAnsi="仿宋" w:eastAsia="仿宋" w:cs="仿宋"/>
          <w:bCs/>
          <w:sz w:val="32"/>
          <w:szCs w:val="32"/>
        </w:rPr>
      </w:pPr>
    </w:p>
    <w:p w14:paraId="6A143DCC">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仿宋" w:hAnsi="仿宋" w:eastAsia="仿宋" w:cs="仿宋"/>
          <w:bCs/>
          <w:sz w:val="32"/>
          <w:szCs w:val="32"/>
        </w:rPr>
      </w:pPr>
      <w:r>
        <w:rPr>
          <w:rFonts w:hint="eastAsia" w:ascii="仿宋" w:hAnsi="仿宋" w:eastAsia="仿宋" w:cs="仿宋"/>
          <w:bCs/>
          <w:sz w:val="32"/>
          <w:szCs w:val="32"/>
        </w:rPr>
        <w:t>根据《《中华人民共和国预算法》、中共湖南省委办公厅 湖南省人民政府办公厅《关于全面实施预算绩效管理的实施意见》（湘办发[2019]10号）、《蓝山县财政局关于开展2023年度财政支出绩效自评工作的通知》（蓝财绩[2023]1号）精神，我单位领导高度重视，认真组织，对2023年部门整体支出进行了绩效自评，现将我单位部门整体支出绩效自评情况报告如下：</w:t>
      </w:r>
    </w:p>
    <w:p w14:paraId="36A2E00F">
      <w:pPr>
        <w:ind w:firstLine="643" w:firstLineChars="200"/>
        <w:rPr>
          <w:rFonts w:ascii="仿宋" w:hAnsi="仿宋" w:eastAsia="仿宋" w:cs="仿宋"/>
          <w:b/>
          <w:sz w:val="32"/>
          <w:szCs w:val="32"/>
        </w:rPr>
      </w:pPr>
      <w:r>
        <w:rPr>
          <w:rFonts w:hint="eastAsia" w:ascii="仿宋" w:hAnsi="仿宋" w:eastAsia="仿宋" w:cs="仿宋"/>
          <w:b/>
          <w:sz w:val="32"/>
          <w:szCs w:val="32"/>
        </w:rPr>
        <w:t>一、部门概况</w:t>
      </w:r>
    </w:p>
    <w:p w14:paraId="0FB12315">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(一）部门基本情况</w:t>
      </w:r>
    </w:p>
    <w:p w14:paraId="2C7CBCFC">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1、开展学术交流，活跃学术思想，促进学科发展，提高学术水平。</w:t>
      </w:r>
    </w:p>
    <w:p w14:paraId="71DC2634">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2、普及科学技术，推广先进技术，开展青少年及社会其他成员的科学技术教育活动，提高全县人民的科学文化素质。</w:t>
      </w:r>
    </w:p>
    <w:p w14:paraId="5B89C433">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3、表彰奖励优秀科学技术工作者，向党委和政府推荐优秀科技人才。</w:t>
      </w:r>
    </w:p>
    <w:p w14:paraId="3CDBF31F">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4、开展科学论证、科学咨询服务，提出政策建议；参与技术攻关，促进科学技术成果的转化；接受委托承担项目评估、成果鉴定、专业技术职称资格评审等业务。</w:t>
      </w:r>
    </w:p>
    <w:p w14:paraId="643FECD0">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5、建立和发展城乡科普网络；负责农村专业技术协会和科技示范户的管理；开展科技工作者的继续教育和科技培训工作。</w:t>
      </w:r>
    </w:p>
    <w:p w14:paraId="267CEE15">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6、开展民间国际科学技术交流活动，发展国内外科学技术团体和科技工作者的友好往来。</w:t>
      </w:r>
    </w:p>
    <w:p w14:paraId="69A8C763">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7、开展科技工作者的继续教育和科技培训工作。</w:t>
      </w:r>
    </w:p>
    <w:p w14:paraId="26C085B1">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8、兴办符合蓝山县科协宗旨的社会公益事业。</w:t>
      </w:r>
    </w:p>
    <w:p w14:paraId="00FB884D">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9、完成县委、县人民政府交办的其他事项</w:t>
      </w:r>
    </w:p>
    <w:p w14:paraId="3CB71A2E">
      <w:pPr>
        <w:ind w:firstLine="640" w:firstLineChars="200"/>
        <w:rPr>
          <w:rFonts w:ascii="仿宋" w:hAnsi="仿宋" w:eastAsia="仿宋" w:cs="仿宋"/>
          <w:bCs/>
          <w:sz w:val="32"/>
          <w:szCs w:val="32"/>
        </w:rPr>
      </w:pPr>
      <w:r>
        <w:rPr>
          <w:rFonts w:hint="eastAsia" w:ascii="仿宋" w:hAnsi="仿宋" w:eastAsia="仿宋" w:cs="仿宋"/>
          <w:bCs/>
          <w:sz w:val="32"/>
          <w:szCs w:val="32"/>
        </w:rPr>
        <w:t>（二）人员情况</w:t>
      </w:r>
    </w:p>
    <w:p w14:paraId="385A4CA5">
      <w:pPr>
        <w:widowControl w:val="0"/>
        <w:spacing w:line="520" w:lineRule="exact"/>
        <w:ind w:firstLine="960" w:firstLineChars="300"/>
        <w:jc w:val="both"/>
        <w:rPr>
          <w:rFonts w:hint="eastAsia" w:ascii="仿宋" w:hAnsi="仿宋" w:eastAsia="仿宋" w:cs="仿宋"/>
          <w:sz w:val="32"/>
          <w:szCs w:val="32"/>
        </w:rPr>
      </w:pPr>
      <w:r>
        <w:rPr>
          <w:rFonts w:hint="eastAsia" w:ascii="仿宋" w:hAnsi="仿宋" w:eastAsia="仿宋" w:cs="仿宋"/>
          <w:sz w:val="32"/>
          <w:szCs w:val="32"/>
        </w:rPr>
        <w:t>蓝山县科学技术协会</w:t>
      </w:r>
      <w:r>
        <w:rPr>
          <w:rFonts w:hint="eastAsia" w:ascii="仿宋" w:hAnsi="仿宋" w:eastAsia="仿宋" w:cs="仿宋"/>
          <w:sz w:val="28"/>
          <w:szCs w:val="28"/>
        </w:rPr>
        <w:t>2023年度编制数15人，实有人数13人。</w:t>
      </w:r>
    </w:p>
    <w:p w14:paraId="7F2E99EB">
      <w:pPr>
        <w:ind w:firstLine="643" w:firstLineChars="200"/>
        <w:rPr>
          <w:rFonts w:ascii="仿宋" w:hAnsi="仿宋" w:eastAsia="仿宋" w:cs="仿宋"/>
          <w:b/>
          <w:sz w:val="32"/>
          <w:szCs w:val="32"/>
        </w:rPr>
      </w:pPr>
      <w:r>
        <w:rPr>
          <w:rFonts w:hint="eastAsia" w:ascii="仿宋" w:hAnsi="仿宋" w:eastAsia="仿宋" w:cs="仿宋"/>
          <w:b/>
          <w:sz w:val="32"/>
          <w:szCs w:val="32"/>
        </w:rPr>
        <w:t>二、单位整体支出管理及使用情况</w:t>
      </w:r>
    </w:p>
    <w:p w14:paraId="7243FEA5">
      <w:pPr>
        <w:pStyle w:val="14"/>
        <w:numPr>
          <w:ilvl w:val="0"/>
          <w:numId w:val="0"/>
        </w:numPr>
        <w:ind w:left="1000" w:leftChars="0" w:hanging="360" w:firstLineChars="0"/>
        <w:rPr>
          <w:rFonts w:ascii="仿宋_GB2312" w:hAnsi="仿宋" w:eastAsia="仿宋_GB2312"/>
          <w:b/>
          <w:sz w:val="32"/>
          <w:szCs w:val="32"/>
        </w:rPr>
      </w:pPr>
      <w:r>
        <w:rPr>
          <w:rFonts w:hint="default" w:ascii="仿宋_GB2312" w:hAnsi="仿宋" w:eastAsia="仿宋_GB2312" w:cs="黑体"/>
          <w:b/>
          <w:sz w:val="32"/>
          <w:szCs w:val="32"/>
          <w:lang w:val="en-US" w:eastAsia="zh-CN" w:bidi="ar-SA"/>
        </w:rPr>
        <w:t>①</w:t>
      </w:r>
      <w:r>
        <w:rPr>
          <w:rFonts w:hint="eastAsia" w:ascii="仿宋_GB2312" w:hAnsi="仿宋" w:eastAsia="仿宋_GB2312"/>
          <w:b/>
          <w:sz w:val="32"/>
          <w:szCs w:val="32"/>
        </w:rPr>
        <w:t>单位基本支出管理</w:t>
      </w:r>
    </w:p>
    <w:p w14:paraId="503C28FE">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sz w:val="32"/>
          <w:szCs w:val="32"/>
        </w:rPr>
        <w:t>2023年年初预算192.89万元，全年预算数207.74万元，实际支出207.74万元</w:t>
      </w:r>
      <w:r>
        <w:rPr>
          <w:rFonts w:hint="eastAsia" w:ascii="仿宋_GB2312" w:hAnsi="仿宋" w:eastAsia="仿宋_GB2312"/>
          <w:sz w:val="32"/>
          <w:szCs w:val="32"/>
        </w:rPr>
        <w:t>。</w:t>
      </w:r>
      <w:r>
        <w:rPr>
          <w:rFonts w:hint="eastAsia" w:ascii="仿宋" w:hAnsi="仿宋" w:eastAsia="仿宋" w:cs="仿宋"/>
          <w:bCs/>
          <w:sz w:val="32"/>
          <w:szCs w:val="32"/>
        </w:rPr>
        <w:t>基本支出181.48万元，项目支出26.25万元；2023年全年实际支出207.74万。</w:t>
      </w:r>
    </w:p>
    <w:p w14:paraId="556F1C7B">
      <w:pPr>
        <w:pStyle w:val="2"/>
        <w:numPr>
          <w:ilvl w:val="0"/>
          <w:numId w:val="0"/>
        </w:numPr>
        <w:ind w:left="1000" w:leftChars="0" w:hanging="360" w:firstLineChars="0"/>
        <w:rPr>
          <w:rFonts w:ascii="仿宋" w:hAnsi="仿宋" w:eastAsia="仿宋"/>
          <w:b/>
          <w:sz w:val="32"/>
          <w:szCs w:val="32"/>
        </w:rPr>
      </w:pPr>
      <w:r>
        <w:rPr>
          <w:rFonts w:hint="default" w:ascii="仿宋" w:hAnsi="仿宋" w:eastAsia="仿宋" w:cs="黑体"/>
          <w:b/>
          <w:sz w:val="32"/>
          <w:szCs w:val="32"/>
          <w:lang w:val="en-US" w:eastAsia="zh-CN" w:bidi="ar-SA"/>
        </w:rPr>
        <w:t>②</w:t>
      </w:r>
      <w:r>
        <w:rPr>
          <w:rFonts w:hint="eastAsia" w:ascii="仿宋" w:hAnsi="仿宋" w:eastAsia="仿宋"/>
          <w:b/>
          <w:sz w:val="32"/>
          <w:szCs w:val="32"/>
        </w:rPr>
        <w:t>“三公经费”支出使用和管理情况</w:t>
      </w:r>
    </w:p>
    <w:p w14:paraId="0C8FB7FF">
      <w:pPr>
        <w:pStyle w:val="2"/>
        <w:keepNext w:val="0"/>
        <w:keepLines w:val="0"/>
        <w:pageBreakBefore w:val="0"/>
        <w:widowControl/>
        <w:kinsoku/>
        <w:wordWrap/>
        <w:overflowPunct/>
        <w:topLinePunct w:val="0"/>
        <w:autoSpaceDE/>
        <w:autoSpaceDN/>
        <w:bidi w:val="0"/>
        <w:adjustRightInd w:val="0"/>
        <w:snapToGrid w:val="0"/>
        <w:spacing w:line="600" w:lineRule="exact"/>
        <w:textAlignment w:val="auto"/>
        <w:rPr>
          <w:rFonts w:ascii="仿宋" w:hAnsi="仿宋" w:eastAsia="仿宋"/>
          <w:sz w:val="32"/>
          <w:szCs w:val="32"/>
        </w:rPr>
      </w:pPr>
      <w:r>
        <w:rPr>
          <w:rFonts w:hint="eastAsia" w:ascii="仿宋" w:hAnsi="仿宋" w:eastAsia="仿宋"/>
          <w:sz w:val="32"/>
          <w:szCs w:val="32"/>
        </w:rPr>
        <w:t>2023年三公经费总支出0.15万元，其中公务接待费0.15万元，无公务用车、出国出境支出。</w:t>
      </w:r>
    </w:p>
    <w:p w14:paraId="5ADDEC17">
      <w:pPr>
        <w:ind w:firstLine="643" w:firstLineChars="200"/>
        <w:rPr>
          <w:rFonts w:ascii="仿宋" w:hAnsi="仿宋" w:eastAsia="仿宋" w:cs="仿宋"/>
          <w:b/>
          <w:sz w:val="32"/>
          <w:szCs w:val="32"/>
        </w:rPr>
      </w:pPr>
      <w:r>
        <w:rPr>
          <w:rFonts w:hint="eastAsia" w:ascii="仿宋" w:hAnsi="仿宋" w:eastAsia="仿宋" w:cs="仿宋"/>
          <w:b/>
          <w:sz w:val="32"/>
          <w:szCs w:val="32"/>
        </w:rPr>
        <w:t>三、单位绩效评价工作组织实施情况</w:t>
      </w:r>
    </w:p>
    <w:p w14:paraId="62CE4A0C">
      <w:pPr>
        <w:snapToGrid/>
        <w:spacing w:line="360" w:lineRule="auto"/>
        <w:ind w:firstLine="800" w:firstLineChars="250"/>
        <w:contextualSpacing/>
        <w:jc w:val="both"/>
        <w:rPr>
          <w:rFonts w:hint="eastAsia" w:ascii="仿宋" w:hAnsi="仿宋" w:eastAsia="仿宋" w:cs="黑体"/>
          <w:sz w:val="32"/>
          <w:szCs w:val="32"/>
          <w:lang w:val="en-US" w:eastAsia="zh-CN" w:bidi="ar-SA"/>
        </w:rPr>
      </w:pPr>
      <w:r>
        <w:rPr>
          <w:rFonts w:hint="eastAsia" w:ascii="仿宋" w:hAnsi="仿宋" w:eastAsia="仿宋" w:cs="黑体"/>
          <w:sz w:val="32"/>
          <w:szCs w:val="32"/>
          <w:lang w:val="en-US" w:eastAsia="zh-CN" w:bidi="ar-SA"/>
        </w:rPr>
        <w:t>根据蓝山县财政局关于开展2023年度财政支出绩效自评工作的通知要求，我单位召开了部门预算绩效评价工作会议，成立了科学技术协会预算绩效评价工作小组，使用了财务室、办公室为成员部门，认真开展了绩效自评工作。评价的内容包括预算配置、预算执行、预算管理、职责履行、履职效益和“三公经费”支出等，确保实现绩效自评、绩效监控覆盖率100%；绩效自评结果公开率100%。</w:t>
      </w:r>
    </w:p>
    <w:p w14:paraId="335D4BC6">
      <w:pPr>
        <w:ind w:firstLine="643" w:firstLineChars="200"/>
        <w:rPr>
          <w:rFonts w:ascii="仿宋" w:hAnsi="仿宋" w:eastAsia="仿宋" w:cs="仿宋"/>
          <w:b/>
          <w:sz w:val="32"/>
          <w:szCs w:val="32"/>
        </w:rPr>
      </w:pPr>
      <w:r>
        <w:rPr>
          <w:rFonts w:hint="eastAsia" w:ascii="仿宋" w:hAnsi="仿宋" w:eastAsia="仿宋" w:cs="仿宋"/>
          <w:b/>
          <w:sz w:val="32"/>
          <w:szCs w:val="32"/>
        </w:rPr>
        <w:t>四、绩效情况</w:t>
      </w:r>
    </w:p>
    <w:p w14:paraId="355E8F31">
      <w:pPr>
        <w:ind w:firstLine="640" w:firstLineChars="200"/>
        <w:rPr>
          <w:rFonts w:hint="eastAsia" w:ascii="仿宋" w:hAnsi="仿宋" w:eastAsia="仿宋" w:cs="仿宋"/>
          <w:bCs/>
          <w:sz w:val="32"/>
          <w:szCs w:val="32"/>
        </w:rPr>
      </w:pPr>
      <w:r>
        <w:rPr>
          <w:rFonts w:hint="eastAsia" w:ascii="仿宋" w:hAnsi="仿宋" w:eastAsia="仿宋" w:cs="仿宋"/>
          <w:bCs/>
          <w:sz w:val="32"/>
          <w:szCs w:val="32"/>
        </w:rPr>
        <w:t>（一）部门职责履行情况分析</w:t>
      </w:r>
    </w:p>
    <w:p w14:paraId="287C8838">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（一）以支部“五化”建设为引领，抓好党建工作</w:t>
      </w:r>
    </w:p>
    <w:p w14:paraId="1A69457D">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今年以来，科协党组、党支部继续把支部建设标准化、组织生活正常化、管理服务精细化、工作制度体系化、阵地建设规范化建设列为重要工作，党组书记亲自抓、支部书记具体抓党支部“五化”建设工作，为巩固五星级党支部“五化”建设的成果，明确了党支部建设的指导思想、工作目标、主要内容和工作措施，为建成示范级党支部奠定了基础。</w:t>
      </w:r>
    </w:p>
    <w:p w14:paraId="0BFC730D">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（二）以科技助力为导向推动乡村振兴工作</w:t>
      </w:r>
    </w:p>
    <w:p w14:paraId="19219577">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助力乡村振兴，园满完成县委交给科协乡村振兴工作任务，今年以来，科协党组、党支部多次召开专题会议，安排部署乡村振兴工作。一是成立科协乡村振兴工作领导小组，制定《蓝山县科协科技助力乡村振兴工作方案》，制定科协乡村振兴工作台账，并将乡村振兴工作列入重要议事日程，每月列出问题台账进行推进；二是安排专人按要求驻村开展乡村振兴工作，制定乡村振兴实施方案和发展计划；三是按照工作推进要求及时推进乡村振兴工作，为农户详细讲解乡村振兴政策制定帮扶计划；四是组织农户开展生产种植技能培训；五是坚持党支部和班子成员每月一到两次深入联系村开展乡村振兴工作，帮助农户解决实际困难。</w:t>
      </w:r>
    </w:p>
    <w:p w14:paraId="28F8E39E">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（三）以深化科协系统改革为契机强化内部管理</w:t>
      </w:r>
    </w:p>
    <w:p w14:paraId="3638DF28">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是为加强科协内部管理，严肃工作纪律，转变工作作风，增强干部职工的责任意识、忧患意识、带头意识，进一步营造干部职工干事创业的良好局面；二是为加强机关效能建设，转变工作作风，提高工作效率，确保县科协各项工作任务的顺利完成，制订岗位责任制、领导班子成员党风廉政建设职责和行政管理制度。</w:t>
      </w:r>
    </w:p>
    <w:p w14:paraId="2537C8F9">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（四）以服务科技工作者为职责认真开展“全国科技工作者日”活动</w:t>
      </w:r>
    </w:p>
    <w:p w14:paraId="68FAC4B0">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通过推荐“优秀科技工者”、“优秀科技工作者之家”、“最美科技工作者”和利用标语横幅广泛宣传等多种形式，组织开展了“全国科技工作者日”活动，把全县科技工作者紧密团结在以习近平同志为核心的党中央周围，为实现中华民族伟大复兴中国梦作出新贡献。</w:t>
      </w:r>
    </w:p>
    <w:p w14:paraId="7D2791E0">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（五）以《纲要》实施为抓手推进全民科学素质提升</w:t>
      </w:r>
    </w:p>
    <w:p w14:paraId="19D4C410">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着力开展青少年科技创新教育。一是组织蓝山县第五届青少年科技创新大赛，共收到科幻绘画、科技创新、科技创意、实践活动等作品220多件，报市赛作品20余件。二是组织参加省、市青少年科技创新教育培训班。</w:t>
      </w:r>
    </w:p>
    <w:p w14:paraId="16B31331">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2、积极组织开展中小学科技教师培训。组织县内优秀的中小学科技教师参加湖南省科协和永州市科协组织开展的科技教师培训，提升了蓝山县科技教师的教学水平。</w:t>
      </w:r>
    </w:p>
    <w:p w14:paraId="29146D27">
      <w:pPr>
        <w:keepNext w:val="0"/>
        <w:keepLines w:val="0"/>
        <w:pageBreakBefore w:val="0"/>
        <w:widowControl/>
        <w:kinsoku/>
        <w:wordWrap/>
        <w:overflowPunct/>
        <w:topLinePunct w:val="0"/>
        <w:autoSpaceDE/>
        <w:autoSpaceDN/>
        <w:bidi w:val="0"/>
        <w:adjustRightInd w:val="0"/>
        <w:snapToGrid w:val="0"/>
        <w:spacing w:line="600" w:lineRule="exact"/>
        <w:ind w:firstLine="640"/>
        <w:textAlignment w:val="auto"/>
        <w:rPr>
          <w:rFonts w:hint="eastAsia" w:ascii="仿宋" w:hAnsi="仿宋" w:eastAsia="仿宋" w:cs="仿宋"/>
          <w:sz w:val="32"/>
          <w:szCs w:val="32"/>
        </w:rPr>
      </w:pPr>
      <w:r>
        <w:rPr>
          <w:rFonts w:hint="eastAsia" w:ascii="仿宋" w:hAnsi="仿宋" w:eastAsia="仿宋" w:cs="仿宋"/>
          <w:sz w:val="32"/>
          <w:szCs w:val="32"/>
        </w:rPr>
        <w:t>3、积极参与科技活动周活动。6月15日会同县科工局等部门在大洞开展2023年科技活动周活动，现场发放科普宣传资料4000余份，现场开展咨询150余人次，活动取得了良好的效果。</w:t>
      </w:r>
    </w:p>
    <w:p w14:paraId="42B90019">
      <w:pPr>
        <w:keepNext w:val="0"/>
        <w:keepLines w:val="0"/>
        <w:pageBreakBefore w:val="0"/>
        <w:widowControl/>
        <w:kinsoku/>
        <w:wordWrap/>
        <w:overflowPunct/>
        <w:topLinePunct w:val="0"/>
        <w:autoSpaceDE/>
        <w:autoSpaceDN/>
        <w:bidi w:val="0"/>
        <w:adjustRightInd w:val="0"/>
        <w:snapToGrid w:val="0"/>
        <w:spacing w:line="600" w:lineRule="exact"/>
        <w:ind w:firstLine="640"/>
        <w:textAlignment w:val="auto"/>
        <w:rPr>
          <w:rFonts w:hint="eastAsia" w:ascii="仿宋" w:hAnsi="仿宋" w:eastAsia="仿宋" w:cs="仿宋"/>
          <w:b/>
          <w:bCs/>
          <w:sz w:val="32"/>
          <w:szCs w:val="32"/>
        </w:rPr>
      </w:pPr>
      <w:r>
        <w:rPr>
          <w:rFonts w:hint="eastAsia" w:ascii="仿宋" w:hAnsi="仿宋" w:eastAsia="仿宋" w:cs="仿宋"/>
          <w:b/>
          <w:bCs/>
          <w:sz w:val="32"/>
          <w:szCs w:val="32"/>
        </w:rPr>
        <w:t>（六）以科普活动为载体深入推进科普宣传工作</w:t>
      </w:r>
    </w:p>
    <w:p w14:paraId="37DC2220">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今年通过全国科普日活动、“中国流动科技馆”湖南巡展蓝山站活动和永州市“潇湘科普行”之科普进校园活动的先后开展，充分调动了广大群众和青少年学生参与科普、走近科学的兴趣和热情，特别是“中国流动科技馆”蓝山巡展活动参与师生5万余人，有效的提升了城区中小学生的科学素养，受到了参与活动师生的一致好评。</w:t>
      </w:r>
    </w:p>
    <w:p w14:paraId="3D3B7527">
      <w:pPr>
        <w:keepNext w:val="0"/>
        <w:keepLines w:val="0"/>
        <w:pageBreakBefore w:val="0"/>
        <w:widowControl/>
        <w:kinsoku/>
        <w:wordWrap/>
        <w:overflowPunct/>
        <w:topLinePunct w:val="0"/>
        <w:autoSpaceDE/>
        <w:autoSpaceDN/>
        <w:bidi w:val="0"/>
        <w:adjustRightInd w:val="0"/>
        <w:snapToGrid w:val="0"/>
        <w:spacing w:line="600" w:lineRule="exact"/>
        <w:ind w:firstLine="643" w:firstLineChars="200"/>
        <w:textAlignment w:val="auto"/>
        <w:rPr>
          <w:rFonts w:ascii="仿宋" w:hAnsi="仿宋" w:eastAsia="仿宋" w:cs="仿宋"/>
          <w:b/>
          <w:sz w:val="32"/>
          <w:szCs w:val="32"/>
        </w:rPr>
      </w:pPr>
      <w:r>
        <w:rPr>
          <w:rFonts w:hint="eastAsia" w:ascii="仿宋" w:hAnsi="仿宋" w:eastAsia="仿宋" w:cs="仿宋"/>
          <w:b/>
          <w:sz w:val="32"/>
          <w:szCs w:val="32"/>
        </w:rPr>
        <w:t>五、后续的工作计划</w:t>
      </w:r>
    </w:p>
    <w:p w14:paraId="52D4F7E9">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仿宋" w:hAnsi="仿宋" w:eastAsia="仿宋" w:cs="仿宋"/>
          <w:bCs/>
          <w:sz w:val="32"/>
          <w:szCs w:val="32"/>
        </w:rPr>
      </w:pPr>
      <w:r>
        <w:rPr>
          <w:rFonts w:hint="eastAsia" w:ascii="仿宋" w:hAnsi="仿宋" w:eastAsia="仿宋" w:cs="仿宋"/>
          <w:bCs/>
          <w:sz w:val="32"/>
          <w:szCs w:val="32"/>
        </w:rPr>
        <w:t>1.</w:t>
      </w:r>
      <w:bookmarkStart w:id="0" w:name="_GoBack"/>
      <w:bookmarkEnd w:id="0"/>
      <w:r>
        <w:rPr>
          <w:rFonts w:hint="eastAsia" w:ascii="仿宋" w:hAnsi="仿宋" w:eastAsia="仿宋" w:cs="仿宋"/>
          <w:bCs/>
          <w:sz w:val="32"/>
          <w:szCs w:val="32"/>
        </w:rPr>
        <w:t>加强财务管理，严格财务审核。在费用报账支付时，按照预算规定的费用项目和用途进行资金使用审核、列报支付、财务核算，杜绝超支现象的发生。</w:t>
      </w:r>
    </w:p>
    <w:p w14:paraId="78485DF6">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仿宋" w:hAnsi="仿宋" w:eastAsia="仿宋" w:cs="仿宋"/>
          <w:bCs/>
          <w:sz w:val="32"/>
          <w:szCs w:val="32"/>
        </w:rPr>
      </w:pPr>
      <w:r>
        <w:rPr>
          <w:rFonts w:hint="eastAsia" w:ascii="仿宋" w:hAnsi="仿宋" w:eastAsia="仿宋" w:cs="仿宋"/>
          <w:bCs/>
          <w:sz w:val="32"/>
          <w:szCs w:val="32"/>
        </w:rPr>
        <w:t>2.持续抓好“三公”经费控制管理。严格控制“三公”经费的规模和比例，把关“三公”经费支出的审核、审批，杜绝挪用和挤占其他预算资金行为；进一步细化“三公”经费的管理，合理压缩“三公”经费支出。</w:t>
      </w:r>
    </w:p>
    <w:p w14:paraId="003BF12B">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仿宋" w:hAnsi="仿宋" w:eastAsia="仿宋" w:cs="仿宋"/>
          <w:bCs/>
          <w:sz w:val="32"/>
          <w:szCs w:val="32"/>
        </w:rPr>
      </w:pPr>
      <w:r>
        <w:rPr>
          <w:rFonts w:hint="eastAsia" w:ascii="仿宋" w:hAnsi="仿宋" w:eastAsia="仿宋" w:cs="仿宋"/>
          <w:bCs/>
          <w:sz w:val="32"/>
          <w:szCs w:val="32"/>
        </w:rPr>
        <w:t>3．加强项目开展进度的跟踪，开展项目绩效评价，确保项目绩效目标的完成。</w:t>
      </w:r>
    </w:p>
    <w:p w14:paraId="4BB40190">
      <w:pPr>
        <w:wordWrap w:val="0"/>
        <w:jc w:val="right"/>
        <w:rPr>
          <w:rFonts w:ascii="仿宋" w:hAnsi="仿宋" w:eastAsia="仿宋" w:cs="仿宋"/>
          <w:bCs/>
          <w:sz w:val="32"/>
          <w:szCs w:val="32"/>
        </w:rPr>
      </w:pPr>
      <w:r>
        <w:rPr>
          <w:rFonts w:hint="eastAsia" w:ascii="仿宋" w:hAnsi="仿宋" w:eastAsia="仿宋" w:cs="仿宋"/>
          <w:bCs/>
          <w:sz w:val="32"/>
          <w:szCs w:val="32"/>
        </w:rPr>
        <w:t>2023年5月14日</w:t>
      </w:r>
    </w:p>
    <w:sectPr>
      <w:footerReference r:id="rId4" w:type="default"/>
      <w:footerReference r:id="rId5" w:type="even"/>
      <w:pgSz w:w="11906" w:h="16838"/>
      <w:pgMar w:top="1440" w:right="1800" w:bottom="1440" w:left="1800" w:header="851" w:footer="1361" w:gutter="0"/>
      <w:pgNumType w:start="4"/>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DA310">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CF8DF">
    <w:pPr>
      <w:pStyle w:val="3"/>
      <w:framePr w:wrap="around" w:vAnchor="text" w:hAnchor="margin" w:xAlign="outside" w:y="1"/>
      <w:rPr>
        <w:rStyle w:val="9"/>
      </w:rPr>
    </w:pPr>
    <w:r>
      <w:fldChar w:fldCharType="begin"/>
    </w:r>
    <w:r>
      <w:rPr>
        <w:rStyle w:val="9"/>
      </w:rPr>
      <w:instrText xml:space="preserve">PAGE  </w:instrText>
    </w:r>
    <w:r>
      <w:fldChar w:fldCharType="end"/>
    </w:r>
  </w:p>
  <w:p w14:paraId="12D5F7CE">
    <w:pPr>
      <w:pStyle w:val="3"/>
      <w:ind w:right="360" w:firstLine="360"/>
    </w:pPr>
    <w:r>
      <w:rPr>
        <w:rFonts w:hint="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720"/>
  <w:noPunctuationKerning w:val="1"/>
  <w:characterSpacingControl w:val="doNotCompress"/>
  <w:footnotePr>
    <w:footnote w:id="0"/>
    <w:footnote w:id="1"/>
  </w:footnotePr>
  <w:compat>
    <w:spaceForUL/>
    <w:doNotLeaveBackslashAlone/>
    <w:ulTrailSpace/>
    <w:doNotExpandShiftReturn/>
    <w:useFELayout/>
    <w:compatSetting w:name="compatibilityMode" w:uri="http://schemas.microsoft.com/office/word" w:val="12"/>
  </w:compat>
  <w:docVars>
    <w:docVar w:name="commondata" w:val="eyJoZGlkIjoiYjk5ODM0YmMxOWJiYWQyNDU4MGIzYWRmYTA0ZmI5NDcifQ=="/>
  </w:docVars>
  <w:rsids>
    <w:rsidRoot w:val="00287F2B"/>
    <w:rsid w:val="00287F2B"/>
    <w:rsid w:val="005018C2"/>
    <w:rsid w:val="00712DCF"/>
    <w:rsid w:val="0095569A"/>
    <w:rsid w:val="009B2287"/>
    <w:rsid w:val="00A16A3E"/>
    <w:rsid w:val="00BC6983"/>
    <w:rsid w:val="00C406A5"/>
    <w:rsid w:val="06BB1041"/>
    <w:rsid w:val="18270900"/>
    <w:rsid w:val="21F15EBD"/>
    <w:rsid w:val="7D520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黑体"/>
      <w:sz w:val="22"/>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_Style 1"/>
    <w:basedOn w:val="1"/>
    <w:qFormat/>
    <w:uiPriority w:val="34"/>
    <w:pPr>
      <w:ind w:firstLine="420" w:firstLineChars="200"/>
    </w:pPr>
  </w:style>
  <w:style w:type="paragraph" w:styleId="3">
    <w:name w:val="footer"/>
    <w:basedOn w:val="1"/>
    <w:link w:val="13"/>
    <w:unhideWhenUsed/>
    <w:qFormat/>
    <w:uiPriority w:val="0"/>
    <w:pPr>
      <w:tabs>
        <w:tab w:val="center" w:pos="4153"/>
        <w:tab w:val="right" w:pos="8306"/>
      </w:tabs>
    </w:pPr>
    <w:rPr>
      <w:sz w:val="18"/>
      <w:szCs w:val="18"/>
    </w:rPr>
  </w:style>
  <w:style w:type="paragraph" w:styleId="4">
    <w:name w:val="header"/>
    <w:basedOn w:val="1"/>
    <w:link w:val="12"/>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6">
    <w:name w:val="Normal (Web)"/>
    <w:basedOn w:val="1"/>
    <w:semiHidden/>
    <w:unhideWhenUsed/>
    <w:qFormat/>
    <w:uiPriority w:val="0"/>
    <w:pPr>
      <w:spacing w:beforeAutospacing="1" w:after="0" w:afterAutospacing="1"/>
    </w:pPr>
    <w:rPr>
      <w:sz w:val="24"/>
    </w:rPr>
  </w:style>
  <w:style w:type="character" w:styleId="9">
    <w:name w:val="page number"/>
    <w:basedOn w:val="8"/>
    <w:qFormat/>
    <w:uiPriority w:val="0"/>
  </w:style>
  <w:style w:type="paragraph" w:customStyle="1" w:styleId="10">
    <w:name w:val="样式2"/>
    <w:basedOn w:val="1"/>
    <w:qFormat/>
    <w:uiPriority w:val="99"/>
    <w:pPr>
      <w:shd w:val="clear" w:color="auto" w:fill="FFFFFF"/>
      <w:spacing w:before="100" w:beforeAutospacing="1" w:after="100" w:afterAutospacing="1"/>
      <w:ind w:left="562"/>
      <w:jc w:val="center"/>
    </w:pPr>
    <w:rPr>
      <w:rFonts w:ascii="宋体"/>
      <w:b/>
      <w:bCs/>
      <w:szCs w:val="21"/>
    </w:rPr>
  </w:style>
  <w:style w:type="paragraph" w:customStyle="1" w:styleId="11">
    <w:name w:val="列出段落1"/>
    <w:basedOn w:val="1"/>
    <w:unhideWhenUsed/>
    <w:qFormat/>
    <w:uiPriority w:val="99"/>
    <w:pPr>
      <w:ind w:firstLine="420" w:firstLineChars="200"/>
    </w:pPr>
  </w:style>
  <w:style w:type="character" w:customStyle="1" w:styleId="12">
    <w:name w:val="页眉 Char"/>
    <w:basedOn w:val="8"/>
    <w:link w:val="4"/>
    <w:qFormat/>
    <w:uiPriority w:val="99"/>
    <w:rPr>
      <w:rFonts w:ascii="Tahoma" w:hAnsi="Tahoma"/>
      <w:sz w:val="18"/>
      <w:szCs w:val="18"/>
    </w:rPr>
  </w:style>
  <w:style w:type="character" w:customStyle="1" w:styleId="13">
    <w:name w:val="页脚 Char"/>
    <w:basedOn w:val="8"/>
    <w:link w:val="3"/>
    <w:qFormat/>
    <w:uiPriority w:val="0"/>
    <w:rPr>
      <w:rFonts w:ascii="Tahoma" w:hAnsi="Tahoma"/>
      <w:sz w:val="18"/>
      <w:szCs w:val="18"/>
    </w:r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2324</Words>
  <Characters>2429</Characters>
  <Lines>17</Lines>
  <Paragraphs>4</Paragraphs>
  <TotalTime>25</TotalTime>
  <ScaleCrop>false</ScaleCrop>
  <LinksUpToDate>false</LinksUpToDate>
  <CharactersWithSpaces>2438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brave</cp:lastModifiedBy>
  <dcterms:modified xsi:type="dcterms:W3CDTF">2024-07-09T03:42:30Z</dcterms:modified>
  <dc:title>2017年度部门整体绩效评价报告</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6DD3441A55DF43428F37502AA3453A06</vt:lpwstr>
  </property>
</Properties>
</file>