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eastAsia="黑体"/>
          <w:bCs/>
          <w:kern w:val="0"/>
          <w:sz w:val="32"/>
          <w:szCs w:val="32"/>
        </w:rPr>
      </w:pPr>
      <w:r>
        <w:rPr>
          <w:rFonts w:hint="eastAsia" w:ascii="黑体" w:hAnsi="黑体" w:eastAsia="黑体" w:cs="黑体"/>
          <w:b/>
          <w:kern w:val="0"/>
          <w:sz w:val="44"/>
          <w:szCs w:val="44"/>
        </w:rPr>
        <w:t>202</w:t>
      </w:r>
      <w:r>
        <w:rPr>
          <w:rFonts w:hint="eastAsia" w:ascii="黑体" w:hAnsi="黑体" w:eastAsia="黑体" w:cs="黑体"/>
          <w:b/>
          <w:kern w:val="0"/>
          <w:sz w:val="44"/>
          <w:szCs w:val="44"/>
          <w:lang w:val="en-US" w:eastAsia="zh-CN"/>
        </w:rPr>
        <w:t>3</w:t>
      </w:r>
      <w:r>
        <w:rPr>
          <w:rFonts w:hint="eastAsia" w:ascii="黑体" w:hAnsi="黑体" w:eastAsia="黑体" w:cs="黑体"/>
          <w:b/>
          <w:kern w:val="0"/>
          <w:sz w:val="44"/>
          <w:szCs w:val="44"/>
        </w:rPr>
        <w:t>年中共蓝山县委机构编制委员会办公室部门决算</w:t>
      </w:r>
    </w:p>
    <w:p>
      <w:pPr>
        <w:widowControl/>
        <w:spacing w:line="600" w:lineRule="exact"/>
        <w:jc w:val="center"/>
        <w:rPr>
          <w:rFonts w:eastAsia="黑体"/>
          <w:b/>
          <w:kern w:val="0"/>
          <w:sz w:val="32"/>
          <w:szCs w:val="32"/>
        </w:rPr>
      </w:pPr>
    </w:p>
    <w:p>
      <w:pPr>
        <w:widowControl/>
        <w:spacing w:line="600" w:lineRule="exact"/>
        <w:jc w:val="center"/>
        <w:rPr>
          <w:rFonts w:eastAsia="黑体"/>
          <w:b/>
          <w:kern w:val="0"/>
          <w:sz w:val="32"/>
          <w:szCs w:val="32"/>
        </w:rPr>
      </w:pPr>
      <w:r>
        <w:rPr>
          <w:rFonts w:eastAsia="黑体"/>
          <w:b/>
          <w:kern w:val="0"/>
          <w:sz w:val="32"/>
          <w:szCs w:val="32"/>
        </w:rPr>
        <w:t>目 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中共蓝山县委机构编制委员会办公室部门概况</w:t>
      </w:r>
    </w:p>
    <w:p>
      <w:pPr>
        <w:pStyle w:val="26"/>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一、部门职责</w:t>
      </w:r>
    </w:p>
    <w:p>
      <w:pPr>
        <w:pStyle w:val="26"/>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eastAsia="zh-CN"/>
        </w:rPr>
        <w:t>2023</w:t>
      </w:r>
      <w:r>
        <w:rPr>
          <w:rFonts w:hint="eastAsia" w:ascii="黑体" w:hAnsi="黑体" w:eastAsia="黑体" w:cs="黑体"/>
          <w:b/>
          <w:bCs/>
          <w:kern w:val="0"/>
          <w:sz w:val="32"/>
          <w:szCs w:val="32"/>
        </w:rPr>
        <w:t>年部门决算表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一、部门收支</w:t>
      </w:r>
      <w:r>
        <w:rPr>
          <w:rFonts w:ascii="Times New Roman" w:hAnsi="Times New Roman" w:eastAsia="仿宋_GB2312" w:cs="Times New Roman"/>
          <w:sz w:val="32"/>
          <w:szCs w:val="32"/>
        </w:rPr>
        <w:t>决算总表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二、部门</w:t>
      </w:r>
      <w:r>
        <w:rPr>
          <w:rFonts w:ascii="Times New Roman" w:hAnsi="Times New Roman" w:eastAsia="仿宋_GB2312" w:cs="Times New Roman"/>
          <w:sz w:val="32"/>
          <w:szCs w:val="32"/>
        </w:rPr>
        <w:t>收入决算表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三、部门</w:t>
      </w:r>
      <w:r>
        <w:rPr>
          <w:rFonts w:ascii="Times New Roman" w:hAnsi="Times New Roman" w:eastAsia="仿宋_GB2312" w:cs="Times New Roman"/>
          <w:sz w:val="32"/>
          <w:szCs w:val="32"/>
        </w:rPr>
        <w:t>支出决算表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一般公共预算财政拨款支出决算表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一般公共预算财政拨款基本支出决算表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一般公共预算财政拨款“三公”经费支出决算表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政府性基金预算财政拨款收入支出决算表</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eastAsia="zh-CN"/>
        </w:rPr>
        <w:t>2023</w:t>
      </w:r>
      <w:r>
        <w:rPr>
          <w:rFonts w:hint="eastAsia" w:ascii="黑体" w:hAnsi="黑体" w:eastAsia="黑体" w:cs="黑体"/>
          <w:b/>
          <w:bCs/>
          <w:kern w:val="0"/>
          <w:sz w:val="32"/>
          <w:szCs w:val="32"/>
        </w:rPr>
        <w:t>年度部门决算情况说明</w:t>
      </w:r>
    </w:p>
    <w:p>
      <w:pPr>
        <w:pStyle w:val="26"/>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七、</w:t>
      </w:r>
      <w:r>
        <w:rPr>
          <w:rFonts w:eastAsia="仿宋_GB2312"/>
          <w:color w:val="000000"/>
          <w:kern w:val="0"/>
          <w:sz w:val="32"/>
          <w:szCs w:val="32"/>
        </w:rPr>
        <w:t>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p>
    <w:p>
      <w:pPr>
        <w:rPr>
          <w:rFonts w:hint="eastAsia"/>
          <w:sz w:val="72"/>
          <w:szCs w:val="72"/>
        </w:rPr>
      </w:pPr>
    </w:p>
    <w:p>
      <w:pPr>
        <w:rPr>
          <w:rFonts w:hint="eastAsia"/>
          <w:sz w:val="72"/>
          <w:szCs w:val="72"/>
        </w:rPr>
      </w:pPr>
    </w:p>
    <w:p>
      <w:pPr>
        <w:rPr>
          <w:rFonts w:hint="eastAsia"/>
          <w:sz w:val="72"/>
          <w:szCs w:val="7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第一部分 中共蓝山县委机构编制委员会办公室部门概况</w:t>
      </w:r>
    </w:p>
    <w:p>
      <w:pPr>
        <w:pStyle w:val="25"/>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一、部门职能职责</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中共蓝山县委机构编制委员会办公室是蓝山县委的组成部门之一，是全县机构和编制的管理部门。主要职责包括：</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（一）统一管理全县各级党政机关和人大、政协、法院、检察院机关以及各民主党派、人民团体机关的机构编制工作，检查监督各级行政管理体制改革和机构改革方案以及机构编制执行情况。</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（二）研究拟定全县行政管理体制改革与机构改革方案及有关规定，审核县直各部门和各乡镇党政机构改革方案；指导、协调县直各部门和各乡镇行政管理体制改革、机构改革以及机构编制管理工作。</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（三）协调县委、县政府各部门的职能配置及职能调整；协调县委、县政府各部门之间及与乡镇之间的职责分工和事权划分。</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（四）负责县委、县政府各部门和各乡镇的职能职责、机构设置、人员编制和领导职数的审核、审批。</w:t>
      </w:r>
    </w:p>
    <w:p>
      <w:pPr>
        <w:ind w:firstLine="640" w:firstLineChars="200"/>
        <w:rPr>
          <w:rFonts w:hint="eastAsia" w:ascii="仿宋" w:hAnsi="仿宋" w:eastAsia="仿宋" w:cs="仿宋"/>
          <w:sz w:val="32"/>
          <w:szCs w:val="32"/>
        </w:rPr>
      </w:pPr>
      <w:r>
        <w:rPr>
          <w:rFonts w:hint="eastAsia" w:ascii="仿宋_GB2312" w:hAnsi="仿宋_GB2312" w:eastAsia="仿宋_GB2312" w:cs="仿宋_GB2312"/>
          <w:color w:val="000000"/>
          <w:sz w:val="32"/>
          <w:szCs w:val="32"/>
          <w:shd w:val="clear" w:color="auto" w:fill="FFFFFF"/>
        </w:rPr>
        <w:t>（五）审核</w:t>
      </w:r>
      <w:r>
        <w:rPr>
          <w:rFonts w:hint="eastAsia" w:ascii="仿宋" w:hAnsi="仿宋" w:eastAsia="仿宋" w:cs="仿宋"/>
          <w:sz w:val="32"/>
          <w:szCs w:val="32"/>
        </w:rPr>
        <w:t>县人大、县政协、县人民法院、县人民检察院机关和各民主党派、人民团体机关的内设机构、人员编制和领导职数。</w:t>
      </w:r>
    </w:p>
    <w:p>
      <w:pPr>
        <w:ind w:firstLine="640" w:firstLineChars="200"/>
        <w:rPr>
          <w:rFonts w:hint="eastAsia" w:ascii="仿宋" w:hAnsi="仿宋" w:eastAsia="仿宋" w:cs="仿宋"/>
          <w:sz w:val="32"/>
          <w:szCs w:val="32"/>
        </w:rPr>
      </w:pPr>
      <w:r>
        <w:rPr>
          <w:rFonts w:hint="eastAsia" w:ascii="仿宋_GB2312" w:hAnsi="仿宋_GB2312" w:eastAsia="仿宋_GB2312" w:cs="仿宋_GB2312"/>
          <w:color w:val="000000"/>
          <w:sz w:val="32"/>
          <w:szCs w:val="32"/>
          <w:shd w:val="clear" w:color="auto" w:fill="FFFFFF"/>
        </w:rPr>
        <w:t>（六）</w:t>
      </w:r>
      <w:r>
        <w:rPr>
          <w:rFonts w:hint="eastAsia" w:ascii="仿宋" w:hAnsi="仿宋" w:eastAsia="仿宋" w:cs="仿宋"/>
          <w:sz w:val="32"/>
          <w:szCs w:val="32"/>
        </w:rPr>
        <w:t>研究拟定全县事业单位管理体制和机构改革方案；指导、协调各级各类事业单位管理体制改革；负责事业单位机构编制管理工作;审核、审批股级以上事业单位的职能职责、机构设置、人员编制和领导职数;拟定全县事业单位编制配备标准，统一分配、核定事业编制。</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负责本级登记管辖范围内事业单位(含其他组织利用国有资产举办的事业单位)的名称预先核准、牌章管理、注册登记、变更登记、注销登记、年度报告和监督管理工作。负责事业单位登记管理的行政复议、行政诉讼应诉工作。</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（八）研究提出机关、事业单位年度增人控编计划意见，并配合有关部门组织实施;负责本县财政年度预算人员编制和县财政工资统发单位的人员编制审核统计工作。</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（九）负责机构改革和机构编制管理有关信息的采集和情况的综合，负责机构编制统计工作。</w:t>
      </w:r>
    </w:p>
    <w:p>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（十）加强对党政群机关及事业单位网上名称、规范使用的监督和管理，积极推动政务和公益域名的应用普及。</w:t>
      </w:r>
    </w:p>
    <w:p>
      <w:pPr>
        <w:ind w:firstLine="640" w:firstLineChars="200"/>
        <w:rPr>
          <w:rFonts w:hint="eastAsia" w:ascii="仿宋" w:hAnsi="仿宋" w:eastAsia="仿宋" w:cs="仿宋"/>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（十一</w:t>
      </w:r>
      <w:r>
        <w:rPr>
          <w:rFonts w:hint="eastAsia" w:ascii="楷体_GB2312" w:hAnsi="宋体" w:eastAsia="楷体_GB2312"/>
          <w:b/>
          <w:bCs/>
          <w:kern w:val="0"/>
          <w:sz w:val="32"/>
          <w:szCs w:val="32"/>
        </w:rPr>
        <w:t>）</w:t>
      </w:r>
      <w:r>
        <w:rPr>
          <w:rFonts w:hint="eastAsia" w:ascii="仿宋" w:hAnsi="仿宋" w:eastAsia="仿宋" w:cs="仿宋"/>
          <w:sz w:val="32"/>
          <w:szCs w:val="32"/>
        </w:rPr>
        <w:t>承办县委、县政府和县委机构编制委员会交办的其他事项。</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3" w:firstLineChars="200"/>
        <w:rPr>
          <w:rFonts w:hint="eastAsia" w:ascii="仿宋" w:hAnsi="仿宋" w:eastAsia="仿宋" w:cs="仿宋"/>
          <w:sz w:val="32"/>
        </w:rPr>
      </w:pPr>
      <w:r>
        <w:rPr>
          <w:rFonts w:hint="eastAsia" w:ascii="楷体_GB2312" w:hAnsi="宋体" w:eastAsia="楷体_GB2312"/>
          <w:b/>
          <w:bCs/>
          <w:kern w:val="0"/>
          <w:sz w:val="32"/>
          <w:szCs w:val="32"/>
        </w:rPr>
        <w:t>（一）内设机构设置。</w:t>
      </w:r>
      <w:r>
        <w:rPr>
          <w:rFonts w:hint="eastAsia" w:ascii="仿宋" w:hAnsi="仿宋" w:eastAsia="仿宋" w:cs="仿宋"/>
          <w:sz w:val="32"/>
        </w:rPr>
        <w:t>中共蓝山县委机构编制委员会办公室是中共蓝山县委机构编制委员会的常设办事机构，负责全县行政管理体制与机构改革及机构编制的工作，归口组织部管理的正科级行政单位，内设</w:t>
      </w:r>
      <w:r>
        <w:rPr>
          <w:rFonts w:hint="eastAsia" w:ascii="仿宋" w:hAnsi="仿宋" w:eastAsia="仿宋" w:cs="仿宋"/>
          <w:sz w:val="32"/>
          <w:szCs w:val="32"/>
        </w:rPr>
        <w:t>综合室（信访室）、行政机构编制股、事业机构编制股、实名制与信息管理股（监督检查股）、事业单位登记管理股（机关群团统一社会信用代码管理股）</w:t>
      </w:r>
      <w:r>
        <w:rPr>
          <w:rFonts w:hint="eastAsia" w:ascii="仿宋" w:hAnsi="仿宋" w:eastAsia="仿宋" w:cs="仿宋"/>
          <w:sz w:val="32"/>
        </w:rPr>
        <w:t>,行政编制9名，单列编制1名;下设副科级事业单位机构编制事务中心，定全额事业编制8名。我单位现有在职人员</w:t>
      </w:r>
      <w:r>
        <w:rPr>
          <w:rFonts w:hint="eastAsia" w:ascii="仿宋" w:hAnsi="仿宋" w:eastAsia="仿宋" w:cs="仿宋"/>
          <w:sz w:val="32"/>
          <w:lang w:val="en-US" w:eastAsia="zh-CN"/>
        </w:rPr>
        <w:t>16</w:t>
      </w:r>
      <w:r>
        <w:rPr>
          <w:rFonts w:hint="eastAsia" w:ascii="仿宋" w:hAnsi="仿宋" w:eastAsia="仿宋" w:cs="仿宋"/>
          <w:sz w:val="32"/>
        </w:rPr>
        <w:t>人，退休人员</w:t>
      </w:r>
      <w:r>
        <w:rPr>
          <w:rFonts w:hint="eastAsia" w:ascii="仿宋" w:hAnsi="仿宋" w:eastAsia="仿宋" w:cs="仿宋"/>
          <w:sz w:val="32"/>
          <w:lang w:val="en-US" w:eastAsia="zh-CN"/>
        </w:rPr>
        <w:t>6</w:t>
      </w:r>
      <w:r>
        <w:rPr>
          <w:rFonts w:hint="eastAsia" w:ascii="仿宋" w:hAnsi="仿宋" w:eastAsia="仿宋" w:cs="仿宋"/>
          <w:sz w:val="32"/>
        </w:rPr>
        <w:t>人。</w:t>
      </w:r>
    </w:p>
    <w:p>
      <w:pPr>
        <w:ind w:firstLine="0" w:firstLineChars="0"/>
        <w:rPr>
          <w:rFonts w:hint="eastAsia" w:ascii="仿宋" w:hAnsi="仿宋" w:eastAsia="仿宋" w:cs="仿宋"/>
          <w:sz w:val="32"/>
          <w:szCs w:val="32"/>
        </w:rPr>
      </w:pPr>
      <w:r>
        <w:rPr>
          <w:rFonts w:hint="eastAsia" w:ascii="楷体_GB2312" w:hAnsi="宋体" w:eastAsia="楷体_GB2312"/>
          <w:b/>
          <w:bCs/>
          <w:kern w:val="0"/>
          <w:sz w:val="32"/>
          <w:szCs w:val="32"/>
        </w:rPr>
        <w:t>（二）决算单位构成。</w:t>
      </w:r>
      <w:r>
        <w:rPr>
          <w:rFonts w:hint="eastAsia" w:ascii="仿宋" w:hAnsi="仿宋" w:eastAsia="仿宋" w:cs="仿宋"/>
          <w:sz w:val="32"/>
        </w:rPr>
        <w:t>中共蓝山县委机构编制委员会办公室</w:t>
      </w:r>
      <w:r>
        <w:rPr>
          <w:rFonts w:hint="eastAsia" w:eastAsia="仿宋_GB2312"/>
          <w:bCs/>
          <w:kern w:val="0"/>
          <w:sz w:val="32"/>
          <w:szCs w:val="32"/>
          <w:lang w:eastAsia="zh-CN"/>
        </w:rPr>
        <w:t>2023</w:t>
      </w:r>
      <w:r>
        <w:rPr>
          <w:rFonts w:eastAsia="仿宋_GB2312"/>
          <w:bCs/>
          <w:kern w:val="0"/>
          <w:sz w:val="32"/>
          <w:szCs w:val="32"/>
        </w:rPr>
        <w:t>年部门决算汇总公开单位构成包括：</w:t>
      </w:r>
      <w:r>
        <w:rPr>
          <w:rFonts w:hint="eastAsia" w:ascii="仿宋" w:hAnsi="仿宋" w:eastAsia="仿宋" w:cs="仿宋"/>
          <w:sz w:val="32"/>
        </w:rPr>
        <w:t>中共蓝山县委机构编制委员会办公室</w:t>
      </w:r>
      <w:r>
        <w:rPr>
          <w:rFonts w:eastAsia="仿宋_GB2312"/>
          <w:bCs/>
          <w:kern w:val="0"/>
          <w:sz w:val="32"/>
          <w:szCs w:val="32"/>
        </w:rPr>
        <w:t>本级</w:t>
      </w:r>
      <w:r>
        <w:rPr>
          <w:rFonts w:hint="eastAsia" w:eastAsia="仿宋_GB2312"/>
          <w:bCs/>
          <w:kern w:val="0"/>
          <w:sz w:val="32"/>
          <w:szCs w:val="32"/>
        </w:rPr>
        <w:t>；</w:t>
      </w:r>
      <w:r>
        <w:rPr>
          <w:rFonts w:hint="eastAsia" w:ascii="仿宋" w:hAnsi="仿宋" w:eastAsia="仿宋" w:cs="仿宋"/>
          <w:sz w:val="32"/>
          <w:szCs w:val="32"/>
        </w:rPr>
        <w:t>单位性质为行政单位，纳入本套决算编制范围的独立核算单位共1个。</w:t>
      </w:r>
    </w:p>
    <w:p>
      <w:pPr>
        <w:widowControl/>
        <w:spacing w:line="600" w:lineRule="exact"/>
        <w:ind w:firstLine="640" w:firstLineChars="200"/>
        <w:rPr>
          <w:rFonts w:hint="eastAsia" w:eastAsia="仿宋_GB2312"/>
          <w:bCs/>
          <w:kern w:val="0"/>
          <w:sz w:val="32"/>
          <w:szCs w:val="32"/>
        </w:rPr>
      </w:pPr>
    </w:p>
    <w:p>
      <w:pPr>
        <w:jc w:val="left"/>
        <w:rPr>
          <w:rFonts w:hint="eastAsia" w:ascii="仿宋_GB2312" w:hAnsi="宋体" w:eastAsia="仿宋_GB2312"/>
          <w:sz w:val="28"/>
          <w:szCs w:val="32"/>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rPr>
          <w:sz w:val="72"/>
          <w:szCs w:val="72"/>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eastAsia="zh-CN"/>
        </w:rPr>
        <w:t>2023</w:t>
      </w:r>
      <w:r>
        <w:rPr>
          <w:rFonts w:hint="eastAsia" w:ascii="黑体" w:hAnsi="黑体" w:eastAsia="黑体" w:cs="黑体"/>
          <w:bCs/>
          <w:kern w:val="0"/>
          <w:sz w:val="44"/>
          <w:szCs w:val="44"/>
        </w:rPr>
        <w:t>年部门决算表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widowControl/>
        <w:jc w:val="left"/>
        <w:rPr>
          <w:rFonts w:ascii="宋体" w:hAnsi="宋体"/>
          <w:kern w:val="0"/>
          <w:sz w:val="32"/>
          <w:szCs w:val="32"/>
        </w:rPr>
        <w:sectPr>
          <w:pgSz w:w="11906" w:h="16838"/>
          <w:pgMar w:top="1440" w:right="1558" w:bottom="1440" w:left="1800" w:header="851" w:footer="992" w:gutter="0"/>
          <w:cols w:space="720" w:num="1"/>
          <w:docGrid w:type="lines" w:linePitch="312" w:charSpace="0"/>
        </w:sectPr>
      </w:pPr>
    </w:p>
    <w:p>
      <w:pPr>
        <w:jc w:val="center"/>
        <w:rPr>
          <w:rFonts w:ascii="方正小标宋_GBK" w:hAnsi="黑体" w:eastAsia="方正小标宋_GBK"/>
          <w:sz w:val="36"/>
          <w:szCs w:val="32"/>
        </w:rPr>
      </w:pPr>
    </w:p>
    <w:tbl>
      <w:tblPr>
        <w:tblStyle w:val="13"/>
        <w:tblpPr w:leftFromText="180" w:rightFromText="180" w:vertAnchor="text" w:horzAnchor="page" w:tblpX="1491" w:tblpY="555"/>
        <w:tblOverlap w:val="never"/>
        <w:tblW w:w="14048" w:type="dxa"/>
        <w:tblInd w:w="0" w:type="dxa"/>
        <w:tblLayout w:type="fixed"/>
        <w:tblCellMar>
          <w:top w:w="0" w:type="dxa"/>
          <w:left w:w="108" w:type="dxa"/>
          <w:bottom w:w="0" w:type="dxa"/>
          <w:right w:w="108" w:type="dxa"/>
        </w:tblCellMar>
      </w:tblPr>
      <w:tblGrid>
        <w:gridCol w:w="1213"/>
        <w:gridCol w:w="702"/>
        <w:gridCol w:w="4220"/>
        <w:gridCol w:w="244"/>
        <w:gridCol w:w="372"/>
        <w:gridCol w:w="2475"/>
        <w:gridCol w:w="372"/>
        <w:gridCol w:w="4450"/>
      </w:tblGrid>
      <w:tr>
        <w:tblPrEx>
          <w:tblCellMar>
            <w:top w:w="0" w:type="dxa"/>
            <w:left w:w="108" w:type="dxa"/>
            <w:bottom w:w="0" w:type="dxa"/>
            <w:right w:w="108" w:type="dxa"/>
          </w:tblCellMar>
        </w:tblPrEx>
        <w:trPr>
          <w:trHeight w:val="1250" w:hRule="atLeast"/>
        </w:trPr>
        <w:tc>
          <w:tcPr>
            <w:tcW w:w="14048"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12" w:hRule="atLeast"/>
        </w:trPr>
        <w:tc>
          <w:tcPr>
            <w:tcW w:w="1213"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02"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20"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6"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47" w:type="dxa"/>
            <w:gridSpan w:val="2"/>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4450"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1表</w:t>
            </w:r>
          </w:p>
        </w:tc>
      </w:tr>
      <w:tr>
        <w:tblPrEx>
          <w:tblCellMar>
            <w:top w:w="0" w:type="dxa"/>
            <w:left w:w="108" w:type="dxa"/>
            <w:bottom w:w="0" w:type="dxa"/>
            <w:right w:w="108" w:type="dxa"/>
          </w:tblCellMar>
        </w:tblPrEx>
        <w:trPr>
          <w:trHeight w:val="312" w:hRule="atLeast"/>
        </w:trPr>
        <w:tc>
          <w:tcPr>
            <w:tcW w:w="1213" w:type="dxa"/>
            <w:tcBorders>
              <w:top w:val="nil"/>
              <w:left w:val="nil"/>
              <w:bottom w:val="nil"/>
              <w:right w:val="nil"/>
            </w:tcBorders>
            <w:noWrap/>
            <w:vAlign w:val="center"/>
          </w:tcPr>
          <w:p>
            <w:pPr>
              <w:widowControl/>
              <w:rPr>
                <w:rFonts w:hint="eastAsia" w:ascii="宋体" w:hAnsi="宋体" w:cs="宋体"/>
                <w:color w:val="000000"/>
                <w:kern w:val="0"/>
                <w:sz w:val="20"/>
                <w:szCs w:val="20"/>
              </w:rPr>
            </w:pPr>
            <w:r>
              <w:rPr>
                <w:rFonts w:hint="eastAsia" w:eastAsia="仿宋_GB2312"/>
                <w:color w:val="000000"/>
                <w:kern w:val="0"/>
                <w:szCs w:val="21"/>
              </w:rPr>
              <w:t>部门：</w:t>
            </w:r>
          </w:p>
        </w:tc>
        <w:tc>
          <w:tcPr>
            <w:tcW w:w="4922"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eastAsia="仿宋_GB2312"/>
                <w:color w:val="000000"/>
                <w:kern w:val="0"/>
                <w:szCs w:val="21"/>
              </w:rPr>
              <w:t>中共蓝山县委机构编制委员会办公室</w:t>
            </w:r>
          </w:p>
        </w:tc>
        <w:tc>
          <w:tcPr>
            <w:tcW w:w="244"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47"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4822" w:type="dxa"/>
            <w:gridSpan w:val="2"/>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spacing w:line="320" w:lineRule="exact"/>
        <w:ind w:left="420" w:leftChars="200" w:right="197" w:rightChars="94"/>
        <w:jc w:val="right"/>
        <w:rPr>
          <w:rFonts w:eastAsia="仿宋_GB2312"/>
          <w:color w:val="000000"/>
          <w:kern w:val="0"/>
          <w:szCs w:val="21"/>
        </w:rPr>
      </w:pPr>
      <w:r>
        <w:rPr>
          <w:rFonts w:eastAsia="仿宋_GB2312"/>
          <w:color w:val="000000"/>
          <w:kern w:val="0"/>
          <w:szCs w:val="21"/>
        </w:rPr>
        <w:t xml:space="preserve">                                                                                                           </w:t>
      </w:r>
    </w:p>
    <w:tbl>
      <w:tblPr>
        <w:tblStyle w:val="1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205.83</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205.83</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205.83</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r>
    </w:tbl>
    <w:p>
      <w:pPr>
        <w:widowControl/>
        <w:ind w:left="420" w:leftChars="200"/>
        <w:jc w:val="left"/>
        <w:rPr>
          <w:rFonts w:eastAsia="仿宋_GB2312"/>
          <w:kern w:val="0"/>
          <w:szCs w:val="21"/>
        </w:rPr>
      </w:pPr>
      <w:r>
        <w:rPr>
          <w:rFonts w:hint="eastAsia" w:eastAsia="仿宋_GB2312"/>
          <w:kern w:val="0"/>
          <w:szCs w:val="21"/>
        </w:rPr>
        <w:t>注：本表反映部门本年度的总收支和年末结转结余情况。</w:t>
      </w:r>
    </w:p>
    <w:p>
      <w:pPr>
        <w:widowControl/>
        <w:ind w:left="420" w:leftChars="200"/>
        <w:jc w:val="left"/>
        <w:rPr>
          <w:rFonts w:eastAsia="黑体"/>
          <w:bCs/>
          <w:kern w:val="0"/>
          <w:sz w:val="32"/>
          <w:szCs w:val="32"/>
        </w:rPr>
      </w:pPr>
      <w:r>
        <w:rPr>
          <w:rFonts w:eastAsia="黑体"/>
          <w:bCs/>
          <w:kern w:val="0"/>
          <w:sz w:val="32"/>
          <w:szCs w:val="32"/>
        </w:rPr>
        <w:br w:type="page"/>
      </w:r>
    </w:p>
    <w:tbl>
      <w:tblPr>
        <w:tblStyle w:val="13"/>
        <w:tblpPr w:leftFromText="180" w:rightFromText="180" w:vertAnchor="text" w:horzAnchor="page" w:tblpX="1629" w:tblpY="555"/>
        <w:tblOverlap w:val="never"/>
        <w:tblW w:w="13825" w:type="dxa"/>
        <w:tblInd w:w="0" w:type="dxa"/>
        <w:tblLayout w:type="fixed"/>
        <w:tblCellMar>
          <w:top w:w="0" w:type="dxa"/>
          <w:left w:w="108" w:type="dxa"/>
          <w:bottom w:w="0" w:type="dxa"/>
          <w:right w:w="108" w:type="dxa"/>
        </w:tblCellMar>
      </w:tblPr>
      <w:tblGrid>
        <w:gridCol w:w="1145"/>
        <w:gridCol w:w="636"/>
        <w:gridCol w:w="4200"/>
        <w:gridCol w:w="240"/>
        <w:gridCol w:w="372"/>
        <w:gridCol w:w="2466"/>
        <w:gridCol w:w="372"/>
        <w:gridCol w:w="4394"/>
      </w:tblGrid>
      <w:tr>
        <w:tblPrEx>
          <w:tblCellMar>
            <w:top w:w="0" w:type="dxa"/>
            <w:left w:w="108" w:type="dxa"/>
            <w:bottom w:w="0" w:type="dxa"/>
            <w:right w:w="108" w:type="dxa"/>
          </w:tblCellMar>
        </w:tblPrEx>
        <w:trPr>
          <w:trHeight w:val="1381" w:hRule="atLeast"/>
        </w:trPr>
        <w:tc>
          <w:tcPr>
            <w:tcW w:w="13825" w:type="dxa"/>
            <w:gridSpan w:val="8"/>
            <w:tcBorders>
              <w:top w:val="nil"/>
              <w:left w:val="nil"/>
              <w:bottom w:val="nil"/>
              <w:right w:val="nil"/>
            </w:tcBorders>
            <w:noWrap w:val="0"/>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45" w:hRule="atLeast"/>
        </w:trPr>
        <w:tc>
          <w:tcPr>
            <w:tcW w:w="1145"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3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200"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12"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4394"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2表</w:t>
            </w:r>
          </w:p>
        </w:tc>
      </w:tr>
      <w:tr>
        <w:tblPrEx>
          <w:tblCellMar>
            <w:top w:w="0" w:type="dxa"/>
            <w:left w:w="108" w:type="dxa"/>
            <w:bottom w:w="0" w:type="dxa"/>
            <w:right w:w="108" w:type="dxa"/>
          </w:tblCellMar>
        </w:tblPrEx>
        <w:trPr>
          <w:trHeight w:val="345" w:hRule="atLeast"/>
        </w:trPr>
        <w:tc>
          <w:tcPr>
            <w:tcW w:w="1145"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eastAsia="仿宋_GB2312"/>
                <w:color w:val="000000"/>
                <w:kern w:val="0"/>
                <w:szCs w:val="21"/>
              </w:rPr>
              <w:t>中共蓝山县委机构编制委员会办公室</w:t>
            </w:r>
          </w:p>
        </w:tc>
        <w:tc>
          <w:tcPr>
            <w:tcW w:w="240"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38"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4766" w:type="dxa"/>
            <w:gridSpan w:val="2"/>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ind w:left="420" w:leftChars="200" w:firstLine="630" w:firstLineChars="300"/>
        <w:jc w:val="left"/>
        <w:rPr>
          <w:rFonts w:eastAsia="仿宋_GB2312"/>
          <w:color w:val="000000"/>
          <w:kern w:val="0"/>
          <w:szCs w:val="21"/>
        </w:rPr>
      </w:pPr>
      <w:r>
        <w:rPr>
          <w:rFonts w:eastAsia="仿宋_GB2312"/>
          <w:color w:val="000000"/>
          <w:kern w:val="0"/>
          <w:szCs w:val="21"/>
        </w:rPr>
        <w:t xml:space="preserve">                                                                                                           </w:t>
      </w:r>
    </w:p>
    <w:tbl>
      <w:tblPr>
        <w:tblStyle w:val="13"/>
        <w:tblW w:w="13813" w:type="dxa"/>
        <w:jc w:val="center"/>
        <w:tblLayout w:type="fixed"/>
        <w:tblCellMar>
          <w:top w:w="0" w:type="dxa"/>
          <w:left w:w="108" w:type="dxa"/>
          <w:bottom w:w="0" w:type="dxa"/>
          <w:right w:w="108" w:type="dxa"/>
        </w:tblCellMar>
      </w:tblPr>
      <w:tblGrid>
        <w:gridCol w:w="1197"/>
        <w:gridCol w:w="1988"/>
        <w:gridCol w:w="1052"/>
        <w:gridCol w:w="1569"/>
        <w:gridCol w:w="1526"/>
        <w:gridCol w:w="1382"/>
        <w:gridCol w:w="1412"/>
        <w:gridCol w:w="1676"/>
        <w:gridCol w:w="2011"/>
      </w:tblGrid>
      <w:tr>
        <w:tblPrEx>
          <w:tblCellMar>
            <w:top w:w="0" w:type="dxa"/>
            <w:left w:w="108" w:type="dxa"/>
            <w:bottom w:w="0" w:type="dxa"/>
            <w:right w:w="108" w:type="dxa"/>
          </w:tblCellMar>
        </w:tblPrEx>
        <w:trPr>
          <w:trHeight w:val="450" w:hRule="atLeast"/>
          <w:jc w:val="center"/>
        </w:trPr>
        <w:tc>
          <w:tcPr>
            <w:tcW w:w="3185" w:type="dxa"/>
            <w:gridSpan w:val="2"/>
            <w:tcBorders>
              <w:top w:val="single" w:color="auto" w:sz="8" w:space="0"/>
              <w:left w:val="single" w:color="auto" w:sz="8" w:space="0"/>
              <w:bottom w:val="single" w:color="auto" w:sz="4" w:space="0"/>
              <w:right w:val="nil"/>
            </w:tcBorders>
            <w:noWrap w:val="0"/>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05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本年收入合计</w:t>
            </w:r>
          </w:p>
        </w:tc>
        <w:tc>
          <w:tcPr>
            <w:tcW w:w="1569"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财政拨款收入</w:t>
            </w:r>
          </w:p>
        </w:tc>
        <w:tc>
          <w:tcPr>
            <w:tcW w:w="152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98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105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56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52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szCs w:val="21"/>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05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56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52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3185"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eastAsia="仿宋_GB2312"/>
                <w:kern w:val="0"/>
                <w:szCs w:val="21"/>
                <w:highlight w:val="none"/>
              </w:rPr>
            </w:pPr>
            <w:r>
              <w:rPr>
                <w:rFonts w:hint="eastAsia" w:eastAsia="仿宋_GB2312"/>
                <w:kern w:val="0"/>
                <w:szCs w:val="21"/>
                <w:highlight w:val="none"/>
              </w:rPr>
              <w:t>栏次</w:t>
            </w:r>
          </w:p>
        </w:tc>
        <w:tc>
          <w:tcPr>
            <w:tcW w:w="1052" w:type="dxa"/>
            <w:tcBorders>
              <w:top w:val="nil"/>
              <w:left w:val="nil"/>
              <w:bottom w:val="single" w:color="auto" w:sz="4" w:space="0"/>
              <w:right w:val="single" w:color="auto" w:sz="4" w:space="0"/>
            </w:tcBorders>
            <w:noWrap/>
            <w:vAlign w:val="center"/>
          </w:tcPr>
          <w:p>
            <w:pPr>
              <w:widowControl/>
              <w:jc w:val="center"/>
              <w:rPr>
                <w:rFonts w:eastAsia="仿宋_GB2312"/>
                <w:kern w:val="0"/>
                <w:szCs w:val="21"/>
                <w:highlight w:val="none"/>
              </w:rPr>
            </w:pPr>
            <w:r>
              <w:rPr>
                <w:rFonts w:eastAsia="仿宋_GB2312"/>
                <w:kern w:val="0"/>
                <w:szCs w:val="21"/>
                <w:highlight w:val="none"/>
              </w:rPr>
              <w:t>1</w:t>
            </w:r>
          </w:p>
        </w:tc>
        <w:tc>
          <w:tcPr>
            <w:tcW w:w="1569" w:type="dxa"/>
            <w:tcBorders>
              <w:top w:val="nil"/>
              <w:left w:val="nil"/>
              <w:bottom w:val="single" w:color="auto" w:sz="4" w:space="0"/>
              <w:right w:val="single" w:color="auto" w:sz="4" w:space="0"/>
            </w:tcBorders>
            <w:noWrap/>
            <w:vAlign w:val="center"/>
          </w:tcPr>
          <w:p>
            <w:pPr>
              <w:widowControl/>
              <w:jc w:val="center"/>
              <w:rPr>
                <w:rFonts w:eastAsia="仿宋_GB2312"/>
                <w:kern w:val="0"/>
                <w:szCs w:val="21"/>
                <w:highlight w:val="none"/>
              </w:rPr>
            </w:pPr>
            <w:r>
              <w:rPr>
                <w:rFonts w:eastAsia="仿宋_GB2312"/>
                <w:kern w:val="0"/>
                <w:szCs w:val="21"/>
                <w:highlight w:val="none"/>
              </w:rPr>
              <w:t>2</w:t>
            </w:r>
          </w:p>
        </w:tc>
        <w:tc>
          <w:tcPr>
            <w:tcW w:w="1526" w:type="dxa"/>
            <w:tcBorders>
              <w:top w:val="nil"/>
              <w:left w:val="nil"/>
              <w:bottom w:val="single" w:color="auto" w:sz="4" w:space="0"/>
              <w:right w:val="single" w:color="auto" w:sz="4" w:space="0"/>
            </w:tcBorders>
            <w:noWrap/>
            <w:vAlign w:val="center"/>
          </w:tcPr>
          <w:p>
            <w:pPr>
              <w:widowControl/>
              <w:jc w:val="center"/>
              <w:rPr>
                <w:rFonts w:eastAsia="仿宋_GB2312"/>
                <w:kern w:val="0"/>
                <w:szCs w:val="21"/>
                <w:highlight w:val="none"/>
              </w:rPr>
            </w:pPr>
            <w:r>
              <w:rPr>
                <w:rFonts w:eastAsia="仿宋_GB2312"/>
                <w:kern w:val="0"/>
                <w:szCs w:val="21"/>
                <w:highlight w:val="none"/>
              </w:rPr>
              <w:t>3</w:t>
            </w:r>
          </w:p>
        </w:tc>
        <w:tc>
          <w:tcPr>
            <w:tcW w:w="1382" w:type="dxa"/>
            <w:tcBorders>
              <w:top w:val="nil"/>
              <w:left w:val="nil"/>
              <w:bottom w:val="single" w:color="auto" w:sz="4" w:space="0"/>
              <w:right w:val="single" w:color="auto" w:sz="4" w:space="0"/>
            </w:tcBorders>
            <w:noWrap/>
            <w:vAlign w:val="center"/>
          </w:tcPr>
          <w:p>
            <w:pPr>
              <w:widowControl/>
              <w:jc w:val="center"/>
              <w:rPr>
                <w:rFonts w:eastAsia="仿宋_GB2312"/>
                <w:kern w:val="0"/>
                <w:szCs w:val="21"/>
                <w:highlight w:val="none"/>
              </w:rPr>
            </w:pPr>
            <w:r>
              <w:rPr>
                <w:rFonts w:eastAsia="仿宋_GB2312"/>
                <w:kern w:val="0"/>
                <w:szCs w:val="21"/>
                <w:highlight w:val="none"/>
              </w:rPr>
              <w:t>4</w:t>
            </w:r>
          </w:p>
        </w:tc>
        <w:tc>
          <w:tcPr>
            <w:tcW w:w="141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r>
      <w:tr>
        <w:tblPrEx>
          <w:tblCellMar>
            <w:top w:w="0" w:type="dxa"/>
            <w:left w:w="108" w:type="dxa"/>
            <w:bottom w:w="0" w:type="dxa"/>
            <w:right w:w="108" w:type="dxa"/>
          </w:tblCellMar>
        </w:tblPrEx>
        <w:trPr>
          <w:trHeight w:val="450" w:hRule="atLeast"/>
          <w:jc w:val="center"/>
        </w:trPr>
        <w:tc>
          <w:tcPr>
            <w:tcW w:w="3185" w:type="dxa"/>
            <w:gridSpan w:val="2"/>
            <w:tcBorders>
              <w:top w:val="nil"/>
              <w:left w:val="single" w:color="auto" w:sz="8" w:space="0"/>
              <w:bottom w:val="single" w:color="auto" w:sz="4" w:space="0"/>
              <w:right w:val="single" w:color="000000" w:sz="4" w:space="0"/>
            </w:tcBorders>
            <w:noWrap/>
            <w:vAlign w:val="center"/>
          </w:tcPr>
          <w:p>
            <w:pPr>
              <w:widowControl/>
              <w:jc w:val="center"/>
              <w:rPr>
                <w:rFonts w:eastAsia="仿宋_GB2312"/>
                <w:kern w:val="0"/>
                <w:szCs w:val="21"/>
                <w:highlight w:val="none"/>
              </w:rPr>
            </w:pPr>
            <w:r>
              <w:rPr>
                <w:rFonts w:hint="eastAsia" w:eastAsia="仿宋_GB2312"/>
                <w:kern w:val="0"/>
                <w:szCs w:val="21"/>
                <w:highlight w:val="none"/>
              </w:rPr>
              <w:t>合计</w:t>
            </w:r>
          </w:p>
        </w:tc>
        <w:tc>
          <w:tcPr>
            <w:tcW w:w="105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69"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26"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val="en-US" w:eastAsia="zh-CN"/>
              </w:rPr>
              <w:t>201</w:t>
            </w:r>
          </w:p>
        </w:tc>
        <w:tc>
          <w:tcPr>
            <w:tcW w:w="1988"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lang w:val="en-US" w:eastAsia="zh-CN"/>
              </w:rPr>
              <w:t>一般公共服务支出</w:t>
            </w:r>
          </w:p>
        </w:tc>
        <w:tc>
          <w:tcPr>
            <w:tcW w:w="105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69"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26"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1059"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eastAsia="仿宋_GB2312"/>
                <w:kern w:val="0"/>
                <w:sz w:val="21"/>
                <w:szCs w:val="21"/>
                <w:highlight w:val="none"/>
                <w:lang w:val="en-US" w:eastAsia="zh-CN" w:bidi="ar-SA"/>
              </w:rPr>
            </w:pPr>
            <w:r>
              <w:rPr>
                <w:rFonts w:hint="eastAsia" w:eastAsia="仿宋_GB2312"/>
                <w:kern w:val="0"/>
                <w:szCs w:val="21"/>
                <w:highlight w:val="none"/>
                <w:lang w:val="en-US" w:eastAsia="zh-CN"/>
              </w:rPr>
              <w:t>20131</w:t>
            </w:r>
          </w:p>
        </w:tc>
        <w:tc>
          <w:tcPr>
            <w:tcW w:w="1988" w:type="dxa"/>
            <w:tcBorders>
              <w:top w:val="nil"/>
              <w:left w:val="nil"/>
              <w:bottom w:val="single" w:color="auto" w:sz="4" w:space="0"/>
              <w:right w:val="single" w:color="auto" w:sz="4" w:space="0"/>
            </w:tcBorders>
            <w:noWrap/>
            <w:vAlign w:val="center"/>
          </w:tcPr>
          <w:p>
            <w:pPr>
              <w:widowControl/>
              <w:jc w:val="left"/>
              <w:rPr>
                <w:rFonts w:hint="eastAsia" w:eastAsia="仿宋_GB2312"/>
                <w:kern w:val="0"/>
                <w:sz w:val="21"/>
                <w:szCs w:val="21"/>
                <w:highlight w:val="none"/>
                <w:lang w:val="en-US" w:eastAsia="zh-CN" w:bidi="ar-SA"/>
              </w:rPr>
            </w:pPr>
            <w:r>
              <w:rPr>
                <w:rFonts w:hint="eastAsia" w:eastAsia="仿宋_GB2312"/>
                <w:kern w:val="0"/>
                <w:szCs w:val="21"/>
                <w:lang w:val="en-US" w:eastAsia="zh-CN"/>
              </w:rPr>
              <w:t xml:space="preserve">  党委办公厅（室）及相关机构事务</w:t>
            </w:r>
          </w:p>
        </w:tc>
        <w:tc>
          <w:tcPr>
            <w:tcW w:w="105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69"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26"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hint="eastAsia" w:eastAsia="仿宋_GB2312"/>
                <w:kern w:val="0"/>
                <w:sz w:val="21"/>
                <w:szCs w:val="21"/>
                <w:highlight w:val="none"/>
                <w:lang w:val="en-US" w:eastAsia="zh-CN" w:bidi="ar-SA"/>
              </w:rPr>
            </w:pPr>
            <w:r>
              <w:rPr>
                <w:rFonts w:hint="eastAsia" w:eastAsia="仿宋_GB2312"/>
                <w:kern w:val="0"/>
                <w:szCs w:val="21"/>
                <w:highlight w:val="none"/>
              </w:rPr>
              <w:t>　</w:t>
            </w:r>
            <w:r>
              <w:rPr>
                <w:rFonts w:hint="eastAsia" w:eastAsia="仿宋_GB2312"/>
                <w:kern w:val="0"/>
                <w:szCs w:val="21"/>
                <w:highlight w:val="none"/>
                <w:lang w:val="en-US" w:eastAsia="zh-CN"/>
              </w:rPr>
              <w:t>2013101</w:t>
            </w:r>
          </w:p>
        </w:tc>
        <w:tc>
          <w:tcPr>
            <w:tcW w:w="1988" w:type="dxa"/>
            <w:tcBorders>
              <w:top w:val="nil"/>
              <w:left w:val="nil"/>
              <w:bottom w:val="single" w:color="auto" w:sz="4" w:space="0"/>
              <w:right w:val="single" w:color="auto" w:sz="4" w:space="0"/>
            </w:tcBorders>
            <w:noWrap/>
            <w:vAlign w:val="center"/>
          </w:tcPr>
          <w:p>
            <w:pPr>
              <w:widowControl/>
              <w:jc w:val="left"/>
              <w:rPr>
                <w:rFonts w:hint="eastAsia" w:eastAsia="仿宋_GB2312"/>
                <w:kern w:val="0"/>
                <w:sz w:val="21"/>
                <w:szCs w:val="21"/>
                <w:highlight w:val="none"/>
                <w:lang w:val="en-US" w:eastAsia="zh-CN" w:bidi="ar-SA"/>
              </w:rPr>
            </w:pPr>
            <w:r>
              <w:rPr>
                <w:rFonts w:hint="eastAsia" w:eastAsia="仿宋_GB2312"/>
                <w:kern w:val="0"/>
                <w:szCs w:val="21"/>
              </w:rPr>
              <w:t>　</w:t>
            </w:r>
            <w:r>
              <w:rPr>
                <w:rFonts w:hint="eastAsia" w:eastAsia="仿宋_GB2312"/>
                <w:kern w:val="0"/>
                <w:szCs w:val="21"/>
                <w:lang w:val="en-US" w:eastAsia="zh-CN"/>
              </w:rPr>
              <w:t>行政运行</w:t>
            </w:r>
          </w:p>
        </w:tc>
        <w:tc>
          <w:tcPr>
            <w:tcW w:w="105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69"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526"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988"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05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69"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2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988" w:type="dxa"/>
            <w:tcBorders>
              <w:top w:val="nil"/>
              <w:left w:val="nil"/>
              <w:bottom w:val="single" w:color="auto" w:sz="8"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05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69"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2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ind w:left="420" w:leftChars="200"/>
        <w:jc w:val="left"/>
        <w:rPr>
          <w:rFonts w:eastAsia="黑体"/>
          <w:bCs/>
          <w:kern w:val="0"/>
          <w:sz w:val="32"/>
          <w:szCs w:val="32"/>
        </w:rPr>
      </w:pPr>
    </w:p>
    <w:p>
      <w:pPr>
        <w:widowControl/>
        <w:rPr>
          <w:rFonts w:eastAsia="方正小标宋_GBK"/>
          <w:color w:val="000000"/>
          <w:kern w:val="0"/>
          <w:sz w:val="36"/>
          <w:szCs w:val="36"/>
        </w:rPr>
      </w:pPr>
    </w:p>
    <w:tbl>
      <w:tblPr>
        <w:tblStyle w:val="13"/>
        <w:tblpPr w:leftFromText="180" w:rightFromText="180" w:vertAnchor="text" w:horzAnchor="page" w:tblpX="1504" w:tblpY="555"/>
        <w:tblOverlap w:val="never"/>
        <w:tblW w:w="14100" w:type="dxa"/>
        <w:tblInd w:w="0" w:type="dxa"/>
        <w:tblLayout w:type="fixed"/>
        <w:tblCellMar>
          <w:top w:w="0" w:type="dxa"/>
          <w:left w:w="108" w:type="dxa"/>
          <w:bottom w:w="0" w:type="dxa"/>
          <w:right w:w="108" w:type="dxa"/>
        </w:tblCellMar>
      </w:tblPr>
      <w:tblGrid>
        <w:gridCol w:w="1382"/>
        <w:gridCol w:w="336"/>
        <w:gridCol w:w="3518"/>
        <w:gridCol w:w="459"/>
        <w:gridCol w:w="708"/>
        <w:gridCol w:w="173"/>
        <w:gridCol w:w="2692"/>
        <w:gridCol w:w="173"/>
        <w:gridCol w:w="4659"/>
      </w:tblGrid>
      <w:tr>
        <w:tblPrEx>
          <w:tblCellMar>
            <w:top w:w="0" w:type="dxa"/>
            <w:left w:w="108" w:type="dxa"/>
            <w:bottom w:w="0" w:type="dxa"/>
            <w:right w:w="108" w:type="dxa"/>
          </w:tblCellMar>
        </w:tblPrEx>
        <w:trPr>
          <w:trHeight w:val="1414" w:hRule="atLeast"/>
        </w:trPr>
        <w:tc>
          <w:tcPr>
            <w:tcW w:w="14100" w:type="dxa"/>
            <w:gridSpan w:val="9"/>
            <w:tcBorders>
              <w:top w:val="nil"/>
              <w:left w:val="nil"/>
              <w:bottom w:val="nil"/>
              <w:right w:val="nil"/>
            </w:tcBorders>
            <w:noWrap w:val="0"/>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1382"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3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18"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40" w:type="dxa"/>
            <w:gridSpan w:val="3"/>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4659"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3表</w:t>
            </w:r>
          </w:p>
        </w:tc>
      </w:tr>
      <w:tr>
        <w:tblPrEx>
          <w:tblCellMar>
            <w:top w:w="0" w:type="dxa"/>
            <w:left w:w="108" w:type="dxa"/>
            <w:bottom w:w="0" w:type="dxa"/>
            <w:right w:w="108" w:type="dxa"/>
          </w:tblCellMar>
        </w:tblPrEx>
        <w:trPr>
          <w:trHeight w:val="353" w:hRule="atLeast"/>
        </w:trPr>
        <w:tc>
          <w:tcPr>
            <w:tcW w:w="1382" w:type="dxa"/>
            <w:tcBorders>
              <w:top w:val="nil"/>
              <w:left w:val="nil"/>
              <w:bottom w:val="nil"/>
              <w:right w:val="nil"/>
            </w:tcBorders>
            <w:noWrap/>
            <w:vAlign w:val="center"/>
          </w:tcPr>
          <w:p>
            <w:pPr>
              <w:widowControl/>
              <w:jc w:val="left"/>
              <w:rPr>
                <w:rFonts w:ascii="宋体" w:hAnsi="宋体" w:eastAsia="仿宋_GB2312"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eastAsia="仿宋_GB2312"/>
                <w:color w:val="000000"/>
                <w:kern w:val="0"/>
                <w:szCs w:val="21"/>
              </w:rPr>
              <w:t>中共蓝山县委机构编制委员会办公室</w:t>
            </w:r>
          </w:p>
        </w:tc>
        <w:tc>
          <w:tcPr>
            <w:tcW w:w="708"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865"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4832" w:type="dxa"/>
            <w:gridSpan w:val="2"/>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Style w:val="1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756"/>
        <w:gridCol w:w="1603"/>
        <w:gridCol w:w="1650"/>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58"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603"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本年支出合计</w:t>
            </w:r>
          </w:p>
        </w:tc>
        <w:tc>
          <w:tcPr>
            <w:tcW w:w="165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756"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1603"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65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756"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603"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65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58"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58"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189.22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16.61</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201</w:t>
            </w:r>
          </w:p>
        </w:tc>
        <w:tc>
          <w:tcPr>
            <w:tcW w:w="1756"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一般公共服务支出</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189.22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16.61</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eastAsia="仿宋_GB2312"/>
                <w:kern w:val="0"/>
                <w:sz w:val="21"/>
                <w:szCs w:val="21"/>
                <w:lang w:val="en-US" w:eastAsia="zh-CN" w:bidi="ar-SA"/>
              </w:rPr>
            </w:pPr>
            <w:r>
              <w:rPr>
                <w:rFonts w:hint="eastAsia" w:eastAsia="仿宋_GB2312"/>
                <w:kern w:val="0"/>
                <w:szCs w:val="21"/>
                <w:lang w:val="en-US" w:eastAsia="zh-CN"/>
              </w:rPr>
              <w:t>20131</w:t>
            </w:r>
          </w:p>
        </w:tc>
        <w:tc>
          <w:tcPr>
            <w:tcW w:w="1756"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eastAsia="仿宋_GB2312"/>
                <w:kern w:val="0"/>
                <w:sz w:val="21"/>
                <w:szCs w:val="21"/>
                <w:lang w:val="en-US" w:eastAsia="zh-CN" w:bidi="ar-SA"/>
              </w:rPr>
            </w:pPr>
            <w:r>
              <w:rPr>
                <w:rFonts w:hint="eastAsia" w:eastAsia="仿宋_GB2312"/>
                <w:kern w:val="0"/>
                <w:szCs w:val="21"/>
                <w:lang w:val="en-US" w:eastAsia="zh-CN"/>
              </w:rPr>
              <w:t xml:space="preserve">  党委办公厅（室）及相关机构事务</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189.22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16.61</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eastAsia="仿宋_GB2312"/>
                <w:kern w:val="0"/>
                <w:sz w:val="21"/>
                <w:szCs w:val="21"/>
                <w:lang w:val="en-US" w:eastAsia="zh-CN" w:bidi="ar-SA"/>
              </w:rPr>
            </w:pPr>
            <w:r>
              <w:rPr>
                <w:rFonts w:hint="eastAsia" w:eastAsia="仿宋_GB2312"/>
                <w:kern w:val="0"/>
                <w:szCs w:val="21"/>
                <w:lang w:val="en-US" w:eastAsia="zh-CN"/>
              </w:rPr>
              <w:t>2013101</w:t>
            </w:r>
          </w:p>
        </w:tc>
        <w:tc>
          <w:tcPr>
            <w:tcW w:w="1756"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eastAsia" w:eastAsia="仿宋_GB2312"/>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行政运行</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lang w:val="en-US" w:eastAsia="zh-CN"/>
              </w:rPr>
              <w:t>205.83</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highlight w:val="none"/>
              </w:rPr>
            </w:pPr>
            <w:r>
              <w:rPr>
                <w:rFonts w:hint="eastAsia" w:eastAsia="仿宋_GB2312"/>
                <w:kern w:val="0"/>
                <w:szCs w:val="21"/>
                <w:highlight w:val="none"/>
              </w:rPr>
              <w:t>189.22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lang w:val="en-US" w:eastAsia="zh-CN"/>
              </w:rPr>
              <w:t>16.61</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56"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56"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756"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160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65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bl>
    <w:p>
      <w:pPr>
        <w:widowControl/>
        <w:ind w:left="420" w:leftChars="200"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ind w:left="420" w:leftChars="200"/>
        <w:jc w:val="left"/>
        <w:rPr>
          <w:rFonts w:eastAsia="仿宋_GB2312"/>
          <w:bCs/>
          <w:kern w:val="0"/>
          <w:szCs w:val="21"/>
        </w:rPr>
      </w:pPr>
      <w:r>
        <w:rPr>
          <w:rFonts w:eastAsia="仿宋_GB2312"/>
          <w:bCs/>
          <w:kern w:val="0"/>
          <w:szCs w:val="21"/>
        </w:rPr>
        <w:br w:type="page"/>
      </w:r>
    </w:p>
    <w:p>
      <w:pPr>
        <w:widowControl/>
        <w:ind w:left="512" w:leftChars="244"/>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510" w:leftChars="243" w:right="630" w:rightChars="300"/>
        <w:jc w:val="right"/>
        <w:rPr>
          <w:color w:val="000000"/>
          <w:kern w:val="0"/>
          <w:szCs w:val="21"/>
        </w:rPr>
      </w:pPr>
      <w:r>
        <w:rPr>
          <w:rFonts w:hint="eastAsia" w:ascii="Times New Roman" w:hAnsi="Times New Roman" w:eastAsia="仿宋_GB2312" w:cs="Times New Roman"/>
          <w:color w:val="000000"/>
          <w:kern w:val="0"/>
          <w:szCs w:val="21"/>
        </w:rPr>
        <w:t>公开04表</w:t>
      </w:r>
    </w:p>
    <w:p>
      <w:pPr>
        <w:widowControl/>
        <w:tabs>
          <w:tab w:val="left" w:pos="13725"/>
          <w:tab w:val="left" w:pos="13755"/>
          <w:tab w:val="left" w:pos="13800"/>
        </w:tabs>
        <w:spacing w:line="240" w:lineRule="exact"/>
        <w:ind w:left="510" w:leftChars="243" w:firstLine="315" w:firstLineChars="150"/>
        <w:jc w:val="left"/>
        <w:rPr>
          <w:rFonts w:eastAsia="仿宋_GB2312"/>
          <w:color w:val="000000"/>
          <w:kern w:val="0"/>
          <w:szCs w:val="21"/>
        </w:rPr>
      </w:pPr>
      <w:r>
        <w:rPr>
          <w:rFonts w:hint="eastAsia" w:eastAsia="仿宋_GB2312"/>
          <w:color w:val="000000"/>
          <w:kern w:val="0"/>
          <w:szCs w:val="21"/>
        </w:rPr>
        <w:t>部门：中共蓝山县委机构编制委员会办公室</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1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bl>
    <w:p>
      <w:pPr>
        <w:widowControl/>
        <w:ind w:left="420" w:leftChars="200"/>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ind w:left="420" w:leftChars="200"/>
        <w:jc w:val="left"/>
        <w:rPr>
          <w:rFonts w:eastAsia="仿宋_GB2312"/>
          <w:kern w:val="0"/>
          <w:szCs w:val="21"/>
        </w:rPr>
      </w:pPr>
      <w:r>
        <w:rPr>
          <w:rFonts w:eastAsia="仿宋_GB2312"/>
          <w:kern w:val="0"/>
          <w:szCs w:val="21"/>
        </w:rPr>
        <w:br w:type="page"/>
      </w:r>
    </w:p>
    <w:tbl>
      <w:tblPr>
        <w:tblStyle w:val="13"/>
        <w:tblpPr w:leftFromText="180" w:rightFromText="180" w:vertAnchor="text" w:horzAnchor="page" w:tblpX="1424" w:tblpY="555"/>
        <w:tblOverlap w:val="never"/>
        <w:tblW w:w="14185" w:type="dxa"/>
        <w:tblInd w:w="0" w:type="dxa"/>
        <w:tblLayout w:type="fixed"/>
        <w:tblCellMar>
          <w:top w:w="0" w:type="dxa"/>
          <w:left w:w="108" w:type="dxa"/>
          <w:bottom w:w="0" w:type="dxa"/>
          <w:right w:w="108" w:type="dxa"/>
        </w:tblCellMar>
      </w:tblPr>
      <w:tblGrid>
        <w:gridCol w:w="1196"/>
        <w:gridCol w:w="398"/>
        <w:gridCol w:w="3421"/>
        <w:gridCol w:w="1304"/>
        <w:gridCol w:w="2787"/>
        <w:gridCol w:w="5079"/>
      </w:tblGrid>
      <w:tr>
        <w:tblPrEx>
          <w:tblCellMar>
            <w:top w:w="0" w:type="dxa"/>
            <w:left w:w="108" w:type="dxa"/>
            <w:bottom w:w="0" w:type="dxa"/>
            <w:right w:w="108" w:type="dxa"/>
          </w:tblCellMar>
        </w:tblPrEx>
        <w:trPr>
          <w:trHeight w:val="1423" w:hRule="atLeast"/>
        </w:trPr>
        <w:tc>
          <w:tcPr>
            <w:tcW w:w="14185"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6" w:hRule="atLeast"/>
        </w:trPr>
        <w:tc>
          <w:tcPr>
            <w:tcW w:w="119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98"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421"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04"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787" w:type="dxa"/>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5079"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ascii="Times New Roman" w:hAnsi="Times New Roman" w:eastAsia="仿宋_GB2312" w:cs="Times New Roman"/>
                <w:color w:val="000000"/>
                <w:kern w:val="0"/>
                <w:szCs w:val="21"/>
              </w:rPr>
              <w:t>0</w:t>
            </w:r>
            <w:r>
              <w:rPr>
                <w:rFonts w:hint="default" w:ascii="Times New Roman" w:hAnsi="Times New Roman" w:eastAsia="仿宋_GB2312" w:cs="Times New Roman"/>
                <w:color w:val="000000"/>
                <w:kern w:val="0"/>
                <w:szCs w:val="21"/>
              </w:rPr>
              <w:t>5</w:t>
            </w:r>
            <w:r>
              <w:rPr>
                <w:rFonts w:hint="eastAsia" w:eastAsia="仿宋_GB2312"/>
                <w:color w:val="000000"/>
                <w:kern w:val="0"/>
                <w:szCs w:val="21"/>
              </w:rPr>
              <w:t>表</w:t>
            </w:r>
          </w:p>
        </w:tc>
      </w:tr>
      <w:tr>
        <w:tblPrEx>
          <w:tblCellMar>
            <w:top w:w="0" w:type="dxa"/>
            <w:left w:w="108" w:type="dxa"/>
            <w:bottom w:w="0" w:type="dxa"/>
            <w:right w:w="108" w:type="dxa"/>
          </w:tblCellMar>
        </w:tblPrEx>
        <w:trPr>
          <w:trHeight w:val="356" w:hRule="atLeast"/>
        </w:trPr>
        <w:tc>
          <w:tcPr>
            <w:tcW w:w="1196" w:type="dxa"/>
            <w:tcBorders>
              <w:top w:val="nil"/>
              <w:left w:val="nil"/>
              <w:bottom w:val="nil"/>
              <w:right w:val="nil"/>
            </w:tcBorders>
            <w:noWrap/>
            <w:vAlign w:val="center"/>
          </w:tcPr>
          <w:p>
            <w:pPr>
              <w:widowControl/>
              <w:jc w:val="left"/>
              <w:rPr>
                <w:rFonts w:hint="eastAsia" w:ascii="宋体" w:hAnsi="宋体" w:eastAsia="仿宋_GB2312" w:cs="宋体"/>
                <w:color w:val="000000"/>
                <w:kern w:val="0"/>
                <w:sz w:val="20"/>
                <w:szCs w:val="20"/>
              </w:rPr>
            </w:pPr>
            <w:r>
              <w:rPr>
                <w:rFonts w:hint="eastAsia" w:eastAsia="仿宋_GB2312"/>
                <w:color w:val="000000"/>
                <w:kern w:val="0"/>
                <w:szCs w:val="21"/>
              </w:rPr>
              <w:t>部门：</w:t>
            </w:r>
          </w:p>
        </w:tc>
        <w:tc>
          <w:tcPr>
            <w:tcW w:w="3819"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eastAsia="仿宋_GB2312"/>
                <w:color w:val="000000"/>
                <w:kern w:val="0"/>
                <w:szCs w:val="21"/>
              </w:rPr>
              <w:t>中共蓝山县委机构编制委员会办公室</w:t>
            </w:r>
          </w:p>
        </w:tc>
        <w:tc>
          <w:tcPr>
            <w:tcW w:w="1304"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787"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079"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spacing w:before="156" w:beforeLines="50"/>
        <w:ind w:left="420" w:leftChars="200"/>
        <w:jc w:val="left"/>
        <w:rPr>
          <w:color w:val="000000"/>
          <w:kern w:val="0"/>
          <w:sz w:val="20"/>
          <w:szCs w:val="20"/>
        </w:rPr>
      </w:pPr>
      <w:r>
        <w:rPr>
          <w:rFonts w:eastAsia="仿宋_GB2312"/>
          <w:color w:val="000000"/>
          <w:kern w:val="0"/>
          <w:szCs w:val="21"/>
        </w:rPr>
        <w:t xml:space="preserve">                                                                                                                  </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highlight w:val="yellow"/>
              </w:rPr>
            </w:pPr>
            <w:r>
              <w:rPr>
                <w:rFonts w:hint="eastAsia" w:eastAsia="仿宋_GB2312"/>
                <w:kern w:val="0"/>
                <w:szCs w:val="21"/>
                <w:lang w:val="en-US" w:eastAsia="zh-CN"/>
              </w:rPr>
              <w:t>205.83</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eastAsia="仿宋_GB2312"/>
                <w:kern w:val="0"/>
                <w:szCs w:val="21"/>
                <w:highlight w:val="yellow"/>
                <w:lang w:val="en-US"/>
              </w:rPr>
            </w:pPr>
            <w:r>
              <w:rPr>
                <w:rFonts w:hint="eastAsia" w:eastAsia="仿宋_GB2312"/>
                <w:kern w:val="0"/>
                <w:szCs w:val="21"/>
                <w:lang w:val="en-US" w:eastAsia="zh-CN"/>
              </w:rPr>
              <w:t>189.22</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16.61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201</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lang w:val="en-US" w:eastAsia="zh-CN"/>
              </w:rPr>
              <w:t>一般公共服务支出</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205.83</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189.22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16.61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20131</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lang w:val="en-US" w:eastAsia="zh-CN"/>
              </w:rPr>
              <w:t xml:space="preserve">  党委办公厅（室）及相关机构事务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189.22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16.61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r>
              <w:rPr>
                <w:rFonts w:hint="eastAsia" w:eastAsia="仿宋_GB2312"/>
                <w:kern w:val="0"/>
                <w:szCs w:val="21"/>
                <w:lang w:val="en-US" w:eastAsia="zh-CN"/>
              </w:rPr>
              <w:t>2013101</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r>
              <w:rPr>
                <w:rFonts w:hint="eastAsia" w:eastAsia="仿宋_GB2312"/>
                <w:kern w:val="0"/>
                <w:szCs w:val="21"/>
                <w:lang w:val="en-US" w:eastAsia="zh-CN"/>
              </w:rPr>
              <w:t>行政运行</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205.83</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189.22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16.61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noWrap w:val="0"/>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ind w:left="420" w:leftChars="200"/>
        <w:jc w:val="left"/>
        <w:rPr>
          <w:rFonts w:eastAsia="仿宋_GB2312"/>
          <w:bCs/>
          <w:kern w:val="0"/>
          <w:szCs w:val="21"/>
        </w:rPr>
      </w:pPr>
    </w:p>
    <w:p>
      <w:pPr>
        <w:widowControl/>
        <w:ind w:left="420" w:leftChars="200"/>
        <w:jc w:val="center"/>
        <w:rPr>
          <w:rFonts w:hint="eastAsia" w:ascii="黑体" w:hAnsi="黑体" w:eastAsia="黑体" w:cs="黑体"/>
          <w:color w:val="000000"/>
          <w:kern w:val="0"/>
          <w:sz w:val="36"/>
          <w:szCs w:val="36"/>
        </w:rPr>
      </w:pPr>
      <w:r>
        <w:rPr>
          <w:rFonts w:eastAsia="仿宋_GB2312"/>
          <w:bCs/>
          <w:kern w:val="0"/>
          <w:szCs w:val="21"/>
        </w:rPr>
        <w:br w:type="page"/>
      </w:r>
      <w:r>
        <w:rPr>
          <w:rFonts w:hint="eastAsia" w:ascii="黑体" w:hAnsi="黑体" w:eastAsia="黑体" w:cs="黑体"/>
          <w:color w:val="000000"/>
          <w:kern w:val="0"/>
          <w:sz w:val="36"/>
          <w:szCs w:val="36"/>
        </w:rPr>
        <w:t>一般公共预算财政拨款基本支出决算表</w:t>
      </w:r>
      <w:bookmarkStart w:id="1" w:name="RANGE!A1:I39"/>
      <w:bookmarkEnd w:id="1"/>
    </w:p>
    <w:p>
      <w:pPr>
        <w:widowControl/>
        <w:ind w:left="0" w:leftChars="0" w:firstLine="210" w:firstLineChars="100"/>
        <w:jc w:val="left"/>
        <w:rPr>
          <w:rFonts w:eastAsia="仿宋_GB2312"/>
          <w:color w:val="000000"/>
          <w:kern w:val="0"/>
          <w:szCs w:val="21"/>
        </w:rPr>
      </w:pPr>
      <w:r>
        <w:rPr>
          <w:rFonts w:hint="eastAsia" w:eastAsia="仿宋_GB2312"/>
          <w:color w:val="000000"/>
          <w:kern w:val="0"/>
          <w:szCs w:val="21"/>
        </w:rPr>
        <w:t xml:space="preserve">部门：中共蓝山县委机构编制委员会办公室 </w:t>
      </w:r>
      <w:r>
        <w:rPr>
          <w:rFonts w:eastAsia="仿宋_GB2312"/>
          <w:color w:val="000000"/>
          <w:kern w:val="0"/>
          <w:szCs w:val="21"/>
        </w:rPr>
        <w:t xml:space="preserve">                                                                                             </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pPr>
        <w:widowControl/>
        <w:ind w:left="420" w:leftChars="200"/>
        <w:jc w:val="right"/>
        <w:rPr>
          <w:rFonts w:eastAsia="仿宋_GB2312"/>
          <w:color w:val="000000"/>
          <w:kern w:val="0"/>
          <w:szCs w:val="21"/>
        </w:rPr>
      </w:pPr>
      <w:r>
        <w:rPr>
          <w:rFonts w:hint="eastAsia" w:eastAsia="仿宋_GB2312"/>
          <w:color w:val="000000"/>
          <w:kern w:val="0"/>
          <w:szCs w:val="21"/>
        </w:rPr>
        <w:t xml:space="preserve">    单位：万元</w:t>
      </w:r>
    </w:p>
    <w:tbl>
      <w:tblPr>
        <w:tblStyle w:val="13"/>
        <w:tblW w:w="15412" w:type="dxa"/>
        <w:tblInd w:w="282" w:type="dxa"/>
        <w:tblLayout w:type="fixed"/>
        <w:tblCellMar>
          <w:top w:w="0" w:type="dxa"/>
          <w:left w:w="108" w:type="dxa"/>
          <w:bottom w:w="0" w:type="dxa"/>
          <w:right w:w="108" w:type="dxa"/>
        </w:tblCellMar>
      </w:tblPr>
      <w:tblGrid>
        <w:gridCol w:w="1149"/>
        <w:gridCol w:w="2818"/>
        <w:gridCol w:w="1117"/>
        <w:gridCol w:w="849"/>
        <w:gridCol w:w="2297"/>
        <w:gridCol w:w="987"/>
        <w:gridCol w:w="945"/>
        <w:gridCol w:w="3988"/>
        <w:gridCol w:w="1262"/>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18"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111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849"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98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c>
          <w:tcPr>
            <w:tcW w:w="945"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988"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科目名称</w:t>
            </w:r>
          </w:p>
        </w:tc>
        <w:tc>
          <w:tcPr>
            <w:tcW w:w="1262"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w:t>
            </w:r>
          </w:p>
        </w:tc>
        <w:tc>
          <w:tcPr>
            <w:tcW w:w="281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117" w:type="dxa"/>
            <w:tcBorders>
              <w:top w:val="nil"/>
              <w:left w:val="nil"/>
              <w:bottom w:val="single" w:color="auto" w:sz="8" w:space="0"/>
              <w:right w:val="single" w:color="auto" w:sz="8" w:space="0"/>
            </w:tcBorders>
            <w:noWrap/>
            <w:vAlign w:val="top"/>
          </w:tcPr>
          <w:p>
            <w:pPr>
              <w:widowControl/>
              <w:ind w:firstLine="180" w:firstLineChars="100"/>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159.71</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987" w:type="dxa"/>
            <w:tcBorders>
              <w:top w:val="nil"/>
              <w:left w:val="nil"/>
              <w:bottom w:val="single" w:color="auto" w:sz="8" w:space="0"/>
              <w:right w:val="single" w:color="auto" w:sz="8" w:space="0"/>
            </w:tcBorders>
            <w:noWrap/>
            <w:vAlign w:val="top"/>
          </w:tcPr>
          <w:p>
            <w:pPr>
              <w:widowControl/>
              <w:ind w:firstLine="180" w:firstLineChars="100"/>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24.73</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w:t>
            </w:r>
          </w:p>
        </w:tc>
        <w:tc>
          <w:tcPr>
            <w:tcW w:w="398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30101</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61.61</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30701</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30102</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0.69</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30702</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30103</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28.08</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w:t>
            </w:r>
          </w:p>
        </w:tc>
        <w:tc>
          <w:tcPr>
            <w:tcW w:w="398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62" w:type="dxa"/>
            <w:tcBorders>
              <w:top w:val="nil"/>
              <w:left w:val="nil"/>
              <w:bottom w:val="single" w:color="auto" w:sz="8" w:space="0"/>
              <w:right w:val="single" w:color="auto" w:sz="8" w:space="0"/>
            </w:tcBorders>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30106</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7.52</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31001</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1262" w:type="dxa"/>
            <w:tcBorders>
              <w:top w:val="nil"/>
              <w:left w:val="nil"/>
              <w:bottom w:val="single" w:color="auto" w:sz="8" w:space="0"/>
              <w:right w:val="single" w:color="auto" w:sz="8" w:space="0"/>
            </w:tcBorders>
            <w:noWrap/>
            <w:vAlign w:val="center"/>
          </w:tcPr>
          <w:p>
            <w:pPr>
              <w:widowControl/>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30107</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36.18</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0.26</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31002</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1262" w:type="dxa"/>
            <w:tcBorders>
              <w:top w:val="nil"/>
              <w:left w:val="nil"/>
              <w:bottom w:val="single" w:color="auto" w:sz="8" w:space="0"/>
              <w:right w:val="single" w:color="auto" w:sz="8" w:space="0"/>
            </w:tcBorders>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30108</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14.97</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0.15</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31003</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30109</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0.46</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31005</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30110</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8.58</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31006</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30111</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31007</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30112</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0.87</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1.08</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31008</w:t>
            </w:r>
          </w:p>
        </w:tc>
        <w:tc>
          <w:tcPr>
            <w:tcW w:w="3988" w:type="dxa"/>
            <w:tcBorders>
              <w:top w:val="nil"/>
              <w:left w:val="nil"/>
              <w:bottom w:val="single" w:color="auto" w:sz="8" w:space="0"/>
              <w:right w:val="single" w:color="auto" w:sz="8" w:space="0"/>
            </w:tcBorders>
            <w:noWrap/>
            <w:vAlign w:val="top"/>
          </w:tcPr>
          <w:p>
            <w:pPr>
              <w:widowControl/>
              <w:ind w:right="197" w:rightChars="94"/>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30113</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31009</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30114</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31010</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30199</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1.9</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0.06</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31011</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w:t>
            </w:r>
          </w:p>
        </w:tc>
        <w:tc>
          <w:tcPr>
            <w:tcW w:w="281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31012</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30301</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0.14</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31013</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30302</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0.96</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31019</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30303</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31021</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30304</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31022</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30305</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2.94</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31099</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30306</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w:t>
            </w:r>
          </w:p>
        </w:tc>
        <w:tc>
          <w:tcPr>
            <w:tcW w:w="398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30307</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111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0.26</w:t>
            </w: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98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39906</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rPr>
            </w:pPr>
            <w:r>
              <w:rPr>
                <w:color w:val="000000"/>
                <w:kern w:val="0"/>
                <w:sz w:val="18"/>
                <w:szCs w:val="18"/>
              </w:rPr>
              <w:t>30308</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1117" w:type="dxa"/>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987"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39907</w:t>
            </w:r>
          </w:p>
        </w:tc>
        <w:tc>
          <w:tcPr>
            <w:tcW w:w="398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1117" w:type="dxa"/>
            <w:tcBorders>
              <w:top w:val="nil"/>
              <w:left w:val="nil"/>
              <w:bottom w:val="single" w:color="auto" w:sz="8" w:space="0"/>
              <w:right w:val="single" w:color="auto" w:sz="8" w:space="0"/>
            </w:tcBorders>
            <w:noWrap/>
            <w:vAlign w:val="top"/>
          </w:tcPr>
          <w:p>
            <w:pPr>
              <w:widowControl/>
              <w:rPr>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987"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39908</w:t>
            </w:r>
          </w:p>
        </w:tc>
        <w:tc>
          <w:tcPr>
            <w:tcW w:w="398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1117" w:type="dxa"/>
            <w:tcBorders>
              <w:top w:val="nil"/>
              <w:left w:val="nil"/>
              <w:bottom w:val="single" w:color="auto" w:sz="8" w:space="0"/>
              <w:right w:val="single" w:color="auto" w:sz="8" w:space="0"/>
            </w:tcBorders>
            <w:noWrap/>
            <w:vAlign w:val="top"/>
          </w:tcPr>
          <w:p>
            <w:pPr>
              <w:widowControl/>
              <w:rPr>
                <w:color w:val="000000"/>
                <w:kern w:val="0"/>
                <w:sz w:val="18"/>
                <w:szCs w:val="18"/>
              </w:rPr>
            </w:pPr>
          </w:p>
        </w:tc>
        <w:tc>
          <w:tcPr>
            <w:tcW w:w="849"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987" w:type="dxa"/>
            <w:tcBorders>
              <w:top w:val="nil"/>
              <w:left w:val="nil"/>
              <w:bottom w:val="single" w:color="auto" w:sz="8" w:space="0"/>
              <w:right w:val="single" w:color="auto" w:sz="8" w:space="0"/>
            </w:tcBorders>
            <w:noWrap/>
            <w:vAlign w:val="top"/>
          </w:tcPr>
          <w:p>
            <w:pPr>
              <w:widowControl/>
              <w:jc w:val="center"/>
              <w:rPr>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39999</w:t>
            </w:r>
          </w:p>
        </w:tc>
        <w:tc>
          <w:tcPr>
            <w:tcW w:w="398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18"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1117"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p>
        </w:tc>
        <w:tc>
          <w:tcPr>
            <w:tcW w:w="849"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987" w:type="dxa"/>
            <w:tcBorders>
              <w:top w:val="single" w:color="auto" w:sz="8" w:space="0"/>
              <w:left w:val="nil"/>
              <w:bottom w:val="single" w:color="auto" w:sz="8" w:space="0"/>
              <w:right w:val="single" w:color="auto" w:sz="8" w:space="0"/>
            </w:tcBorders>
            <w:noWrap/>
            <w:vAlign w:val="to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7.48</w:t>
            </w:r>
          </w:p>
        </w:tc>
        <w:tc>
          <w:tcPr>
            <w:tcW w:w="945"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3988"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2"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7"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849"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987" w:type="dxa"/>
            <w:tcBorders>
              <w:top w:val="nil"/>
              <w:left w:val="nil"/>
              <w:bottom w:val="single" w:color="auto" w:sz="8" w:space="0"/>
              <w:right w:val="single" w:color="auto" w:sz="8" w:space="0"/>
            </w:tcBorders>
            <w:noWrap/>
            <w:vAlign w:val="top"/>
          </w:tcPr>
          <w:p>
            <w:pPr>
              <w:widowControl/>
              <w:jc w:val="center"/>
              <w:rPr>
                <w:rFonts w:hint="eastAsia" w:ascii="仿宋_GB2312" w:hAnsi="宋体" w:eastAsia="仿宋_GB2312" w:cs="宋体"/>
                <w:color w:val="000000"/>
                <w:kern w:val="0"/>
                <w:sz w:val="18"/>
                <w:szCs w:val="18"/>
              </w:rPr>
            </w:pP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398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18"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1117"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849"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987" w:type="dxa"/>
            <w:tcBorders>
              <w:top w:val="nil"/>
              <w:left w:val="nil"/>
              <w:bottom w:val="single" w:color="auto" w:sz="8" w:space="0"/>
              <w:right w:val="single" w:color="auto" w:sz="8" w:space="0"/>
            </w:tcBorders>
            <w:noWrap/>
            <w:vAlign w:val="to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0.45</w:t>
            </w:r>
          </w:p>
        </w:tc>
        <w:tc>
          <w:tcPr>
            <w:tcW w:w="945" w:type="dxa"/>
            <w:tcBorders>
              <w:top w:val="nil"/>
              <w:left w:val="nil"/>
              <w:bottom w:val="single" w:color="auto" w:sz="8" w:space="0"/>
              <w:right w:val="single" w:color="auto" w:sz="8" w:space="0"/>
            </w:tcBorders>
            <w:noWrap/>
            <w:vAlign w:val="top"/>
          </w:tcPr>
          <w:p>
            <w:pPr>
              <w:widowControl/>
              <w:rPr>
                <w:color w:val="000000"/>
                <w:kern w:val="0"/>
                <w:sz w:val="18"/>
                <w:szCs w:val="18"/>
              </w:rPr>
            </w:pPr>
            <w:r>
              <w:rPr>
                <w:rFonts w:hint="eastAsia"/>
                <w:color w:val="000000"/>
                <w:kern w:val="0"/>
                <w:sz w:val="18"/>
                <w:szCs w:val="18"/>
              </w:rPr>
              <w:t>　</w:t>
            </w:r>
          </w:p>
        </w:tc>
        <w:tc>
          <w:tcPr>
            <w:tcW w:w="3988"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2"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3967"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117" w:type="dxa"/>
            <w:tcBorders>
              <w:top w:val="nil"/>
              <w:left w:val="nil"/>
              <w:bottom w:val="single" w:color="auto" w:sz="8" w:space="0"/>
              <w:right w:val="single" w:color="auto" w:sz="8" w:space="0"/>
            </w:tcBorders>
            <w:noWrap/>
            <w:vAlign w:val="center"/>
          </w:tcPr>
          <w:p>
            <w:pPr>
              <w:widowControl/>
              <w:rPr>
                <w:rFonts w:hint="default" w:eastAsia="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162.91</w:t>
            </w:r>
          </w:p>
        </w:tc>
        <w:tc>
          <w:tcPr>
            <w:tcW w:w="9066" w:type="dxa"/>
            <w:gridSpan w:val="5"/>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62" w:type="dxa"/>
            <w:tcBorders>
              <w:top w:val="nil"/>
              <w:left w:val="nil"/>
              <w:bottom w:val="single" w:color="auto" w:sz="8" w:space="0"/>
              <w:right w:val="single" w:color="auto" w:sz="8" w:space="0"/>
            </w:tcBorders>
            <w:noWrap w:val="0"/>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26.31</w:t>
            </w:r>
          </w:p>
        </w:tc>
      </w:tr>
    </w:tbl>
    <w:p>
      <w:pPr>
        <w:widowControl/>
        <w:ind w:left="420" w:leftChars="200"/>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13"/>
        <w:tblpPr w:leftFromText="180" w:rightFromText="180" w:vertAnchor="text" w:horzAnchor="page" w:tblpX="1226" w:tblpY="555"/>
        <w:tblOverlap w:val="never"/>
        <w:tblW w:w="14647" w:type="dxa"/>
        <w:tblInd w:w="0" w:type="dxa"/>
        <w:tblLayout w:type="fixed"/>
        <w:tblCellMar>
          <w:top w:w="0" w:type="dxa"/>
          <w:left w:w="108" w:type="dxa"/>
          <w:bottom w:w="0" w:type="dxa"/>
          <w:right w:w="108" w:type="dxa"/>
        </w:tblCellMar>
      </w:tblPr>
      <w:tblGrid>
        <w:gridCol w:w="1198"/>
        <w:gridCol w:w="650"/>
        <w:gridCol w:w="3574"/>
        <w:gridCol w:w="1362"/>
        <w:gridCol w:w="2912"/>
        <w:gridCol w:w="4951"/>
      </w:tblGrid>
      <w:tr>
        <w:tblPrEx>
          <w:tblCellMar>
            <w:top w:w="0" w:type="dxa"/>
            <w:left w:w="108" w:type="dxa"/>
            <w:bottom w:w="0" w:type="dxa"/>
            <w:right w:w="108" w:type="dxa"/>
          </w:tblCellMar>
        </w:tblPrEx>
        <w:trPr>
          <w:trHeight w:val="1431" w:hRule="atLeast"/>
        </w:trPr>
        <w:tc>
          <w:tcPr>
            <w:tcW w:w="14647" w:type="dxa"/>
            <w:gridSpan w:val="6"/>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1198"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650"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74"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62"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pPr>
              <w:widowControl/>
              <w:jc w:val="right"/>
              <w:rPr>
                <w:rFonts w:hint="eastAsia" w:ascii="宋体" w:hAnsi="宋体" w:cs="宋体"/>
                <w:kern w:val="0"/>
                <w:sz w:val="20"/>
                <w:szCs w:val="20"/>
              </w:rPr>
            </w:pPr>
          </w:p>
        </w:tc>
        <w:tc>
          <w:tcPr>
            <w:tcW w:w="4951"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1198"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pPr>
              <w:widowControl/>
              <w:rPr>
                <w:rFonts w:ascii="宋体" w:hAnsi="宋体" w:cs="宋体"/>
                <w:kern w:val="0"/>
                <w:sz w:val="20"/>
                <w:szCs w:val="20"/>
              </w:rPr>
            </w:pPr>
            <w:r>
              <w:rPr>
                <w:rFonts w:hint="eastAsia" w:eastAsia="仿宋_GB2312"/>
                <w:color w:val="000000"/>
                <w:kern w:val="0"/>
                <w:szCs w:val="21"/>
              </w:rPr>
              <w:t xml:space="preserve">中共蓝山县委机构编制委员会办公室 </w:t>
            </w:r>
            <w:r>
              <w:rPr>
                <w:rFonts w:eastAsia="仿宋_GB2312"/>
                <w:color w:val="000000"/>
                <w:kern w:val="0"/>
                <w:szCs w:val="21"/>
              </w:rPr>
              <w:t xml:space="preserve">  </w:t>
            </w:r>
          </w:p>
        </w:tc>
        <w:tc>
          <w:tcPr>
            <w:tcW w:w="1362"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12"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4951"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ind w:left="420" w:leftChars="200"/>
        <w:jc w:val="left"/>
        <w:rPr>
          <w:rFonts w:eastAsia="仿宋_GB2312"/>
          <w:color w:val="000000"/>
          <w:kern w:val="0"/>
          <w:szCs w:val="21"/>
        </w:rPr>
      </w:pPr>
      <w:r>
        <w:rPr>
          <w:rFonts w:eastAsia="仿宋_GB2312"/>
          <w:color w:val="000000"/>
          <w:kern w:val="0"/>
          <w:szCs w:val="21"/>
        </w:rPr>
        <w:t xml:space="preserve">                                                                                                                             </w:t>
      </w:r>
    </w:p>
    <w:tbl>
      <w:tblPr>
        <w:tblStyle w:val="1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3</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lang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3</w:t>
            </w:r>
          </w:p>
        </w:tc>
        <w:tc>
          <w:tcPr>
            <w:tcW w:w="1220" w:type="dxa"/>
            <w:tcBorders>
              <w:top w:val="nil"/>
              <w:left w:val="nil"/>
              <w:bottom w:val="single" w:color="auto" w:sz="8" w:space="0"/>
              <w:right w:val="single" w:color="auto"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0.96</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nil"/>
              <w:bottom w:val="single" w:color="auto" w:sz="8" w:space="0"/>
              <w:right w:val="nil"/>
            </w:tcBorders>
            <w:noWrap w:val="0"/>
            <w:vAlign w:val="center"/>
          </w:tcPr>
          <w:p>
            <w:pPr>
              <w:widowControl/>
              <w:jc w:val="center"/>
              <w:rPr>
                <w:rFonts w:hint="eastAsia" w:eastAsia="仿宋_GB2312"/>
                <w:kern w:val="0"/>
                <w:szCs w:val="21"/>
              </w:rPr>
            </w:pPr>
            <w:r>
              <w:rPr>
                <w:rFonts w:hint="eastAsia" w:eastAsia="仿宋_GB2312"/>
                <w:kern w:val="0"/>
                <w:szCs w:val="21"/>
              </w:rPr>
              <w:t>0</w:t>
            </w:r>
          </w:p>
        </w:tc>
        <w:tc>
          <w:tcPr>
            <w:tcW w:w="1220" w:type="dxa"/>
            <w:tcBorders>
              <w:top w:val="nil"/>
              <w:left w:val="single" w:color="auto" w:sz="4" w:space="0"/>
              <w:bottom w:val="single" w:color="auto" w:sz="8" w:space="0"/>
              <w:right w:val="single" w:color="auto" w:sz="8"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0.96</w:t>
            </w:r>
          </w:p>
        </w:tc>
      </w:tr>
    </w:tbl>
    <w:p>
      <w:pPr>
        <w:autoSpaceDE w:val="0"/>
        <w:autoSpaceDN w:val="0"/>
        <w:adjustRightInd w:val="0"/>
        <w:ind w:left="735" w:leftChars="3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13"/>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16"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65"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59"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hint="eastAsia" w:ascii="宋体" w:hAnsi="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eastAsia="仿宋_GB2312"/>
                <w:color w:val="000000"/>
                <w:kern w:val="0"/>
                <w:szCs w:val="21"/>
              </w:rPr>
              <w:t xml:space="preserve">中共蓝山县委机构编制委员会办公室 </w:t>
            </w:r>
            <w:r>
              <w:rPr>
                <w:rFonts w:eastAsia="仿宋_GB2312"/>
                <w:color w:val="000000"/>
                <w:kern w:val="0"/>
                <w:szCs w:val="21"/>
              </w:rPr>
              <w:t xml:space="preserve">  </w:t>
            </w:r>
          </w:p>
        </w:tc>
        <w:tc>
          <w:tcPr>
            <w:tcW w:w="1359"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5281" w:type="dxa"/>
            <w:tcBorders>
              <w:top w:val="nil"/>
              <w:left w:val="nil"/>
              <w:bottom w:val="nil"/>
              <w:right w:val="nil"/>
            </w:tcBorders>
            <w:noWrap/>
            <w:vAlign w:val="center"/>
          </w:tcPr>
          <w:p>
            <w:pPr>
              <w:widowControl/>
              <w:jc w:val="right"/>
              <w:rPr>
                <w:rFonts w:hint="eastAsia" w:ascii="宋体" w:hAnsi="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eastAsia="仿宋_GB2312"/>
          <w:color w:val="000000"/>
          <w:kern w:val="0"/>
          <w:szCs w:val="21"/>
        </w:rPr>
      </w:pPr>
      <w:r>
        <w:rPr>
          <w:rFonts w:eastAsia="仿宋_GB2312"/>
          <w:color w:val="000000"/>
          <w:kern w:val="0"/>
          <w:szCs w:val="21"/>
        </w:rPr>
        <w:t xml:space="preserve">                                                                                                                </w:t>
      </w:r>
    </w:p>
    <w:tbl>
      <w:tblPr>
        <w:tblStyle w:val="1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rPr>
            </w:pPr>
            <w:r>
              <w:rPr>
                <w:rFonts w:hint="eastAsia" w:eastAsia="仿宋_GB2312"/>
                <w:kern w:val="0"/>
                <w:szCs w:val="21"/>
              </w:rPr>
              <w:t>　</w:t>
            </w:r>
          </w:p>
        </w:tc>
      </w:tr>
    </w:tbl>
    <w:p>
      <w:pPr>
        <w:widowControl/>
        <w:jc w:val="left"/>
        <w:rPr>
          <w:rFonts w:hint="eastAsia" w:eastAsia="仿宋_GB2312"/>
          <w:kern w:val="0"/>
          <w:szCs w:val="21"/>
          <w:lang w:eastAsia="zh-CN"/>
        </w:rPr>
      </w:pPr>
      <w:r>
        <w:rPr>
          <w:rFonts w:hint="eastAsia" w:eastAsia="仿宋_GB2312"/>
          <w:kern w:val="0"/>
          <w:szCs w:val="21"/>
        </w:rPr>
        <w:t>注：本表反映部门本年度政府性基金预算财政拨款收入、支出及结转和结余情况</w:t>
      </w:r>
      <w:r>
        <w:rPr>
          <w:rFonts w:hint="eastAsia" w:eastAsia="仿宋_GB2312"/>
          <w:kern w:val="0"/>
          <w:szCs w:val="21"/>
          <w:lang w:eastAsia="zh-CN"/>
        </w:rPr>
        <w:t>。</w:t>
      </w:r>
    </w:p>
    <w:p>
      <w:pPr>
        <w:widowControl/>
        <w:jc w:val="left"/>
        <w:rPr>
          <w:rFonts w:eastAsia="仿宋_GB2312"/>
          <w:kern w:val="0"/>
          <w:szCs w:val="21"/>
        </w:rPr>
      </w:pPr>
      <w:r>
        <w:rPr>
          <w:rFonts w:hint="eastAsia" w:eastAsia="仿宋_GB2312"/>
          <w:kern w:val="0"/>
          <w:szCs w:val="21"/>
        </w:rPr>
        <w:t>中共蓝山县委机构编制委员会办公室没有政府性基金收入，也没有使用政府性基金安排的支出，故本表无数据。</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13"/>
        <w:tblW w:w="14442" w:type="dxa"/>
        <w:tblInd w:w="603" w:type="dxa"/>
        <w:tblLayout w:type="fixed"/>
        <w:tblCellMar>
          <w:top w:w="0" w:type="dxa"/>
          <w:left w:w="108" w:type="dxa"/>
          <w:bottom w:w="0" w:type="dxa"/>
          <w:right w:w="108" w:type="dxa"/>
        </w:tblCellMar>
      </w:tblPr>
      <w:tblGrid>
        <w:gridCol w:w="800"/>
        <w:gridCol w:w="372"/>
        <w:gridCol w:w="1078"/>
        <w:gridCol w:w="2253"/>
        <w:gridCol w:w="1071"/>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72" w:type="dxa"/>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331" w:type="dxa"/>
            <w:gridSpan w:val="2"/>
            <w:tcBorders>
              <w:top w:val="nil"/>
              <w:left w:val="nil"/>
              <w:bottom w:val="nil"/>
              <w:right w:val="nil"/>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071" w:type="dxa"/>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nil"/>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eastAsia="仿宋_GB2312"/>
                <w:kern w:val="0"/>
                <w:szCs w:val="21"/>
              </w:rPr>
            </w:pPr>
            <w:r>
              <w:rPr>
                <w:rFonts w:hint="eastAsia" w:eastAsia="仿宋_GB2312"/>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left"/>
              <w:rPr>
                <w:rFonts w:hint="eastAsia" w:ascii="宋体" w:hAnsi="宋体" w:cs="宋体"/>
                <w:color w:val="000000"/>
                <w:kern w:val="0"/>
                <w:sz w:val="20"/>
                <w:szCs w:val="20"/>
              </w:rPr>
            </w:pPr>
            <w:r>
              <w:rPr>
                <w:rFonts w:hint="eastAsia" w:eastAsia="仿宋_GB2312"/>
                <w:kern w:val="0"/>
                <w:szCs w:val="21"/>
              </w:rPr>
              <w:t>部门：</w:t>
            </w:r>
          </w:p>
        </w:tc>
        <w:tc>
          <w:tcPr>
            <w:tcW w:w="3703" w:type="dxa"/>
            <w:gridSpan w:val="3"/>
            <w:tcBorders>
              <w:top w:val="nil"/>
              <w:left w:val="nil"/>
              <w:bottom w:val="nil"/>
              <w:right w:val="nil"/>
            </w:tcBorders>
            <w:noWrap w:val="0"/>
            <w:vAlign w:val="center"/>
          </w:tcPr>
          <w:p>
            <w:pPr>
              <w:widowControl/>
              <w:rPr>
                <w:rFonts w:hint="eastAsia" w:ascii="宋体" w:hAnsi="宋体" w:cs="宋体"/>
                <w:kern w:val="0"/>
                <w:sz w:val="20"/>
                <w:szCs w:val="20"/>
              </w:rPr>
            </w:pPr>
            <w:r>
              <w:rPr>
                <w:rFonts w:hint="eastAsia" w:eastAsia="仿宋_GB2312"/>
                <w:color w:val="000000"/>
                <w:kern w:val="0"/>
                <w:szCs w:val="21"/>
              </w:rPr>
              <w:t xml:space="preserve">中共蓝山县委机构编制委员会办公室 </w:t>
            </w:r>
            <w:r>
              <w:rPr>
                <w:rFonts w:eastAsia="仿宋_GB2312"/>
                <w:color w:val="000000"/>
                <w:kern w:val="0"/>
                <w:szCs w:val="21"/>
              </w:rPr>
              <w:t xml:space="preserve">  </w:t>
            </w:r>
          </w:p>
        </w:tc>
        <w:tc>
          <w:tcPr>
            <w:tcW w:w="1071" w:type="dxa"/>
            <w:tcBorders>
              <w:top w:val="nil"/>
              <w:left w:val="nil"/>
              <w:bottom w:val="single" w:color="auto" w:sz="8" w:space="0"/>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single" w:color="auto" w:sz="8" w:space="0"/>
              <w:right w:val="nil"/>
            </w:tcBorders>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eastAsia="仿宋_GB2312"/>
                <w:kern w:val="0"/>
                <w:szCs w:val="21"/>
              </w:rPr>
            </w:pPr>
            <w:r>
              <w:rPr>
                <w:rFonts w:hint="eastAsia" w:eastAsia="仿宋_GB2312"/>
                <w:kern w:val="0"/>
                <w:szCs w:val="21"/>
              </w:rPr>
              <w:t>单位：万元</w:t>
            </w:r>
          </w:p>
        </w:tc>
      </w:tr>
      <w:tr>
        <w:tblPrEx>
          <w:tblCellMar>
            <w:top w:w="0" w:type="dxa"/>
            <w:left w:w="108" w:type="dxa"/>
            <w:bottom w:w="0" w:type="dxa"/>
            <w:right w:w="108" w:type="dxa"/>
          </w:tblCellMar>
        </w:tblPrEx>
        <w:trPr>
          <w:trHeight w:val="402" w:hRule="atLeast"/>
        </w:trPr>
        <w:tc>
          <w:tcPr>
            <w:tcW w:w="4503"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项    目</w:t>
            </w:r>
          </w:p>
        </w:tc>
        <w:tc>
          <w:tcPr>
            <w:tcW w:w="9939" w:type="dxa"/>
            <w:gridSpan w:val="5"/>
            <w:tcBorders>
              <w:top w:val="single" w:color="auto" w:sz="8" w:space="0"/>
              <w:left w:val="nil"/>
              <w:bottom w:val="single" w:color="auto" w:sz="4" w:space="0"/>
              <w:right w:val="single" w:color="000000"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功能分类科目编码</w:t>
            </w:r>
          </w:p>
        </w:tc>
        <w:tc>
          <w:tcPr>
            <w:tcW w:w="225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科目名称</w:t>
            </w:r>
          </w:p>
        </w:tc>
        <w:tc>
          <w:tcPr>
            <w:tcW w:w="2739"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b/>
                <w:bCs/>
                <w:kern w:val="0"/>
                <w:szCs w:val="21"/>
              </w:rPr>
            </w:pPr>
            <w:r>
              <w:rPr>
                <w:rFonts w:hint="eastAsia" w:eastAsia="仿宋_GB2312"/>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25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739"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25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0"/>
                <w:szCs w:val="20"/>
              </w:rPr>
            </w:pPr>
          </w:p>
        </w:tc>
        <w:tc>
          <w:tcPr>
            <w:tcW w:w="2739"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402" w:hRule="atLeast"/>
        </w:trPr>
        <w:tc>
          <w:tcPr>
            <w:tcW w:w="4503"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hint="eastAsia" w:eastAsia="仿宋_GB2312"/>
                <w:kern w:val="0"/>
                <w:szCs w:val="21"/>
              </w:rPr>
            </w:pPr>
            <w:r>
              <w:rPr>
                <w:rFonts w:hint="eastAsia" w:eastAsia="仿宋_GB2312"/>
                <w:kern w:val="0"/>
                <w:szCs w:val="21"/>
              </w:rPr>
              <w:t>栏次</w:t>
            </w:r>
          </w:p>
        </w:tc>
        <w:tc>
          <w:tcPr>
            <w:tcW w:w="2739"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1</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2</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3</w:t>
            </w:r>
          </w:p>
        </w:tc>
      </w:tr>
      <w:tr>
        <w:tblPrEx>
          <w:tblCellMar>
            <w:top w:w="0" w:type="dxa"/>
            <w:left w:w="108" w:type="dxa"/>
            <w:bottom w:w="0" w:type="dxa"/>
            <w:right w:w="108" w:type="dxa"/>
          </w:tblCellMar>
        </w:tblPrEx>
        <w:trPr>
          <w:trHeight w:val="402" w:hRule="atLeast"/>
        </w:trPr>
        <w:tc>
          <w:tcPr>
            <w:tcW w:w="4503" w:type="dxa"/>
            <w:gridSpan w:val="4"/>
            <w:tcBorders>
              <w:top w:val="nil"/>
              <w:left w:val="single" w:color="auto" w:sz="8" w:space="0"/>
              <w:bottom w:val="single" w:color="auto" w:sz="4" w:space="0"/>
              <w:right w:val="single" w:color="000000" w:sz="4" w:space="0"/>
            </w:tcBorders>
            <w:noWrap w:val="0"/>
            <w:vAlign w:val="center"/>
          </w:tcPr>
          <w:p>
            <w:pPr>
              <w:widowControl/>
              <w:jc w:val="center"/>
              <w:rPr>
                <w:rFonts w:hint="eastAsia" w:eastAsia="仿宋_GB2312"/>
                <w:kern w:val="0"/>
                <w:szCs w:val="21"/>
              </w:rPr>
            </w:pPr>
            <w:r>
              <w:rPr>
                <w:rFonts w:hint="eastAsia" w:eastAsia="仿宋_GB2312"/>
                <w:kern w:val="0"/>
                <w:szCs w:val="21"/>
              </w:rPr>
              <w:t>合计</w:t>
            </w:r>
          </w:p>
        </w:tc>
        <w:tc>
          <w:tcPr>
            <w:tcW w:w="2739"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331"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739"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331"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739"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331"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739"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331"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739"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331"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739"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331" w:type="dxa"/>
            <w:gridSpan w:val="2"/>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2739" w:type="dxa"/>
            <w:gridSpan w:val="2"/>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225" w:type="dxa"/>
            <w:gridSpan w:val="2"/>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c>
          <w:tcPr>
            <w:tcW w:w="3975" w:type="dxa"/>
            <w:tcBorders>
              <w:top w:val="nil"/>
              <w:left w:val="nil"/>
              <w:bottom w:val="single" w:color="auto" w:sz="8" w:space="0"/>
              <w:right w:val="single" w:color="auto" w:sz="4" w:space="0"/>
            </w:tcBorders>
            <w:noWrap w:val="0"/>
            <w:vAlign w:val="center"/>
          </w:tcPr>
          <w:p>
            <w:pPr>
              <w:widowControl/>
              <w:jc w:val="center"/>
              <w:rPr>
                <w:rFonts w:hint="eastAsia"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pPr>
              <w:pStyle w:val="4"/>
              <w:rPr>
                <w:rFonts w:hint="eastAsia" w:eastAsia="仿宋_GB2312"/>
                <w:lang w:eastAsia="zh-CN"/>
              </w:rPr>
            </w:pPr>
            <w:r>
              <w:rPr>
                <w:rFonts w:hint="eastAsia" w:eastAsia="仿宋_GB2312"/>
                <w:kern w:val="0"/>
                <w:szCs w:val="21"/>
              </w:rPr>
              <w:t>中共蓝山县委机构编制委员会办公室</w:t>
            </w:r>
            <w:r>
              <w:rPr>
                <w:rFonts w:hint="eastAsia" w:ascii="Times New Roman" w:hAnsi="Times New Roman" w:eastAsia="仿宋_GB2312" w:cs="Times New Roman"/>
                <w:kern w:val="0"/>
                <w:szCs w:val="21"/>
              </w:rPr>
              <w:t>没有国有资本经营预算财政拨款支出</w:t>
            </w:r>
            <w:r>
              <w:rPr>
                <w:rFonts w:hint="eastAsia" w:ascii="Times New Roman" w:hAnsi="Times New Roman" w:eastAsia="仿宋_GB2312" w:cs="Times New Roman"/>
                <w:kern w:val="0"/>
                <w:szCs w:val="21"/>
                <w:lang w:eastAsia="zh-CN"/>
              </w:rPr>
              <w:t>，</w:t>
            </w:r>
            <w:r>
              <w:rPr>
                <w:rFonts w:hint="eastAsia" w:ascii="Times New Roman" w:hAnsi="Times New Roman" w:eastAsia="仿宋_GB2312" w:cs="Times New Roman"/>
                <w:kern w:val="0"/>
                <w:szCs w:val="21"/>
              </w:rPr>
              <w:t>故本表无</w:t>
            </w:r>
            <w:r>
              <w:rPr>
                <w:rFonts w:hint="eastAsia" w:eastAsia="仿宋_GB2312"/>
                <w:kern w:val="0"/>
                <w:szCs w:val="21"/>
              </w:rPr>
              <w:t>数据</w:t>
            </w:r>
            <w:r>
              <w:rPr>
                <w:rFonts w:hint="eastAsia" w:eastAsia="仿宋_GB2312"/>
                <w:kern w:val="0"/>
                <w:szCs w:val="21"/>
                <w:lang w:eastAsia="zh-CN"/>
              </w:rPr>
              <w:t>。</w:t>
            </w:r>
          </w:p>
        </w:tc>
      </w:tr>
    </w:tbl>
    <w:p>
      <w:pPr>
        <w:widowControl/>
        <w:jc w:val="left"/>
        <w:rPr>
          <w:rFonts w:ascii="黑体" w:eastAsia="黑体" w:cs="黑体"/>
          <w:color w:val="000000"/>
          <w:kern w:val="0"/>
          <w:sz w:val="72"/>
          <w:szCs w:val="72"/>
        </w:rPr>
        <w:sectPr>
          <w:pgSz w:w="16838" w:h="11906" w:orient="landscape"/>
          <w:pgMar w:top="720" w:right="720" w:bottom="720" w:left="720" w:header="851" w:footer="992" w:gutter="0"/>
          <w:cols w:space="720" w:num="1"/>
          <w:docGrid w:type="lines" w:linePitch="312" w:charSpace="0"/>
        </w:sect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 xml:space="preserve">第三部分 </w:t>
      </w:r>
      <w:r>
        <w:rPr>
          <w:rFonts w:hint="eastAsia" w:ascii="黑体" w:hAnsi="黑体" w:eastAsia="黑体" w:cs="黑体"/>
          <w:b/>
          <w:kern w:val="0"/>
          <w:sz w:val="44"/>
          <w:szCs w:val="44"/>
          <w:lang w:eastAsia="zh-CN"/>
        </w:rPr>
        <w:t>2023</w:t>
      </w:r>
      <w:r>
        <w:rPr>
          <w:rFonts w:hint="eastAsia" w:ascii="黑体" w:hAnsi="黑体" w:eastAsia="黑体" w:cs="黑体"/>
          <w:b/>
          <w:kern w:val="0"/>
          <w:sz w:val="44"/>
          <w:szCs w:val="44"/>
        </w:rPr>
        <w:t>年度部门决算情况说明</w:t>
      </w:r>
    </w:p>
    <w:p>
      <w:pPr>
        <w:widowControl/>
        <w:jc w:val="left"/>
        <w:rPr>
          <w:rFonts w:hint="eastAsia" w:ascii="黑体" w:eastAsia="黑体" w:cs="黑体"/>
          <w:color w:val="000000"/>
          <w:kern w:val="0"/>
          <w:sz w:val="70"/>
          <w:szCs w:val="70"/>
        </w:rPr>
      </w:pP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26"/>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eastAsia="zh-CN"/>
        </w:rPr>
        <w:t>2023</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万元。与20</w:t>
      </w: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减少39.89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减少16.23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主要</w:t>
      </w:r>
      <w:r>
        <w:rPr>
          <w:rFonts w:hint="eastAsia"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lang w:val="en-US" w:eastAsia="zh-CN"/>
        </w:rPr>
        <w:t>因为</w:t>
      </w:r>
      <w:r>
        <w:rPr>
          <w:rFonts w:hint="eastAsia" w:ascii="Times New Roman" w:hAnsi="Times New Roman" w:eastAsia="仿宋_GB2312" w:cs="Times New Roman"/>
          <w:color w:val="auto"/>
          <w:sz w:val="32"/>
          <w:szCs w:val="32"/>
        </w:rPr>
        <w:t>要完成全县行政编制消超编工作，我单位调出公务员2人至参公事业单位，退休1名工勤人员，故人员经费和公用经费都减少了。</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pPr>
        <w:pStyle w:val="2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pPr>
        <w:pStyle w:val="2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189.22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91.93</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16.61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8.07</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pPr>
        <w:pStyle w:val="26"/>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ascii="Times New Roman" w:hAnsi="Times New Roman" w:eastAsia="仿宋_GB2312" w:cs="Times New Roman"/>
          <w:color w:val="auto"/>
          <w:sz w:val="32"/>
          <w:szCs w:val="32"/>
        </w:rPr>
        <w:t>年度财政拨款收、支总计</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万元，与20</w:t>
      </w: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减少39.89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减少16.23</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因为</w:t>
      </w:r>
      <w:r>
        <w:rPr>
          <w:rFonts w:hint="eastAsia" w:ascii="Times New Roman" w:hAnsi="Times New Roman" w:eastAsia="仿宋_GB2312" w:cs="Times New Roman"/>
          <w:color w:val="auto"/>
          <w:sz w:val="32"/>
          <w:szCs w:val="32"/>
        </w:rPr>
        <w:t>要完成全县行政编制消超编工作，我单位调出公务员2人至参公事业单位，退休1名工勤人员，故人员经费和公用经费都减少了。</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pPr>
        <w:pStyle w:val="26"/>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pPr>
        <w:pStyle w:val="26"/>
        <w:spacing w:line="600" w:lineRule="exact"/>
        <w:ind w:firstLine="640" w:firstLineChars="200"/>
        <w:jc w:val="both"/>
        <w:outlineLvl w:val="2"/>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年相比，财政拨款支出</w:t>
      </w:r>
      <w:r>
        <w:rPr>
          <w:rFonts w:hint="eastAsia" w:ascii="Times New Roman" w:hAnsi="Times New Roman" w:eastAsia="仿宋_GB2312" w:cs="Times New Roman"/>
          <w:color w:val="auto"/>
          <w:sz w:val="32"/>
          <w:szCs w:val="32"/>
          <w:lang w:val="en-US" w:eastAsia="zh-CN"/>
        </w:rPr>
        <w:t>减少39.89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减少16.23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因为</w:t>
      </w:r>
      <w:r>
        <w:rPr>
          <w:rFonts w:hint="eastAsia" w:ascii="Times New Roman" w:hAnsi="Times New Roman" w:eastAsia="仿宋_GB2312" w:cs="Times New Roman"/>
          <w:color w:val="auto"/>
          <w:sz w:val="32"/>
          <w:szCs w:val="32"/>
        </w:rPr>
        <w:t>要完成全县行政编制消超编工作，我单位调出公务员2人至参公事业单位，退休1名工勤人员，故人员经费和公用经费都减少了。</w:t>
      </w:r>
    </w:p>
    <w:p>
      <w:pPr>
        <w:pStyle w:val="26"/>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pPr>
        <w:pStyle w:val="26"/>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2023</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26"/>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pPr>
        <w:pStyle w:val="26"/>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ascii="Times New Roman" w:hAnsi="Times New Roman" w:eastAsia="仿宋_GB2312" w:cs="Times New Roman"/>
          <w:color w:val="auto"/>
          <w:sz w:val="32"/>
          <w:szCs w:val="32"/>
        </w:rPr>
        <w:t>年度财政拨款支出年初预算数为</w:t>
      </w:r>
      <w:r>
        <w:rPr>
          <w:rFonts w:hint="eastAsia" w:ascii="Times New Roman" w:hAnsi="Times New Roman" w:eastAsia="仿宋_GB2312" w:cs="Times New Roman"/>
          <w:color w:val="auto"/>
          <w:sz w:val="32"/>
          <w:szCs w:val="32"/>
          <w:lang w:val="en-US" w:eastAsia="zh-CN"/>
        </w:rPr>
        <w:t>244.14</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84.31</w:t>
      </w:r>
      <w:r>
        <w:rPr>
          <w:rFonts w:ascii="Times New Roman" w:hAnsi="Times New Roman" w:eastAsia="仿宋_GB2312" w:cs="Times New Roman"/>
          <w:color w:val="auto"/>
          <w:sz w:val="32"/>
          <w:szCs w:val="32"/>
        </w:rPr>
        <w:t>%，其中：</w:t>
      </w:r>
    </w:p>
    <w:p>
      <w:pPr>
        <w:pStyle w:val="2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lang w:val="en-US" w:eastAsia="zh-CN"/>
        </w:rPr>
        <w:t>党委办公厅（室）及相关机构事务（款）行政运行（项）</w:t>
      </w:r>
      <w:r>
        <w:rPr>
          <w:rFonts w:ascii="Times New Roman" w:hAnsi="Times New Roman" w:eastAsia="仿宋_GB2312" w:cs="Times New Roman"/>
          <w:color w:val="auto"/>
          <w:sz w:val="32"/>
          <w:szCs w:val="32"/>
        </w:rPr>
        <w:t>。</w:t>
      </w:r>
    </w:p>
    <w:p>
      <w:pPr>
        <w:pStyle w:val="2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244.14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205.83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84.31</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val="en-US" w:eastAsia="zh-CN"/>
        </w:rPr>
        <w:t>年中需要</w:t>
      </w:r>
      <w:r>
        <w:rPr>
          <w:rFonts w:hint="eastAsia" w:ascii="Times New Roman" w:hAnsi="Times New Roman" w:eastAsia="仿宋_GB2312" w:cs="Times New Roman"/>
          <w:color w:val="auto"/>
          <w:sz w:val="32"/>
          <w:szCs w:val="32"/>
        </w:rPr>
        <w:t>完成全县行政编制消超编工作，我单位调出公务员2人至参公事业单位，退休1名工勤人员，故人员经费</w:t>
      </w:r>
      <w:r>
        <w:rPr>
          <w:rFonts w:hint="eastAsia" w:ascii="Times New Roman" w:hAnsi="Times New Roman" w:eastAsia="仿宋_GB2312" w:cs="Times New Roman"/>
          <w:color w:val="auto"/>
          <w:sz w:val="32"/>
          <w:szCs w:val="32"/>
          <w:lang w:val="en-US" w:eastAsia="zh-CN"/>
        </w:rPr>
        <w:t>支出</w:t>
      </w:r>
      <w:r>
        <w:rPr>
          <w:rFonts w:hint="eastAsia" w:ascii="Times New Roman" w:hAnsi="Times New Roman" w:eastAsia="仿宋_GB2312" w:cs="Times New Roman"/>
          <w:color w:val="auto"/>
          <w:sz w:val="32"/>
          <w:szCs w:val="32"/>
        </w:rPr>
        <w:t>和公用经费</w:t>
      </w:r>
      <w:r>
        <w:rPr>
          <w:rFonts w:hint="eastAsia" w:ascii="Times New Roman" w:hAnsi="Times New Roman" w:eastAsia="仿宋_GB2312" w:cs="Times New Roman"/>
          <w:color w:val="auto"/>
          <w:sz w:val="32"/>
          <w:szCs w:val="32"/>
          <w:lang w:val="en-US" w:eastAsia="zh-CN"/>
        </w:rPr>
        <w:t>支出</w:t>
      </w:r>
      <w:r>
        <w:rPr>
          <w:rFonts w:hint="eastAsia" w:ascii="Times New Roman" w:hAnsi="Times New Roman" w:eastAsia="仿宋_GB2312" w:cs="Times New Roman"/>
          <w:color w:val="auto"/>
          <w:sz w:val="32"/>
          <w:szCs w:val="32"/>
        </w:rPr>
        <w:t>都减少了。</w:t>
      </w:r>
      <w:r>
        <w:rPr>
          <w:rFonts w:hint="eastAsia" w:ascii="Times New Roman" w:hAnsi="Times New Roman" w:eastAsia="仿宋_GB2312" w:cs="Times New Roman"/>
          <w:color w:val="auto"/>
          <w:sz w:val="32"/>
          <w:szCs w:val="32"/>
          <w:lang w:val="en-US" w:eastAsia="zh-CN"/>
        </w:rPr>
        <w:t>另外，部分商品服务支出和住房公积金未支付</w:t>
      </w:r>
      <w:r>
        <w:rPr>
          <w:rFonts w:hint="eastAsia" w:ascii="Times New Roman" w:hAnsi="Times New Roman" w:eastAsia="仿宋_GB2312" w:cs="Times New Roman"/>
          <w:color w:val="auto"/>
          <w:sz w:val="32"/>
          <w:szCs w:val="32"/>
        </w:rPr>
        <w:t>。</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pPr>
        <w:pStyle w:val="26"/>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lang w:val="en-US" w:eastAsia="zh-CN"/>
        </w:rPr>
        <w:t>189.22</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lang w:val="en-US" w:eastAsia="zh-CN"/>
        </w:rPr>
        <w:t>162.91</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86.10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lang w:val="en-US" w:eastAsia="zh-CN"/>
        </w:rPr>
        <w:t>26.31</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13.90</w:t>
      </w:r>
      <w:r>
        <w:rPr>
          <w:rFonts w:ascii="Times New Roman" w:hAnsi="Times New Roman" w:eastAsia="仿宋_GB2312" w:cs="Times New Roman"/>
          <w:color w:val="auto"/>
          <w:sz w:val="32"/>
          <w:szCs w:val="32"/>
        </w:rPr>
        <w:t>%，主要包括</w:t>
      </w:r>
      <w:r>
        <w:rPr>
          <w:rFonts w:hint="eastAsia" w:ascii="Times New Roman" w:hAnsi="Times New Roman" w:eastAsia="仿宋_GB2312" w:cs="Times New Roman"/>
          <w:color w:val="auto"/>
          <w:sz w:val="32"/>
          <w:szCs w:val="32"/>
        </w:rPr>
        <w:t>办公费、印刷费、水电费、邮电费、差旅费、租赁费、维修费、公务接待费、工会经费、其他交通费、其他商品服务支出等开支。</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七、一般公共预算财政拨款三公经费支出决算情况说明</w:t>
      </w:r>
    </w:p>
    <w:p>
      <w:pPr>
        <w:pStyle w:val="26"/>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pPr>
        <w:pStyle w:val="2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0.96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32</w:t>
      </w:r>
      <w:r>
        <w:rPr>
          <w:rFonts w:ascii="Times New Roman" w:hAnsi="Times New Roman" w:eastAsia="仿宋_GB2312" w:cs="Times New Roman"/>
          <w:color w:val="auto"/>
          <w:sz w:val="32"/>
          <w:szCs w:val="32"/>
        </w:rPr>
        <w:t>%，其中：</w:t>
      </w:r>
    </w:p>
    <w:p>
      <w:pPr>
        <w:pStyle w:val="2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年初预算数，与上年相比</w:t>
      </w:r>
      <w:r>
        <w:rPr>
          <w:rFonts w:hint="eastAsia" w:ascii="Times New Roman" w:hAnsi="Times New Roman" w:eastAsia="仿宋_GB2312" w:cs="Times New Roman"/>
          <w:color w:val="auto"/>
          <w:sz w:val="32"/>
          <w:szCs w:val="32"/>
          <w:lang w:val="en-US" w:eastAsia="zh-CN"/>
        </w:rPr>
        <w:t>持平，主要原因是</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年无因公出国出境</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rPr>
        <w:t>。</w:t>
      </w:r>
    </w:p>
    <w:p>
      <w:pPr>
        <w:pStyle w:val="2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0.96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32</w:t>
      </w:r>
      <w:r>
        <w:rPr>
          <w:rFonts w:ascii="Times New Roman" w:hAnsi="Times New Roman" w:eastAsia="仿宋_GB2312" w:cs="Times New Roman"/>
          <w:color w:val="auto"/>
          <w:sz w:val="32"/>
          <w:szCs w:val="32"/>
        </w:rPr>
        <w:t>%，决算数小于年初预算数的主要原因是</w:t>
      </w:r>
      <w:r>
        <w:rPr>
          <w:rFonts w:hint="eastAsia" w:ascii="仿宋_GB2312" w:hAnsi="仿宋_GB2312" w:eastAsia="仿宋_GB2312" w:cs="仿宋_GB2312"/>
          <w:sz w:val="32"/>
          <w:szCs w:val="32"/>
        </w:rPr>
        <w:t>减少公务接待，降低接待标准</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0.24</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减少的主要原因是</w:t>
      </w:r>
      <w:r>
        <w:rPr>
          <w:rFonts w:hint="eastAsia" w:ascii="仿宋_GB2312" w:hAnsi="仿宋_GB2312" w:eastAsia="仿宋_GB2312" w:cs="仿宋_GB2312"/>
          <w:sz w:val="32"/>
          <w:szCs w:val="32"/>
        </w:rPr>
        <w:t>减少公务接待，降低接待标准</w:t>
      </w:r>
      <w:r>
        <w:rPr>
          <w:rFonts w:ascii="Times New Roman" w:hAnsi="Times New Roman" w:eastAsia="仿宋_GB2312" w:cs="Times New Roman"/>
          <w:color w:val="auto"/>
          <w:sz w:val="32"/>
          <w:szCs w:val="32"/>
        </w:rPr>
        <w:t>。</w:t>
      </w:r>
    </w:p>
    <w:p>
      <w:pPr>
        <w:pStyle w:val="2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我单位没有公务车，故</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公车</w:t>
      </w:r>
      <w:r>
        <w:rPr>
          <w:rFonts w:hint="eastAsia" w:ascii="仿宋_GB2312" w:hAnsi="仿宋_GB2312" w:eastAsia="仿宋_GB2312" w:cs="仿宋_GB2312"/>
          <w:sz w:val="32"/>
          <w:szCs w:val="32"/>
        </w:rPr>
        <w:t>平台租车</w:t>
      </w:r>
      <w:r>
        <w:rPr>
          <w:rFonts w:hint="eastAsia" w:ascii="仿宋_GB2312" w:hAnsi="仿宋_GB2312" w:eastAsia="仿宋_GB2312" w:cs="仿宋_GB2312"/>
          <w:sz w:val="32"/>
          <w:szCs w:val="32"/>
          <w:lang w:val="en-US" w:eastAsia="zh-CN"/>
        </w:rPr>
        <w:t>费用已纳入租赁费核算，</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持平</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我单位没有公务车，故</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公车</w:t>
      </w:r>
      <w:r>
        <w:rPr>
          <w:rFonts w:hint="eastAsia" w:ascii="仿宋_GB2312" w:hAnsi="仿宋_GB2312" w:eastAsia="仿宋_GB2312" w:cs="仿宋_GB2312"/>
          <w:sz w:val="32"/>
          <w:szCs w:val="32"/>
        </w:rPr>
        <w:t>平台租车</w:t>
      </w:r>
      <w:r>
        <w:rPr>
          <w:rFonts w:hint="eastAsia" w:ascii="仿宋_GB2312" w:hAnsi="仿宋_GB2312" w:eastAsia="仿宋_GB2312" w:cs="仿宋_GB2312"/>
          <w:sz w:val="32"/>
          <w:szCs w:val="32"/>
          <w:lang w:val="en-US" w:eastAsia="zh-CN"/>
        </w:rPr>
        <w:t>费用已纳入租赁费核算。</w:t>
      </w:r>
    </w:p>
    <w:p>
      <w:pPr>
        <w:pStyle w:val="26"/>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pPr>
        <w:pStyle w:val="26"/>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lang w:val="en-US" w:eastAsia="zh-CN"/>
        </w:rPr>
        <w:t>0.96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%。其中：</w:t>
      </w:r>
    </w:p>
    <w:p>
      <w:pPr>
        <w:pStyle w:val="26"/>
        <w:spacing w:line="600" w:lineRule="exact"/>
        <w:ind w:firstLine="640" w:firstLineChars="200"/>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pPr>
        <w:pStyle w:val="26"/>
        <w:spacing w:line="60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lang w:val="en-US" w:eastAsia="zh-CN"/>
        </w:rPr>
        <w:t>0.96</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lang w:val="en-US" w:eastAsia="zh-CN"/>
        </w:rPr>
        <w:t>16</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60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rPr>
        <w:t>接待上级领导来蓝山检查、调研</w:t>
      </w:r>
      <w:r>
        <w:rPr>
          <w:rFonts w:hint="eastAsia" w:ascii="Times New Roman" w:hAnsi="Times New Roman" w:eastAsia="仿宋_GB2312" w:cs="Times New Roman"/>
          <w:color w:val="auto"/>
          <w:sz w:val="32"/>
          <w:szCs w:val="32"/>
          <w:lang w:val="en-US" w:eastAsia="zh-CN"/>
        </w:rPr>
        <w:t>和其他县市区</w:t>
      </w:r>
      <w:r>
        <w:rPr>
          <w:rFonts w:hint="eastAsia" w:ascii="Times New Roman" w:hAnsi="Times New Roman" w:eastAsia="仿宋_GB2312" w:cs="Times New Roman"/>
          <w:color w:val="auto"/>
          <w:sz w:val="32"/>
          <w:szCs w:val="32"/>
        </w:rPr>
        <w:t>相关单位的外调、学习等</w:t>
      </w:r>
      <w:r>
        <w:rPr>
          <w:rFonts w:ascii="Times New Roman" w:hAnsi="Times New Roman" w:eastAsia="仿宋_GB2312" w:cs="Times New Roman"/>
          <w:color w:val="auto"/>
          <w:sz w:val="32"/>
          <w:szCs w:val="32"/>
        </w:rPr>
        <w:t>发生的接待支出。</w:t>
      </w:r>
    </w:p>
    <w:p>
      <w:pPr>
        <w:pStyle w:val="26"/>
        <w:spacing w:line="600" w:lineRule="exact"/>
        <w:ind w:firstLine="640" w:firstLineChars="200"/>
        <w:outlineLvl w:val="1"/>
        <w:rPr>
          <w:rFonts w:hint="eastAsia" w:eastAsia="仿宋_GB2312"/>
          <w:sz w:val="32"/>
          <w:szCs w:val="32"/>
          <w:lang w:eastAsia="zh-CN"/>
        </w:rPr>
      </w:pPr>
      <w:r>
        <w:rPr>
          <w:rFonts w:ascii="Times New Roman" w:hAnsi="Times New Roman" w:eastAsia="仿宋_GB2312" w:cs="Times New Roman"/>
          <w:color w:val="auto"/>
          <w:sz w:val="32"/>
          <w:szCs w:val="32"/>
        </w:rPr>
        <w:t>3、</w:t>
      </w:r>
      <w:r>
        <w:rPr>
          <w:rFonts w:hint="eastAsia" w:eastAsia="仿宋_GB2312"/>
          <w:sz w:val="32"/>
          <w:szCs w:val="32"/>
        </w:rPr>
        <w:t>公务用车购置费及运行维护费支出决算为</w:t>
      </w:r>
      <w:r>
        <w:rPr>
          <w:rFonts w:hint="eastAsia" w:ascii="Times New Roman" w:hAnsi="Times New Roman" w:eastAsia="仿宋_GB2312" w:cs="Times New Roman"/>
          <w:color w:val="auto"/>
          <w:sz w:val="32"/>
          <w:szCs w:val="32"/>
        </w:rPr>
        <w:t>0万元，其中：公务用车购置费</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万元。公务用车运行维护费0万元</w:t>
      </w:r>
      <w:r>
        <w:rPr>
          <w:rFonts w:hint="eastAsia" w:ascii="Times New Roman" w:hAnsi="Times New Roman" w:eastAsia="仿宋_GB2312" w:cs="Times New Roman"/>
          <w:color w:val="auto"/>
          <w:sz w:val="32"/>
          <w:szCs w:val="32"/>
          <w:lang w:eastAsia="zh-CN"/>
        </w:rPr>
        <w:t>，</w:t>
      </w:r>
      <w:r>
        <w:rPr>
          <w:rFonts w:eastAsia="仿宋_GB2312"/>
          <w:sz w:val="32"/>
          <w:szCs w:val="32"/>
        </w:rPr>
        <w:t>截止</w:t>
      </w:r>
      <w:r>
        <w:rPr>
          <w:rFonts w:hint="eastAsia" w:ascii="Times New Roman" w:hAnsi="Times New Roman" w:eastAsia="仿宋_GB2312" w:cs="Times New Roman"/>
          <w:color w:val="auto"/>
          <w:sz w:val="32"/>
          <w:szCs w:val="32"/>
          <w:lang w:val="en-US" w:eastAsia="zh-CN"/>
        </w:rPr>
        <w:t>2023</w:t>
      </w:r>
      <w:r>
        <w:rPr>
          <w:rFonts w:hint="eastAsia" w:ascii="Times New Roman" w:hAnsi="Times New Roman" w:eastAsia="仿宋_GB2312" w:cs="Times New Roman"/>
          <w:color w:val="auto"/>
          <w:sz w:val="32"/>
          <w:szCs w:val="32"/>
        </w:rPr>
        <w:t>年12月31日，我单位开支财政拨款的公务用车保有量为</w:t>
      </w:r>
      <w:r>
        <w:rPr>
          <w:rFonts w:hint="eastAsia" w:ascii="Times New Roman" w:hAnsi="Times New Roman" w:eastAsia="仿宋_GB2312" w:cs="Times New Roman"/>
          <w:color w:val="auto"/>
          <w:sz w:val="32"/>
          <w:szCs w:val="32"/>
          <w:u w:val="none"/>
          <w:lang w:val="en-US" w:eastAsia="zh-CN"/>
        </w:rPr>
        <w:t>0</w:t>
      </w:r>
      <w:r>
        <w:rPr>
          <w:rFonts w:eastAsia="仿宋_GB2312"/>
          <w:sz w:val="32"/>
          <w:szCs w:val="32"/>
        </w:rPr>
        <w:t>辆</w:t>
      </w:r>
      <w:r>
        <w:rPr>
          <w:rFonts w:hint="eastAsia" w:eastAsia="仿宋_GB2312"/>
          <w:sz w:val="32"/>
          <w:szCs w:val="32"/>
          <w:lang w:eastAsia="zh-CN"/>
        </w:rPr>
        <w:t>。</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pPr>
        <w:pStyle w:val="26"/>
        <w:spacing w:line="600" w:lineRule="exact"/>
        <w:ind w:firstLine="640" w:firstLineChars="200"/>
        <w:outlineLvl w:val="1"/>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年度本单位无政府性基金收支。</w:t>
      </w:r>
    </w:p>
    <w:p>
      <w:pPr>
        <w:pStyle w:val="26"/>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pStyle w:val="26"/>
        <w:spacing w:line="600" w:lineRule="exact"/>
        <w:ind w:firstLine="640" w:firstLineChars="200"/>
        <w:rPr>
          <w:rFonts w:hAnsi="黑体"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eastAsia" w:ascii="Times New Roman" w:hAnsi="Times New Roman" w:eastAsia="仿宋_GB2312" w:cs="Times New Roman"/>
          <w:color w:val="auto"/>
          <w:sz w:val="32"/>
          <w:szCs w:val="32"/>
        </w:rPr>
        <w:t>年度</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rPr>
        <w:t>国有资本经营预算支出。</w:t>
      </w:r>
    </w:p>
    <w:p>
      <w:pPr>
        <w:pStyle w:val="26"/>
        <w:numPr>
          <w:ilvl w:val="0"/>
          <w:numId w:val="1"/>
        </w:numPr>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关于</w:t>
      </w:r>
      <w:r>
        <w:rPr>
          <w:rFonts w:hint="eastAsia" w:hAnsi="黑体" w:cs="Times New Roman"/>
          <w:color w:val="auto"/>
          <w:sz w:val="32"/>
          <w:szCs w:val="32"/>
          <w:lang w:eastAsia="zh-CN"/>
        </w:rPr>
        <w:t>2023</w:t>
      </w:r>
      <w:r>
        <w:rPr>
          <w:rFonts w:hAnsi="黑体" w:cs="Times New Roman"/>
          <w:color w:val="auto"/>
          <w:sz w:val="32"/>
          <w:szCs w:val="32"/>
        </w:rPr>
        <w:t>年度预算绩效情况说明</w:t>
      </w:r>
    </w:p>
    <w:p>
      <w:pPr>
        <w:widowControl/>
        <w:spacing w:line="600" w:lineRule="exact"/>
        <w:ind w:firstLine="643" w:firstLineChars="200"/>
        <w:jc w:val="left"/>
        <w:rPr>
          <w:rFonts w:ascii="楷体_GB2312" w:eastAsia="楷体_GB2312"/>
          <w:b/>
          <w:kern w:val="0"/>
          <w:sz w:val="32"/>
          <w:szCs w:val="32"/>
        </w:rPr>
      </w:pPr>
      <w:r>
        <w:rPr>
          <w:rFonts w:hint="eastAsia" w:ascii="楷体_GB2312" w:eastAsia="楷体_GB2312"/>
          <w:b/>
          <w:kern w:val="0"/>
          <w:sz w:val="32"/>
          <w:szCs w:val="32"/>
        </w:rPr>
        <w:t>（一）预算绩效管理工作开展情况。</w:t>
      </w:r>
    </w:p>
    <w:p>
      <w:pPr>
        <w:widowControl/>
        <w:spacing w:line="600" w:lineRule="exact"/>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根据《中华人民共和国预算法》、中共湖南省委办公厅湖南省人民政府办公厅《关于全面实施预算绩效管理的实施意见》（湘办发[2019]10号）、《蓝山县财政局关于开展</w:t>
      </w:r>
      <w:r>
        <w:rPr>
          <w:rFonts w:hint="eastAsia" w:ascii="仿宋" w:hAnsi="仿宋" w:eastAsia="仿宋" w:cs="仿宋"/>
          <w:bCs/>
          <w:sz w:val="32"/>
          <w:szCs w:val="32"/>
          <w:lang w:eastAsia="zh-CN"/>
        </w:rPr>
        <w:t>2023</w:t>
      </w:r>
      <w:r>
        <w:rPr>
          <w:rFonts w:hint="eastAsia" w:ascii="仿宋" w:hAnsi="仿宋" w:eastAsia="仿宋" w:cs="仿宋"/>
          <w:bCs/>
          <w:sz w:val="32"/>
          <w:szCs w:val="32"/>
        </w:rPr>
        <w:t>年度财政支出绩效自评工作的通知》（蓝财绩[</w:t>
      </w:r>
      <w:r>
        <w:rPr>
          <w:rFonts w:hint="eastAsia" w:ascii="仿宋" w:hAnsi="仿宋" w:eastAsia="仿宋" w:cs="仿宋"/>
          <w:bCs/>
          <w:sz w:val="32"/>
          <w:szCs w:val="32"/>
          <w:lang w:eastAsia="zh-CN"/>
        </w:rPr>
        <w:t>2023</w:t>
      </w:r>
      <w:r>
        <w:rPr>
          <w:rFonts w:hint="eastAsia" w:ascii="仿宋" w:hAnsi="仿宋" w:eastAsia="仿宋" w:cs="仿宋"/>
          <w:bCs/>
          <w:sz w:val="32"/>
          <w:szCs w:val="32"/>
        </w:rPr>
        <w:t>]</w:t>
      </w:r>
      <w:r>
        <w:rPr>
          <w:rFonts w:hint="eastAsia" w:ascii="仿宋" w:hAnsi="仿宋" w:eastAsia="仿宋" w:cs="仿宋"/>
          <w:bCs/>
          <w:sz w:val="32"/>
          <w:szCs w:val="32"/>
          <w:lang w:val="en-US" w:eastAsia="zh-CN"/>
        </w:rPr>
        <w:t>1</w:t>
      </w:r>
      <w:r>
        <w:rPr>
          <w:rFonts w:hint="eastAsia" w:ascii="仿宋" w:hAnsi="仿宋" w:eastAsia="仿宋" w:cs="仿宋"/>
          <w:bCs/>
          <w:sz w:val="32"/>
          <w:szCs w:val="32"/>
        </w:rPr>
        <w:t>号）精神，我单位领导高度重视，认真组织，对</w:t>
      </w:r>
      <w:r>
        <w:rPr>
          <w:rFonts w:hint="eastAsia" w:ascii="仿宋" w:hAnsi="仿宋" w:eastAsia="仿宋" w:cs="仿宋"/>
          <w:bCs/>
          <w:sz w:val="32"/>
          <w:szCs w:val="32"/>
          <w:lang w:eastAsia="zh-CN"/>
        </w:rPr>
        <w:t>2023</w:t>
      </w:r>
      <w:r>
        <w:rPr>
          <w:rFonts w:hint="eastAsia" w:ascii="仿宋" w:hAnsi="仿宋" w:eastAsia="仿宋" w:cs="仿宋"/>
          <w:bCs/>
          <w:sz w:val="32"/>
          <w:szCs w:val="32"/>
        </w:rPr>
        <w:t>年部门整体支出进行了绩效自评。</w:t>
      </w:r>
    </w:p>
    <w:p>
      <w:pPr>
        <w:widowControl/>
        <w:numPr>
          <w:ilvl w:val="0"/>
          <w:numId w:val="2"/>
        </w:numPr>
        <w:spacing w:line="560" w:lineRule="atLeast"/>
        <w:ind w:firstLine="645"/>
        <w:rPr>
          <w:rFonts w:hint="eastAsia" w:ascii="楷体_GB2312" w:eastAsia="楷体_GB2312"/>
          <w:b/>
          <w:kern w:val="0"/>
          <w:sz w:val="32"/>
          <w:szCs w:val="32"/>
        </w:rPr>
      </w:pPr>
      <w:r>
        <w:rPr>
          <w:rFonts w:hint="eastAsia" w:ascii="楷体_GB2312" w:eastAsia="楷体_GB2312"/>
          <w:b/>
          <w:kern w:val="0"/>
          <w:sz w:val="32"/>
          <w:szCs w:val="32"/>
        </w:rPr>
        <w:t>项目绩效自评结果、重点绩效评价结果。</w:t>
      </w:r>
    </w:p>
    <w:p>
      <w:pPr>
        <w:pStyle w:val="10"/>
        <w:widowControl/>
        <w:spacing w:before="0" w:beforeAutospacing="0" w:after="0" w:afterAutospacing="0" w:line="560" w:lineRule="atLeast"/>
        <w:ind w:firstLine="640" w:firstLineChars="200"/>
        <w:rPr>
          <w:rFonts w:hint="eastAsia" w:ascii="仿宋_GB2312" w:eastAsia="仿宋_GB2312"/>
          <w:i/>
          <w:iCs/>
          <w:color w:val="FF0000"/>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2023年整体支出205.83万元，其中项目支出16.61万元，本年度无重点项目支出。</w:t>
      </w:r>
      <w:r>
        <w:rPr>
          <w:rFonts w:hint="eastAsia" w:ascii="仿宋_GB2312" w:hAnsi="仿宋_GB2312" w:eastAsia="仿宋_GB2312" w:cs="仿宋_GB2312"/>
          <w:sz w:val="32"/>
          <w:szCs w:val="32"/>
          <w:shd w:val="clear" w:color="auto" w:fill="FFFFFF"/>
        </w:rPr>
        <w:t>部门预算整体支出绩效评价自评分为9</w:t>
      </w:r>
      <w:r>
        <w:rPr>
          <w:rFonts w:hint="eastAsia" w:ascii="仿宋_GB2312" w:hAnsi="仿宋_GB2312" w:eastAsia="仿宋_GB2312" w:cs="仿宋_GB2312"/>
          <w:sz w:val="32"/>
          <w:szCs w:val="32"/>
          <w:shd w:val="clear" w:color="auto" w:fill="FFFFFF"/>
          <w:lang w:val="en-US" w:eastAsia="zh-CN"/>
        </w:rPr>
        <w:t>1.5</w:t>
      </w:r>
      <w:r>
        <w:rPr>
          <w:rFonts w:hint="eastAsia" w:ascii="仿宋_GB2312" w:hAnsi="仿宋_GB2312" w:eastAsia="仿宋_GB2312" w:cs="仿宋_GB2312"/>
          <w:sz w:val="32"/>
          <w:szCs w:val="32"/>
          <w:shd w:val="clear" w:color="auto" w:fill="FFFFFF"/>
        </w:rPr>
        <w:t>分。</w:t>
      </w:r>
    </w:p>
    <w:p>
      <w:pPr>
        <w:pStyle w:val="26"/>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rPr>
        <w:t>一</w:t>
      </w:r>
      <w:r>
        <w:rPr>
          <w:rFonts w:hAnsi="黑体" w:cs="Times New Roman"/>
          <w:color w:val="auto"/>
          <w:sz w:val="32"/>
          <w:szCs w:val="32"/>
        </w:rPr>
        <w:t>、其他重要事项情况说明</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b w:val="0"/>
          <w:bCs w:val="0"/>
          <w:kern w:val="0"/>
          <w:sz w:val="32"/>
          <w:szCs w:val="32"/>
          <w:lang w:eastAsia="zh-CN"/>
        </w:rPr>
        <w:t>2023</w:t>
      </w:r>
      <w:r>
        <w:rPr>
          <w:rFonts w:eastAsia="仿宋_GB2312"/>
          <w:kern w:val="0"/>
          <w:sz w:val="32"/>
          <w:szCs w:val="32"/>
        </w:rPr>
        <w:t>年度机关运行经费支出</w:t>
      </w:r>
      <w:r>
        <w:rPr>
          <w:rFonts w:hint="eastAsia" w:eastAsia="仿宋_GB2312"/>
          <w:sz w:val="32"/>
          <w:szCs w:val="32"/>
          <w:lang w:val="en-US" w:eastAsia="zh-CN"/>
        </w:rPr>
        <w:t>26.31</w:t>
      </w:r>
      <w:r>
        <w:rPr>
          <w:rFonts w:eastAsia="仿宋_GB2312"/>
          <w:kern w:val="0"/>
          <w:sz w:val="32"/>
          <w:szCs w:val="32"/>
        </w:rPr>
        <w:t>万元，比年初预算数增加</w:t>
      </w:r>
      <w:r>
        <w:rPr>
          <w:rFonts w:hint="eastAsia" w:eastAsia="仿宋_GB2312"/>
          <w:kern w:val="0"/>
          <w:sz w:val="32"/>
          <w:szCs w:val="32"/>
          <w:lang w:val="en-US" w:eastAsia="zh-CN"/>
        </w:rPr>
        <w:t>0.91</w:t>
      </w:r>
      <w:r>
        <w:rPr>
          <w:rFonts w:eastAsia="仿宋_GB2312"/>
          <w:kern w:val="0"/>
          <w:sz w:val="32"/>
          <w:szCs w:val="32"/>
        </w:rPr>
        <w:t>万元，增长</w:t>
      </w:r>
      <w:r>
        <w:rPr>
          <w:rFonts w:hint="eastAsia" w:eastAsia="仿宋_GB2312"/>
          <w:sz w:val="32"/>
          <w:szCs w:val="32"/>
          <w:lang w:val="en-US" w:eastAsia="zh-CN"/>
        </w:rPr>
        <w:t>3.58</w:t>
      </w:r>
      <w:r>
        <w:rPr>
          <w:rFonts w:eastAsia="仿宋_GB2312"/>
          <w:kern w:val="0"/>
          <w:sz w:val="32"/>
          <w:szCs w:val="32"/>
        </w:rPr>
        <w:t>%。主要原因是：</w:t>
      </w:r>
      <w:r>
        <w:rPr>
          <w:rFonts w:hint="eastAsia" w:eastAsia="仿宋_GB2312"/>
          <w:kern w:val="0"/>
          <w:sz w:val="32"/>
          <w:szCs w:val="32"/>
          <w:lang w:val="en-US" w:eastAsia="zh-CN"/>
        </w:rPr>
        <w:t>结转了上年度待支付的商品服务支出</w:t>
      </w:r>
      <w:r>
        <w:rPr>
          <w:rFonts w:hint="eastAsia" w:eastAsia="仿宋_GB2312"/>
          <w:kern w:val="0"/>
          <w:sz w:val="32"/>
          <w:szCs w:val="32"/>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2023</w:t>
      </w:r>
      <w:r>
        <w:rPr>
          <w:rFonts w:eastAsia="仿宋_GB2312"/>
          <w:kern w:val="0"/>
          <w:sz w:val="32"/>
          <w:szCs w:val="32"/>
        </w:rPr>
        <w:t>年本部门开支会议费</w:t>
      </w:r>
      <w:r>
        <w:rPr>
          <w:rFonts w:hint="eastAsia" w:eastAsia="仿宋_GB2312"/>
          <w:sz w:val="32"/>
          <w:szCs w:val="32"/>
          <w:lang w:val="en-US" w:eastAsia="zh-CN"/>
        </w:rPr>
        <w:t>0</w:t>
      </w:r>
      <w:r>
        <w:rPr>
          <w:rFonts w:eastAsia="仿宋_GB2312"/>
          <w:kern w:val="0"/>
          <w:sz w:val="32"/>
          <w:szCs w:val="32"/>
        </w:rPr>
        <w:t>万元</w:t>
      </w:r>
      <w:r>
        <w:rPr>
          <w:rFonts w:hint="eastAsia" w:eastAsia="仿宋_GB2312"/>
          <w:kern w:val="0"/>
          <w:sz w:val="32"/>
          <w:szCs w:val="32"/>
          <w:lang w:eastAsia="zh-CN"/>
        </w:rPr>
        <w:t>，</w:t>
      </w:r>
      <w:r>
        <w:rPr>
          <w:rFonts w:eastAsia="仿宋_GB2312"/>
          <w:kern w:val="0"/>
          <w:sz w:val="32"/>
          <w:szCs w:val="32"/>
        </w:rPr>
        <w:t>用于召开</w:t>
      </w:r>
      <w:r>
        <w:rPr>
          <w:rFonts w:hint="eastAsia" w:eastAsia="仿宋_GB2312"/>
          <w:kern w:val="0"/>
          <w:sz w:val="32"/>
          <w:szCs w:val="32"/>
          <w:lang w:val="en-US" w:eastAsia="zh-CN"/>
        </w:rPr>
        <w:t>0次</w:t>
      </w:r>
      <w:r>
        <w:rPr>
          <w:rFonts w:eastAsia="仿宋_GB2312"/>
          <w:kern w:val="0"/>
          <w:sz w:val="32"/>
          <w:szCs w:val="32"/>
        </w:rPr>
        <w:t>会议，人数</w:t>
      </w:r>
      <w:r>
        <w:rPr>
          <w:rFonts w:hint="eastAsia" w:eastAsia="仿宋_GB2312"/>
          <w:sz w:val="32"/>
          <w:szCs w:val="32"/>
          <w:u w:val="none"/>
          <w:lang w:val="en-US" w:eastAsia="zh-CN"/>
        </w:rPr>
        <w:t>0</w:t>
      </w:r>
      <w:r>
        <w:rPr>
          <w:rFonts w:eastAsia="仿宋_GB2312"/>
          <w:kern w:val="0"/>
          <w:sz w:val="32"/>
          <w:szCs w:val="32"/>
        </w:rPr>
        <w:t>人</w:t>
      </w:r>
      <w:r>
        <w:rPr>
          <w:rFonts w:hint="eastAsia" w:eastAsia="仿宋_GB2312"/>
          <w:kern w:val="0"/>
          <w:sz w:val="32"/>
          <w:szCs w:val="32"/>
          <w:lang w:eastAsia="zh-CN"/>
        </w:rPr>
        <w:t>；</w:t>
      </w:r>
      <w:r>
        <w:rPr>
          <w:rFonts w:eastAsia="仿宋_GB2312"/>
          <w:kern w:val="0"/>
          <w:sz w:val="32"/>
          <w:szCs w:val="32"/>
        </w:rPr>
        <w:t>开支培训费</w:t>
      </w:r>
      <w:r>
        <w:rPr>
          <w:rFonts w:hint="eastAsia" w:eastAsia="仿宋_GB2312"/>
          <w:sz w:val="32"/>
          <w:szCs w:val="32"/>
          <w:lang w:val="en-US" w:eastAsia="zh-CN"/>
        </w:rPr>
        <w:t>0.14</w:t>
      </w:r>
      <w:r>
        <w:rPr>
          <w:rFonts w:eastAsia="仿宋_GB2312"/>
          <w:kern w:val="0"/>
          <w:sz w:val="32"/>
          <w:szCs w:val="32"/>
        </w:rPr>
        <w:t>万元</w:t>
      </w:r>
      <w:r>
        <w:rPr>
          <w:rFonts w:hint="eastAsia" w:eastAsia="仿宋_GB2312"/>
          <w:kern w:val="0"/>
          <w:sz w:val="32"/>
          <w:szCs w:val="32"/>
          <w:lang w:eastAsia="zh-CN"/>
        </w:rPr>
        <w:t>，</w:t>
      </w:r>
      <w:r>
        <w:rPr>
          <w:rFonts w:eastAsia="仿宋_GB2312"/>
          <w:kern w:val="0"/>
          <w:sz w:val="32"/>
          <w:szCs w:val="32"/>
        </w:rPr>
        <w:t>人数</w:t>
      </w:r>
      <w:r>
        <w:rPr>
          <w:rFonts w:hint="eastAsia" w:eastAsia="仿宋_GB2312"/>
          <w:sz w:val="32"/>
          <w:szCs w:val="32"/>
          <w:u w:val="none"/>
          <w:lang w:val="en-US" w:eastAsia="zh-CN"/>
        </w:rPr>
        <w:t>6</w:t>
      </w:r>
      <w:r>
        <w:rPr>
          <w:rFonts w:eastAsia="仿宋_GB2312"/>
          <w:kern w:val="0"/>
          <w:sz w:val="32"/>
          <w:szCs w:val="32"/>
        </w:rPr>
        <w:t>人，</w:t>
      </w:r>
      <w:r>
        <w:rPr>
          <w:rFonts w:hint="eastAsia" w:eastAsia="仿宋_GB2312"/>
          <w:kern w:val="0"/>
          <w:sz w:val="32"/>
          <w:szCs w:val="32"/>
          <w:lang w:val="en-US" w:eastAsia="zh-CN"/>
        </w:rPr>
        <w:t>内容为用于退休干部在党校学习的培训费和事业单位工作人员公共知识培训费；未</w:t>
      </w:r>
      <w:r>
        <w:rPr>
          <w:rFonts w:eastAsia="仿宋_GB2312"/>
          <w:kern w:val="0"/>
          <w:sz w:val="32"/>
          <w:szCs w:val="32"/>
        </w:rPr>
        <w:t>举办节庆、晚会、论坛、赛事活动，开支</w:t>
      </w:r>
      <w:r>
        <w:rPr>
          <w:rFonts w:hint="eastAsia" w:eastAsia="仿宋_GB2312"/>
          <w:sz w:val="32"/>
          <w:szCs w:val="32"/>
          <w:u w:val="none"/>
          <w:lang w:val="en-US" w:eastAsia="zh-CN"/>
        </w:rPr>
        <w:t>0</w:t>
      </w:r>
      <w:r>
        <w:rPr>
          <w:rFonts w:eastAsia="仿宋_GB2312"/>
          <w:kern w:val="0"/>
          <w:sz w:val="32"/>
          <w:szCs w:val="32"/>
        </w:rPr>
        <w:t>万元</w:t>
      </w:r>
      <w:r>
        <w:rPr>
          <w:rFonts w:hint="eastAsia" w:eastAsia="仿宋_GB2312"/>
          <w:kern w:val="0"/>
          <w:sz w:val="32"/>
          <w:szCs w:val="32"/>
          <w:lang w:eastAsia="zh-CN"/>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lang w:eastAsia="zh-CN"/>
        </w:rPr>
        <w:t>2023</w:t>
      </w:r>
      <w:r>
        <w:rPr>
          <w:rFonts w:eastAsia="仿宋_GB2312"/>
          <w:kern w:val="0"/>
          <w:sz w:val="32"/>
          <w:szCs w:val="32"/>
        </w:rPr>
        <w:t>年度政府采购支出总额</w:t>
      </w:r>
      <w:r>
        <w:rPr>
          <w:rFonts w:hint="eastAsia" w:eastAsia="仿宋_GB2312"/>
          <w:sz w:val="32"/>
          <w:szCs w:val="32"/>
          <w:lang w:val="en-US" w:eastAsia="zh-CN"/>
        </w:rPr>
        <w:t>1.58</w:t>
      </w:r>
      <w:r>
        <w:rPr>
          <w:rFonts w:eastAsia="仿宋_GB2312"/>
          <w:kern w:val="0"/>
          <w:sz w:val="32"/>
          <w:szCs w:val="32"/>
        </w:rPr>
        <w:t>万元，其中：政府采购货物支出</w:t>
      </w:r>
      <w:r>
        <w:rPr>
          <w:rFonts w:hint="eastAsia" w:eastAsia="仿宋_GB2312"/>
          <w:sz w:val="32"/>
          <w:szCs w:val="32"/>
          <w:lang w:val="en-US" w:eastAsia="zh-CN"/>
        </w:rPr>
        <w:t>1.58</w:t>
      </w:r>
      <w:r>
        <w:rPr>
          <w:rFonts w:eastAsia="仿宋_GB2312"/>
          <w:kern w:val="0"/>
          <w:sz w:val="32"/>
          <w:szCs w:val="32"/>
        </w:rPr>
        <w:t>万元、政府采购工程支出</w:t>
      </w:r>
      <w:r>
        <w:rPr>
          <w:rFonts w:hint="eastAsia" w:eastAsia="仿宋_GB2312"/>
          <w:sz w:val="32"/>
          <w:szCs w:val="32"/>
        </w:rPr>
        <w:t>0</w:t>
      </w:r>
      <w:r>
        <w:rPr>
          <w:rFonts w:eastAsia="仿宋_GB2312"/>
          <w:kern w:val="0"/>
          <w:sz w:val="32"/>
          <w:szCs w:val="32"/>
        </w:rPr>
        <w:t>万元、政府采购服务支出</w:t>
      </w:r>
      <w:r>
        <w:rPr>
          <w:rFonts w:hint="eastAsia" w:eastAsia="仿宋_GB2312"/>
          <w:sz w:val="32"/>
          <w:szCs w:val="32"/>
        </w:rPr>
        <w:t>0</w:t>
      </w:r>
      <w:r>
        <w:rPr>
          <w:rFonts w:eastAsia="仿宋_GB2312"/>
          <w:kern w:val="0"/>
          <w:sz w:val="32"/>
          <w:szCs w:val="32"/>
        </w:rPr>
        <w:t>万元。授予中小企业合同金额</w:t>
      </w:r>
      <w:r>
        <w:rPr>
          <w:rFonts w:hint="eastAsia" w:eastAsia="仿宋_GB2312"/>
          <w:sz w:val="32"/>
          <w:szCs w:val="32"/>
        </w:rPr>
        <w:t>0</w:t>
      </w:r>
      <w:r>
        <w:rPr>
          <w:rFonts w:eastAsia="仿宋_GB2312"/>
          <w:kern w:val="0"/>
          <w:sz w:val="32"/>
          <w:szCs w:val="32"/>
        </w:rPr>
        <w:t>万元，占政府采购支出总额的</w:t>
      </w:r>
      <w:r>
        <w:rPr>
          <w:rFonts w:hint="eastAsia" w:eastAsia="仿宋_GB2312"/>
          <w:sz w:val="32"/>
          <w:szCs w:val="32"/>
        </w:rPr>
        <w:t>0</w:t>
      </w:r>
      <w:r>
        <w:rPr>
          <w:rFonts w:eastAsia="仿宋_GB2312"/>
          <w:kern w:val="0"/>
          <w:sz w:val="32"/>
          <w:szCs w:val="32"/>
        </w:rPr>
        <w:t>%，其中：授予小微企业合同金额</w:t>
      </w:r>
      <w:r>
        <w:rPr>
          <w:rFonts w:hint="eastAsia" w:eastAsia="仿宋_GB2312"/>
          <w:sz w:val="32"/>
          <w:szCs w:val="32"/>
        </w:rPr>
        <w:t>0</w:t>
      </w:r>
      <w:r>
        <w:rPr>
          <w:rFonts w:eastAsia="仿宋_GB2312"/>
          <w:kern w:val="0"/>
          <w:sz w:val="32"/>
          <w:szCs w:val="32"/>
        </w:rPr>
        <w:t>万元，占政府采购支出总额的</w:t>
      </w:r>
      <w:r>
        <w:rPr>
          <w:rFonts w:hint="eastAsia" w:eastAsia="仿宋_GB2312"/>
          <w:sz w:val="32"/>
          <w:szCs w:val="32"/>
        </w:rPr>
        <w:t>0</w:t>
      </w:r>
      <w:r>
        <w:rPr>
          <w:rFonts w:eastAsia="仿宋_GB2312"/>
          <w:kern w:val="0"/>
          <w:sz w:val="32"/>
          <w:szCs w:val="32"/>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pPr>
        <w:spacing w:line="600" w:lineRule="exact"/>
        <w:ind w:firstLine="640" w:firstLineChars="200"/>
        <w:rPr>
          <w:rFonts w:hint="eastAsia"/>
          <w:sz w:val="72"/>
          <w:szCs w:val="72"/>
        </w:rPr>
      </w:pPr>
      <w:r>
        <w:rPr>
          <w:rFonts w:eastAsia="仿宋_GB2312"/>
          <w:kern w:val="0"/>
          <w:sz w:val="32"/>
          <w:szCs w:val="32"/>
        </w:rPr>
        <w:t>截至</w:t>
      </w:r>
      <w:r>
        <w:rPr>
          <w:rFonts w:hint="eastAsia" w:eastAsia="仿宋_GB2312"/>
          <w:kern w:val="0"/>
          <w:sz w:val="32"/>
          <w:szCs w:val="32"/>
          <w:lang w:eastAsia="zh-CN"/>
        </w:rPr>
        <w:t>2023</w:t>
      </w:r>
      <w:r>
        <w:rPr>
          <w:rFonts w:eastAsia="仿宋_GB2312"/>
          <w:kern w:val="0"/>
          <w:sz w:val="32"/>
          <w:szCs w:val="32"/>
        </w:rPr>
        <w:t>年12月31日，本单位共有车辆</w:t>
      </w:r>
      <w:r>
        <w:rPr>
          <w:rFonts w:hint="eastAsia" w:eastAsia="仿宋_GB2312"/>
          <w:sz w:val="32"/>
          <w:szCs w:val="32"/>
        </w:rPr>
        <w:t>0</w:t>
      </w:r>
      <w:r>
        <w:rPr>
          <w:rFonts w:eastAsia="仿宋_GB2312"/>
          <w:kern w:val="0"/>
          <w:sz w:val="32"/>
          <w:szCs w:val="32"/>
        </w:rPr>
        <w:t>辆，其中，领导干部用车</w:t>
      </w:r>
      <w:r>
        <w:rPr>
          <w:rFonts w:hint="eastAsia" w:eastAsia="仿宋_GB2312"/>
          <w:sz w:val="32"/>
          <w:szCs w:val="32"/>
        </w:rPr>
        <w:t>0</w:t>
      </w:r>
      <w:r>
        <w:rPr>
          <w:rFonts w:eastAsia="仿宋_GB2312"/>
          <w:kern w:val="0"/>
          <w:sz w:val="32"/>
          <w:szCs w:val="32"/>
        </w:rPr>
        <w:t>辆、机要通信用车</w:t>
      </w:r>
      <w:r>
        <w:rPr>
          <w:rFonts w:hint="eastAsia" w:eastAsia="仿宋_GB2312"/>
          <w:sz w:val="32"/>
          <w:szCs w:val="32"/>
        </w:rPr>
        <w:t>0</w:t>
      </w:r>
      <w:r>
        <w:rPr>
          <w:rFonts w:eastAsia="仿宋_GB2312"/>
          <w:kern w:val="0"/>
          <w:sz w:val="32"/>
          <w:szCs w:val="32"/>
        </w:rPr>
        <w:t>辆、应急保障用车</w:t>
      </w:r>
      <w:r>
        <w:rPr>
          <w:rFonts w:hint="eastAsia" w:eastAsia="仿宋_GB2312"/>
          <w:sz w:val="32"/>
          <w:szCs w:val="32"/>
        </w:rPr>
        <w:t>0</w:t>
      </w:r>
      <w:r>
        <w:rPr>
          <w:rFonts w:eastAsia="仿宋_GB2312"/>
          <w:kern w:val="0"/>
          <w:sz w:val="32"/>
          <w:szCs w:val="32"/>
        </w:rPr>
        <w:t>辆、执法执勤用车</w:t>
      </w:r>
      <w:r>
        <w:rPr>
          <w:rFonts w:hint="eastAsia" w:eastAsia="仿宋_GB2312"/>
          <w:sz w:val="32"/>
          <w:szCs w:val="32"/>
        </w:rPr>
        <w:t>0</w:t>
      </w:r>
      <w:r>
        <w:rPr>
          <w:rFonts w:eastAsia="仿宋_GB2312"/>
          <w:kern w:val="0"/>
          <w:sz w:val="32"/>
          <w:szCs w:val="32"/>
        </w:rPr>
        <w:t>辆、特种专业技术用车</w:t>
      </w:r>
      <w:r>
        <w:rPr>
          <w:rFonts w:hint="eastAsia" w:eastAsia="仿宋_GB2312"/>
          <w:sz w:val="32"/>
          <w:szCs w:val="32"/>
        </w:rPr>
        <w:t>0</w:t>
      </w:r>
      <w:r>
        <w:rPr>
          <w:rFonts w:eastAsia="仿宋_GB2312"/>
          <w:kern w:val="0"/>
          <w:sz w:val="32"/>
          <w:szCs w:val="32"/>
        </w:rPr>
        <w:t>辆、其他用车</w:t>
      </w:r>
      <w:r>
        <w:rPr>
          <w:rFonts w:hint="eastAsia" w:eastAsia="仿宋_GB2312"/>
          <w:sz w:val="32"/>
          <w:szCs w:val="32"/>
        </w:rPr>
        <w:t>0</w:t>
      </w:r>
      <w:r>
        <w:rPr>
          <w:rFonts w:eastAsia="仿宋_GB2312"/>
          <w:kern w:val="0"/>
          <w:sz w:val="32"/>
          <w:szCs w:val="32"/>
        </w:rPr>
        <w:t>辆</w:t>
      </w:r>
      <w:r>
        <w:rPr>
          <w:rFonts w:hint="eastAsia" w:eastAsia="仿宋_GB2312"/>
          <w:kern w:val="0"/>
          <w:sz w:val="32"/>
          <w:szCs w:val="32"/>
        </w:rPr>
        <w:t>；</w:t>
      </w:r>
      <w:r>
        <w:rPr>
          <w:rFonts w:eastAsia="仿宋_GB2312"/>
          <w:kern w:val="0"/>
          <w:sz w:val="32"/>
          <w:szCs w:val="32"/>
        </w:rPr>
        <w:t>单位价值50万元以上通用设备</w:t>
      </w:r>
      <w:r>
        <w:rPr>
          <w:rFonts w:hint="eastAsia" w:eastAsia="仿宋_GB2312"/>
          <w:sz w:val="32"/>
          <w:szCs w:val="32"/>
        </w:rPr>
        <w:t>0</w:t>
      </w:r>
      <w:r>
        <w:rPr>
          <w:rFonts w:eastAsia="仿宋_GB2312"/>
          <w:kern w:val="0"/>
          <w:sz w:val="32"/>
          <w:szCs w:val="32"/>
        </w:rPr>
        <w:t>台（套）；单位价值100万元以上专用设备</w:t>
      </w:r>
      <w:r>
        <w:rPr>
          <w:rFonts w:hint="eastAsia" w:eastAsia="仿宋_GB2312"/>
          <w:sz w:val="32"/>
          <w:szCs w:val="32"/>
        </w:rPr>
        <w:t>0</w:t>
      </w:r>
      <w:r>
        <w:rPr>
          <w:rFonts w:eastAsia="仿宋_GB2312"/>
          <w:kern w:val="0"/>
          <w:sz w:val="32"/>
          <w:szCs w:val="32"/>
        </w:rPr>
        <w:t>台（套）。</w:t>
      </w:r>
    </w:p>
    <w:p>
      <w:pPr>
        <w:widowControl/>
        <w:spacing w:line="600" w:lineRule="exact"/>
        <w:jc w:val="center"/>
        <w:outlineLvl w:val="0"/>
        <w:rPr>
          <w:rFonts w:hint="eastAsia" w:ascii="黑体" w:hAnsi="黑体" w:eastAsia="黑体" w:cs="黑体"/>
          <w:b/>
          <w:kern w:val="0"/>
          <w:sz w:val="44"/>
          <w:szCs w:val="44"/>
        </w:rPr>
      </w:pPr>
    </w:p>
    <w:p>
      <w:pPr>
        <w:widowControl/>
        <w:spacing w:line="600" w:lineRule="exact"/>
        <w:jc w:val="center"/>
        <w:outlineLvl w:val="0"/>
        <w:rPr>
          <w:rFonts w:hint="eastAsia" w:ascii="黑体" w:hAnsi="黑体" w:eastAsia="黑体" w:cs="黑体"/>
          <w:b/>
          <w:kern w:val="0"/>
          <w:sz w:val="44"/>
          <w:szCs w:val="44"/>
        </w:r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第四部分 名词解释</w:t>
      </w:r>
    </w:p>
    <w:p>
      <w:pPr>
        <w:widowControl/>
        <w:jc w:val="left"/>
        <w:rPr>
          <w:rFonts w:hint="eastAsia" w:ascii="宋体" w:hAnsi="宋体" w:cs="黑体"/>
          <w:color w:val="000000"/>
          <w:kern w:val="0"/>
          <w:sz w:val="32"/>
          <w:szCs w:val="32"/>
        </w:rPr>
      </w:pP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pStyle w:val="12"/>
        <w:ind w:firstLine="640"/>
        <w:rPr>
          <w:rFonts w:hint="eastAsia" w:ascii="仿宋_GB2312" w:hAnsi="仿宋_GB2312" w:eastAsia="仿宋_GB2312" w:cs="仿宋_GB2312"/>
          <w:color w:val="000000"/>
          <w:sz w:val="32"/>
          <w:szCs w:val="32"/>
          <w:shd w:val="clear" w:color="auto" w:fill="FFFFFF"/>
        </w:rPr>
      </w:pPr>
    </w:p>
    <w:p>
      <w:pPr>
        <w:widowControl/>
        <w:jc w:val="left"/>
        <w:rPr>
          <w:rFonts w:ascii="宋体" w:hAnsi="宋体" w:cs="黑体"/>
          <w:color w:val="000000"/>
          <w:kern w:val="0"/>
          <w:sz w:val="32"/>
          <w:szCs w:val="32"/>
        </w:rPr>
      </w:pPr>
    </w:p>
    <w:p>
      <w:pPr>
        <w:widowControl/>
        <w:spacing w:line="600" w:lineRule="exact"/>
        <w:jc w:val="both"/>
        <w:outlineLvl w:val="0"/>
        <w:rPr>
          <w:rFonts w:hint="eastAsia" w:ascii="黑体" w:hAnsi="黑体" w:eastAsia="黑体" w:cs="黑体"/>
          <w:b/>
          <w:kern w:val="0"/>
          <w:sz w:val="44"/>
          <w:szCs w:val="44"/>
        </w:rPr>
      </w:pPr>
    </w:p>
    <w:p>
      <w:pPr>
        <w:widowControl/>
        <w:spacing w:line="600" w:lineRule="exact"/>
        <w:jc w:val="center"/>
        <w:outlineLvl w:val="0"/>
        <w:rPr>
          <w:rFonts w:hint="eastAsia" w:ascii="黑体" w:hAnsi="黑体" w:eastAsia="黑体" w:cs="黑体"/>
          <w:b/>
          <w:kern w:val="0"/>
          <w:sz w:val="44"/>
          <w:szCs w:val="44"/>
        </w:rPr>
      </w:pPr>
    </w:p>
    <w:p>
      <w:pPr>
        <w:widowControl/>
        <w:spacing w:line="600" w:lineRule="exact"/>
        <w:jc w:val="center"/>
        <w:outlineLvl w:val="0"/>
        <w:rPr>
          <w:rFonts w:hint="eastAsia" w:ascii="黑体" w:hAnsi="黑体" w:eastAsia="黑体" w:cs="黑体"/>
          <w:b/>
          <w:kern w:val="0"/>
          <w:sz w:val="44"/>
          <w:szCs w:val="44"/>
        </w:rPr>
      </w:pPr>
      <w:r>
        <w:rPr>
          <w:rFonts w:hint="eastAsia" w:ascii="黑体" w:hAnsi="黑体" w:eastAsia="黑体" w:cs="黑体"/>
          <w:b/>
          <w:kern w:val="0"/>
          <w:sz w:val="44"/>
          <w:szCs w:val="44"/>
        </w:rPr>
        <w:t>第五部分 附件</w:t>
      </w:r>
    </w:p>
    <w:p>
      <w:pPr>
        <w:jc w:val="center"/>
        <w:rPr>
          <w:rFonts w:hint="eastAsia" w:ascii="黑体" w:eastAsia="黑体" w:cs="黑体"/>
          <w:color w:val="000000"/>
          <w:kern w:val="0"/>
          <w:sz w:val="70"/>
          <w:szCs w:val="70"/>
        </w:rPr>
      </w:pPr>
    </w:p>
    <w:p>
      <w:pPr>
        <w:keepNext w:val="0"/>
        <w:keepLines w:val="0"/>
        <w:pageBreakBefore w:val="0"/>
        <w:widowControl w:val="0"/>
        <w:shd w:val="clear" w:color="auto" w:fill="auto"/>
        <w:kinsoku/>
        <w:wordWrap/>
        <w:overflowPunct/>
        <w:topLinePunct w:val="0"/>
        <w:autoSpaceDE/>
        <w:autoSpaceDN/>
        <w:bidi w:val="0"/>
        <w:snapToGrid w:val="0"/>
        <w:spacing w:beforeAutospacing="0" w:after="0" w:afterAutospacing="0" w:line="560" w:lineRule="exact"/>
        <w:jc w:val="center"/>
        <w:textAlignment w:val="auto"/>
        <w:outlineLvl w:val="0"/>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蓝山县</w:t>
      </w:r>
      <w:r>
        <w:rPr>
          <w:rFonts w:hint="eastAsia" w:ascii="宋体" w:hAnsi="宋体" w:eastAsia="宋体" w:cs="宋体"/>
          <w:b/>
          <w:bCs w:val="0"/>
          <w:sz w:val="44"/>
          <w:szCs w:val="44"/>
          <w:lang w:eastAsia="zh-CN"/>
        </w:rPr>
        <w:t>2023</w:t>
      </w:r>
      <w:r>
        <w:rPr>
          <w:rFonts w:hint="eastAsia" w:ascii="宋体" w:hAnsi="宋体" w:eastAsia="宋体" w:cs="宋体"/>
          <w:b/>
          <w:bCs w:val="0"/>
          <w:sz w:val="44"/>
          <w:szCs w:val="44"/>
        </w:rPr>
        <w:t>年度</w:t>
      </w:r>
      <w:r>
        <w:rPr>
          <w:rFonts w:hint="eastAsia" w:ascii="宋体" w:hAnsi="宋体" w:eastAsia="宋体" w:cs="宋体"/>
          <w:b/>
          <w:bCs w:val="0"/>
          <w:sz w:val="44"/>
          <w:szCs w:val="44"/>
          <w:lang w:val="en-US" w:eastAsia="zh-CN"/>
        </w:rPr>
        <w:t>县委编办</w:t>
      </w:r>
      <w:r>
        <w:rPr>
          <w:rFonts w:hint="eastAsia" w:ascii="宋体" w:hAnsi="宋体" w:eastAsia="宋体" w:cs="宋体"/>
          <w:b/>
          <w:bCs w:val="0"/>
          <w:sz w:val="44"/>
          <w:szCs w:val="44"/>
        </w:rPr>
        <w:t>整体绩效评价</w:t>
      </w:r>
    </w:p>
    <w:p>
      <w:pPr>
        <w:keepNext w:val="0"/>
        <w:keepLines w:val="0"/>
        <w:pageBreakBefore w:val="0"/>
        <w:widowControl w:val="0"/>
        <w:shd w:val="clear" w:color="auto" w:fill="auto"/>
        <w:kinsoku/>
        <w:wordWrap/>
        <w:overflowPunct/>
        <w:topLinePunct w:val="0"/>
        <w:autoSpaceDE/>
        <w:autoSpaceDN/>
        <w:bidi w:val="0"/>
        <w:snapToGrid w:val="0"/>
        <w:spacing w:beforeAutospacing="0" w:after="0" w:afterAutospacing="0" w:line="560" w:lineRule="exact"/>
        <w:jc w:val="center"/>
        <w:textAlignment w:val="auto"/>
        <w:outlineLvl w:val="0"/>
        <w:rPr>
          <w:rFonts w:hint="eastAsia" w:ascii="宋体" w:hAnsi="宋体" w:eastAsia="宋体" w:cs="宋体"/>
          <w:b/>
          <w:bCs w:val="0"/>
          <w:sz w:val="44"/>
          <w:szCs w:val="44"/>
        </w:rPr>
      </w:pPr>
      <w:r>
        <w:rPr>
          <w:rFonts w:hint="eastAsia" w:ascii="宋体" w:hAnsi="宋体" w:eastAsia="宋体" w:cs="宋体"/>
          <w:b/>
          <w:bCs w:val="0"/>
          <w:sz w:val="44"/>
          <w:szCs w:val="44"/>
        </w:rPr>
        <w:t>报</w:t>
      </w:r>
      <w:r>
        <w:rPr>
          <w:rFonts w:hint="eastAsia" w:ascii="宋体" w:hAnsi="宋体" w:eastAsia="宋体" w:cs="宋体"/>
          <w:b/>
          <w:bCs w:val="0"/>
          <w:sz w:val="44"/>
          <w:szCs w:val="44"/>
          <w:lang w:val="en-US" w:eastAsia="zh-CN"/>
        </w:rPr>
        <w:t xml:space="preserve">  </w:t>
      </w:r>
      <w:r>
        <w:rPr>
          <w:rFonts w:hint="eastAsia" w:ascii="宋体" w:hAnsi="宋体" w:eastAsia="宋体" w:cs="宋体"/>
          <w:b/>
          <w:bCs w:val="0"/>
          <w:sz w:val="44"/>
          <w:szCs w:val="44"/>
        </w:rPr>
        <w:t>告</w:t>
      </w:r>
    </w:p>
    <w:p>
      <w:pPr>
        <w:keepNext w:val="0"/>
        <w:keepLines w:val="0"/>
        <w:pageBreakBefore w:val="0"/>
        <w:widowControl w:val="0"/>
        <w:shd w:val="clear" w:color="auto" w:fill="auto"/>
        <w:kinsoku/>
        <w:wordWrap/>
        <w:overflowPunct/>
        <w:topLinePunct w:val="0"/>
        <w:autoSpaceDE/>
        <w:autoSpaceDN/>
        <w:bidi w:val="0"/>
        <w:snapToGrid w:val="0"/>
        <w:spacing w:beforeAutospacing="0" w:after="0" w:afterAutospacing="0" w:line="560" w:lineRule="exact"/>
        <w:jc w:val="both"/>
        <w:textAlignment w:val="auto"/>
        <w:rPr>
          <w:rFonts w:hint="eastAsia" w:ascii="仿宋" w:hAnsi="仿宋" w:eastAsia="仿宋" w:cs="仿宋"/>
          <w:b w:val="0"/>
          <w:bCs/>
          <w:sz w:val="32"/>
          <w:szCs w:val="32"/>
        </w:rPr>
      </w:pPr>
    </w:p>
    <w:p>
      <w:pPr>
        <w:widowControl w:val="0"/>
        <w:spacing w:after="0" w:line="560" w:lineRule="exact"/>
        <w:ind w:firstLine="640" w:firstLineChars="200"/>
        <w:jc w:val="both"/>
        <w:rPr>
          <w:rFonts w:ascii="仿宋" w:hAnsi="仿宋" w:eastAsia="仿宋" w:cs="仿宋"/>
          <w:bCs/>
          <w:sz w:val="32"/>
          <w:szCs w:val="32"/>
        </w:rPr>
      </w:pPr>
      <w:r>
        <w:rPr>
          <w:rFonts w:hint="eastAsia" w:ascii="仿宋_GB2312" w:hAnsi="仿宋_GB2312" w:eastAsia="仿宋_GB2312" w:cs="仿宋_GB2312"/>
          <w:sz w:val="32"/>
          <w:szCs w:val="32"/>
        </w:rPr>
        <w:t>根据《中共中央国务院关于全面实施预算绩效管理的意见》（中发</w:t>
      </w:r>
      <w:r>
        <w:rPr>
          <w:rFonts w:ascii="仿宋_GB2312" w:hAnsi="仿宋_GB2312" w:eastAsia="仿宋_GB2312" w:cs="仿宋_GB2312"/>
          <w:sz w:val="32"/>
          <w:szCs w:val="32"/>
        </w:rPr>
        <w:t>[2018]34</w:t>
      </w:r>
      <w:r>
        <w:rPr>
          <w:rFonts w:hint="eastAsia" w:ascii="仿宋_GB2312" w:hAnsi="仿宋_GB2312" w:eastAsia="仿宋_GB2312" w:cs="仿宋_GB2312"/>
          <w:sz w:val="32"/>
          <w:szCs w:val="32"/>
        </w:rPr>
        <w:t>号）和</w:t>
      </w:r>
      <w:r>
        <w:rPr>
          <w:rFonts w:hint="eastAsia" w:ascii="仿宋_GB2312" w:hAnsi="仿宋_GB2312" w:eastAsia="仿宋_GB2312" w:cs="仿宋_GB2312"/>
          <w:bCs/>
          <w:sz w:val="32"/>
          <w:szCs w:val="32"/>
        </w:rPr>
        <w:t>中共湖南省委办公厅湖南省人民政府办公厅《关于全面实施预算绩效管理的实施意见》（湘办发</w:t>
      </w:r>
      <w:r>
        <w:rPr>
          <w:rFonts w:ascii="仿宋_GB2312" w:hAnsi="仿宋_GB2312" w:eastAsia="仿宋_GB2312" w:cs="仿宋_GB2312"/>
          <w:bCs/>
          <w:sz w:val="32"/>
          <w:szCs w:val="32"/>
        </w:rPr>
        <w:t>[2019]10</w:t>
      </w:r>
      <w:r>
        <w:rPr>
          <w:rFonts w:hint="eastAsia" w:ascii="仿宋_GB2312" w:hAnsi="仿宋_GB2312" w:eastAsia="仿宋_GB2312" w:cs="仿宋_GB2312"/>
          <w:bCs/>
          <w:sz w:val="32"/>
          <w:szCs w:val="32"/>
        </w:rPr>
        <w:t>号）及</w:t>
      </w:r>
      <w:r>
        <w:rPr>
          <w:rFonts w:hint="eastAsia" w:ascii="仿宋_GB2312" w:hAnsi="仿宋_GB2312" w:eastAsia="仿宋_GB2312" w:cs="仿宋_GB2312"/>
          <w:sz w:val="32"/>
          <w:szCs w:val="32"/>
        </w:rPr>
        <w:t>《湖南省预算支出绩效评价管理办法》（湘财绩</w:t>
      </w:r>
      <w:r>
        <w:rPr>
          <w:rFonts w:ascii="仿宋_GB2312" w:hAnsi="仿宋_GB2312" w:eastAsia="仿宋_GB2312" w:cs="仿宋_GB2312"/>
          <w:sz w:val="32"/>
          <w:szCs w:val="32"/>
        </w:rPr>
        <w:t>[2020]7</w:t>
      </w:r>
      <w:r>
        <w:rPr>
          <w:rFonts w:hint="eastAsia" w:ascii="仿宋_GB2312" w:hAnsi="仿宋_GB2312" w:eastAsia="仿宋_GB2312" w:cs="仿宋_GB2312"/>
          <w:sz w:val="32"/>
          <w:szCs w:val="32"/>
        </w:rPr>
        <w:t>号文件精神）和</w:t>
      </w:r>
      <w:r>
        <w:rPr>
          <w:rFonts w:hint="eastAsia" w:ascii="仿宋" w:hAnsi="仿宋" w:eastAsia="仿宋" w:cs="仿宋"/>
          <w:bCs/>
          <w:sz w:val="32"/>
          <w:szCs w:val="32"/>
        </w:rPr>
        <w:t>《蓝山县财政局关于开展</w:t>
      </w:r>
      <w:r>
        <w:rPr>
          <w:rFonts w:ascii="仿宋" w:hAnsi="仿宋" w:eastAsia="仿宋" w:cs="仿宋"/>
          <w:bCs/>
          <w:sz w:val="32"/>
          <w:szCs w:val="32"/>
        </w:rPr>
        <w:t>2023</w:t>
      </w:r>
      <w:r>
        <w:rPr>
          <w:rFonts w:hint="eastAsia" w:ascii="仿宋" w:hAnsi="仿宋" w:eastAsia="仿宋" w:cs="仿宋"/>
          <w:bCs/>
          <w:sz w:val="32"/>
          <w:szCs w:val="32"/>
        </w:rPr>
        <w:t>年度财政支出绩效自评工作的通知》的要求，我单位领导高度重视，认真组织，对</w:t>
      </w:r>
      <w:r>
        <w:rPr>
          <w:rFonts w:ascii="仿宋" w:hAnsi="仿宋" w:eastAsia="仿宋" w:cs="仿宋"/>
          <w:bCs/>
          <w:sz w:val="32"/>
          <w:szCs w:val="32"/>
        </w:rPr>
        <w:t>2023</w:t>
      </w:r>
      <w:r>
        <w:rPr>
          <w:rFonts w:hint="eastAsia" w:ascii="仿宋" w:hAnsi="仿宋" w:eastAsia="仿宋" w:cs="仿宋"/>
          <w:bCs/>
          <w:sz w:val="32"/>
          <w:szCs w:val="32"/>
        </w:rPr>
        <w:t>年部门整体支出进行了绩效自评，现将我单位部门整体支出绩效自评情况报告如下：</w:t>
      </w:r>
    </w:p>
    <w:p>
      <w:pPr>
        <w:widowControl w:val="0"/>
        <w:spacing w:after="0" w:line="560" w:lineRule="exact"/>
        <w:ind w:firstLine="640" w:firstLineChars="200"/>
        <w:jc w:val="both"/>
        <w:rPr>
          <w:rFonts w:ascii="黑体" w:hAnsi="黑体" w:eastAsia="黑体"/>
          <w:bCs/>
          <w:sz w:val="32"/>
          <w:szCs w:val="32"/>
        </w:rPr>
      </w:pPr>
      <w:r>
        <w:rPr>
          <w:rFonts w:hint="eastAsia" w:ascii="黑体" w:hAnsi="黑体" w:eastAsia="黑体"/>
          <w:bCs/>
          <w:sz w:val="32"/>
          <w:szCs w:val="32"/>
        </w:rPr>
        <w:t>一、部门概况</w:t>
      </w:r>
    </w:p>
    <w:p>
      <w:pPr>
        <w:widowControl w:val="0"/>
        <w:spacing w:after="0" w:line="560" w:lineRule="exact"/>
        <w:ind w:firstLine="643" w:firstLineChars="200"/>
        <w:jc w:val="both"/>
        <w:rPr>
          <w:rFonts w:ascii="楷体" w:hAnsi="楷体" w:eastAsia="楷体" w:cs="楷体"/>
          <w:b/>
          <w:sz w:val="32"/>
          <w:szCs w:val="32"/>
        </w:rPr>
      </w:pPr>
      <w:r>
        <w:rPr>
          <w:rFonts w:ascii="楷体" w:hAnsi="楷体" w:eastAsia="楷体" w:cs="楷体"/>
          <w:b/>
          <w:sz w:val="32"/>
          <w:szCs w:val="32"/>
        </w:rPr>
        <w:t>(</w:t>
      </w:r>
      <w:r>
        <w:rPr>
          <w:rFonts w:hint="eastAsia" w:ascii="楷体" w:hAnsi="楷体" w:eastAsia="楷体" w:cs="楷体"/>
          <w:b/>
          <w:sz w:val="32"/>
          <w:szCs w:val="32"/>
        </w:rPr>
        <w:t>一）部门基本情况</w:t>
      </w:r>
    </w:p>
    <w:p>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中共蓝山县委机构编制委员会办公室，正科级，是县委机构编制委员会的常设办事机构，为县委机构。内设综合室（信访室）、行政机构编制股、事业机构编制股、实名制与信息管理股（监督检查股）、事业单位登记管理股（机关群团统一社会信用代码管理股），下设副科级事业单位蓝山县机构编制事务中心。主要职责为贯彻执行中央和省市有关行政管理体制和机构改革以及机构编制管理的法律法规和政策；起草机构编制管理的规范性文件；统一管理全县各级党政机关和事业单位的机构编制工作；全县事业单位的登记、管理；统一社会信用代码的赋码工作；实名制数据库管理；网上域名注册管理。</w:t>
      </w:r>
    </w:p>
    <w:p>
      <w:pPr>
        <w:widowControl w:val="0"/>
        <w:spacing w:after="0" w:line="560" w:lineRule="exact"/>
        <w:ind w:firstLine="643" w:firstLineChars="200"/>
        <w:jc w:val="both"/>
        <w:rPr>
          <w:rFonts w:ascii="楷体" w:hAnsi="楷体" w:eastAsia="楷体" w:cs="楷体"/>
          <w:b/>
          <w:sz w:val="32"/>
          <w:szCs w:val="32"/>
        </w:rPr>
      </w:pPr>
      <w:r>
        <w:rPr>
          <w:rFonts w:hint="eastAsia" w:ascii="楷体" w:hAnsi="楷体" w:eastAsia="楷体" w:cs="楷体"/>
          <w:b/>
          <w:sz w:val="32"/>
          <w:szCs w:val="32"/>
        </w:rPr>
        <w:t>（二）人员情况</w:t>
      </w:r>
    </w:p>
    <w:p>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核定人员编制</w:t>
      </w:r>
      <w:r>
        <w:rPr>
          <w:rFonts w:ascii="仿宋" w:hAnsi="仿宋" w:eastAsia="仿宋" w:cs="仿宋"/>
          <w:bCs/>
          <w:sz w:val="32"/>
          <w:szCs w:val="32"/>
        </w:rPr>
        <w:t>17</w:t>
      </w:r>
      <w:r>
        <w:rPr>
          <w:rFonts w:hint="eastAsia" w:ascii="仿宋" w:hAnsi="仿宋" w:eastAsia="仿宋" w:cs="仿宋"/>
          <w:bCs/>
          <w:sz w:val="32"/>
          <w:szCs w:val="32"/>
        </w:rPr>
        <w:t>名，实有在职在编人数</w:t>
      </w:r>
      <w:r>
        <w:rPr>
          <w:rFonts w:ascii="仿宋" w:hAnsi="仿宋" w:eastAsia="仿宋" w:cs="仿宋"/>
          <w:bCs/>
          <w:sz w:val="32"/>
          <w:szCs w:val="32"/>
        </w:rPr>
        <w:t>16</w:t>
      </w:r>
      <w:r>
        <w:rPr>
          <w:rFonts w:hint="eastAsia" w:ascii="仿宋" w:hAnsi="仿宋" w:eastAsia="仿宋" w:cs="仿宋"/>
          <w:bCs/>
          <w:sz w:val="32"/>
          <w:szCs w:val="32"/>
        </w:rPr>
        <w:t>人，退休人员</w:t>
      </w:r>
      <w:r>
        <w:rPr>
          <w:rFonts w:ascii="仿宋" w:hAnsi="仿宋" w:eastAsia="仿宋" w:cs="仿宋"/>
          <w:bCs/>
          <w:sz w:val="32"/>
          <w:szCs w:val="32"/>
        </w:rPr>
        <w:t>6</w:t>
      </w:r>
      <w:r>
        <w:rPr>
          <w:rFonts w:hint="eastAsia" w:ascii="仿宋" w:hAnsi="仿宋" w:eastAsia="仿宋" w:cs="仿宋"/>
          <w:bCs/>
          <w:sz w:val="32"/>
          <w:szCs w:val="32"/>
        </w:rPr>
        <w:t>人，公车改革后，现有车辆编制</w:t>
      </w:r>
      <w:r>
        <w:rPr>
          <w:rFonts w:ascii="仿宋" w:hAnsi="仿宋" w:eastAsia="仿宋" w:cs="仿宋"/>
          <w:bCs/>
          <w:sz w:val="32"/>
          <w:szCs w:val="32"/>
        </w:rPr>
        <w:t>0</w:t>
      </w:r>
      <w:r>
        <w:rPr>
          <w:rFonts w:hint="eastAsia" w:ascii="仿宋" w:hAnsi="仿宋" w:eastAsia="仿宋" w:cs="仿宋"/>
          <w:bCs/>
          <w:sz w:val="32"/>
          <w:szCs w:val="32"/>
        </w:rPr>
        <w:t>台。</w:t>
      </w:r>
    </w:p>
    <w:p>
      <w:pPr>
        <w:widowControl w:val="0"/>
        <w:spacing w:after="0" w:line="560" w:lineRule="exact"/>
        <w:ind w:firstLine="640" w:firstLineChars="200"/>
        <w:jc w:val="both"/>
        <w:rPr>
          <w:rFonts w:ascii="黑体" w:hAnsi="黑体" w:eastAsia="黑体"/>
          <w:bCs/>
          <w:sz w:val="32"/>
          <w:szCs w:val="32"/>
        </w:rPr>
      </w:pPr>
      <w:r>
        <w:rPr>
          <w:rFonts w:hint="eastAsia" w:ascii="黑体" w:hAnsi="黑体" w:eastAsia="黑体"/>
          <w:bCs/>
          <w:sz w:val="32"/>
          <w:szCs w:val="32"/>
        </w:rPr>
        <w:t>二、部门整体收支结余情况</w:t>
      </w:r>
    </w:p>
    <w:p>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我单位</w:t>
      </w:r>
      <w:r>
        <w:rPr>
          <w:rFonts w:ascii="仿宋" w:hAnsi="仿宋" w:eastAsia="仿宋" w:cs="仿宋"/>
          <w:bCs/>
          <w:sz w:val="32"/>
          <w:szCs w:val="32"/>
        </w:rPr>
        <w:t>2023</w:t>
      </w:r>
      <w:r>
        <w:rPr>
          <w:rFonts w:hint="eastAsia" w:ascii="仿宋" w:hAnsi="仿宋" w:eastAsia="仿宋" w:cs="仿宋"/>
          <w:bCs/>
          <w:sz w:val="32"/>
          <w:szCs w:val="32"/>
        </w:rPr>
        <w:t>年收到财政资金</w:t>
      </w:r>
      <w:r>
        <w:rPr>
          <w:rFonts w:ascii="仿宋" w:hAnsi="仿宋" w:eastAsia="仿宋" w:cs="仿宋"/>
          <w:bCs/>
          <w:sz w:val="32"/>
          <w:szCs w:val="32"/>
        </w:rPr>
        <w:t>205.83</w:t>
      </w:r>
      <w:r>
        <w:rPr>
          <w:rFonts w:hint="eastAsia" w:ascii="仿宋" w:hAnsi="仿宋" w:eastAsia="仿宋" w:cs="仿宋"/>
          <w:bCs/>
          <w:sz w:val="32"/>
          <w:szCs w:val="32"/>
        </w:rPr>
        <w:t>万元，年初结转结余</w:t>
      </w:r>
      <w:r>
        <w:rPr>
          <w:rFonts w:ascii="仿宋" w:hAnsi="仿宋" w:eastAsia="仿宋" w:cs="仿宋"/>
          <w:bCs/>
          <w:sz w:val="32"/>
          <w:szCs w:val="32"/>
        </w:rPr>
        <w:t>1</w:t>
      </w:r>
      <w:r>
        <w:rPr>
          <w:rFonts w:hint="eastAsia" w:ascii="仿宋" w:hAnsi="仿宋" w:eastAsia="仿宋" w:cs="仿宋"/>
          <w:bCs/>
          <w:sz w:val="32"/>
          <w:szCs w:val="32"/>
        </w:rPr>
        <w:t>万元，合计</w:t>
      </w:r>
      <w:r>
        <w:rPr>
          <w:rFonts w:ascii="仿宋" w:hAnsi="仿宋" w:eastAsia="仿宋" w:cs="仿宋"/>
          <w:bCs/>
          <w:sz w:val="32"/>
          <w:szCs w:val="32"/>
        </w:rPr>
        <w:t>215.83</w:t>
      </w:r>
      <w:r>
        <w:rPr>
          <w:rFonts w:hint="eastAsia" w:ascii="仿宋" w:hAnsi="仿宋" w:eastAsia="仿宋" w:cs="仿宋"/>
          <w:bCs/>
          <w:sz w:val="32"/>
          <w:szCs w:val="32"/>
        </w:rPr>
        <w:t>万元。其中基本支出</w:t>
      </w:r>
      <w:r>
        <w:rPr>
          <w:rFonts w:ascii="仿宋" w:hAnsi="仿宋" w:eastAsia="仿宋" w:cs="仿宋"/>
          <w:bCs/>
          <w:sz w:val="32"/>
          <w:szCs w:val="32"/>
        </w:rPr>
        <w:t>189.22</w:t>
      </w:r>
      <w:r>
        <w:rPr>
          <w:rFonts w:hint="eastAsia" w:ascii="仿宋" w:hAnsi="仿宋" w:eastAsia="仿宋" w:cs="仿宋"/>
          <w:bCs/>
          <w:sz w:val="32"/>
          <w:szCs w:val="32"/>
        </w:rPr>
        <w:t>万元，项目支出</w:t>
      </w:r>
      <w:r>
        <w:rPr>
          <w:rFonts w:ascii="仿宋" w:hAnsi="仿宋" w:eastAsia="仿宋" w:cs="仿宋"/>
          <w:bCs/>
          <w:sz w:val="32"/>
          <w:szCs w:val="32"/>
        </w:rPr>
        <w:t>16.61</w:t>
      </w:r>
      <w:r>
        <w:rPr>
          <w:rFonts w:hint="eastAsia" w:ascii="仿宋" w:hAnsi="仿宋" w:eastAsia="仿宋" w:cs="仿宋"/>
          <w:bCs/>
          <w:sz w:val="32"/>
          <w:szCs w:val="32"/>
        </w:rPr>
        <w:t>万元；</w:t>
      </w:r>
      <w:r>
        <w:rPr>
          <w:rFonts w:ascii="仿宋" w:hAnsi="仿宋" w:eastAsia="仿宋" w:cs="仿宋"/>
          <w:bCs/>
          <w:sz w:val="32"/>
          <w:szCs w:val="32"/>
        </w:rPr>
        <w:t>2023</w:t>
      </w:r>
      <w:r>
        <w:rPr>
          <w:rFonts w:hint="eastAsia" w:ascii="仿宋" w:hAnsi="仿宋" w:eastAsia="仿宋" w:cs="仿宋"/>
          <w:bCs/>
          <w:sz w:val="32"/>
          <w:szCs w:val="32"/>
        </w:rPr>
        <w:t>年全年实际支出</w:t>
      </w:r>
      <w:r>
        <w:rPr>
          <w:rFonts w:ascii="仿宋" w:hAnsi="仿宋" w:eastAsia="仿宋" w:cs="仿宋"/>
          <w:bCs/>
          <w:sz w:val="32"/>
          <w:szCs w:val="32"/>
        </w:rPr>
        <w:t>205.83</w:t>
      </w:r>
      <w:r>
        <w:rPr>
          <w:rFonts w:hint="eastAsia" w:ascii="仿宋" w:hAnsi="仿宋" w:eastAsia="仿宋" w:cs="仿宋"/>
          <w:bCs/>
          <w:sz w:val="32"/>
          <w:szCs w:val="32"/>
        </w:rPr>
        <w:t>万元；结余财政资金</w:t>
      </w:r>
      <w:r>
        <w:rPr>
          <w:rFonts w:ascii="仿宋" w:hAnsi="仿宋" w:eastAsia="仿宋" w:cs="仿宋"/>
          <w:bCs/>
          <w:sz w:val="32"/>
          <w:szCs w:val="32"/>
        </w:rPr>
        <w:t>1</w:t>
      </w:r>
      <w:r>
        <w:rPr>
          <w:rFonts w:hint="eastAsia" w:ascii="仿宋" w:hAnsi="仿宋" w:eastAsia="仿宋" w:cs="仿宋"/>
          <w:bCs/>
          <w:sz w:val="32"/>
          <w:szCs w:val="32"/>
        </w:rPr>
        <w:t>万元。基本支出结余</w:t>
      </w:r>
      <w:r>
        <w:rPr>
          <w:rFonts w:ascii="仿宋" w:hAnsi="仿宋" w:eastAsia="仿宋" w:cs="仿宋"/>
          <w:bCs/>
          <w:sz w:val="32"/>
          <w:szCs w:val="32"/>
        </w:rPr>
        <w:t>0</w:t>
      </w:r>
      <w:r>
        <w:rPr>
          <w:rFonts w:hint="eastAsia" w:ascii="仿宋" w:hAnsi="仿宋" w:eastAsia="仿宋" w:cs="仿宋"/>
          <w:bCs/>
          <w:sz w:val="32"/>
          <w:szCs w:val="32"/>
        </w:rPr>
        <w:t>万元，项目支出结余</w:t>
      </w:r>
      <w:r>
        <w:rPr>
          <w:rFonts w:ascii="仿宋" w:hAnsi="仿宋" w:eastAsia="仿宋" w:cs="仿宋"/>
          <w:bCs/>
          <w:sz w:val="32"/>
          <w:szCs w:val="32"/>
        </w:rPr>
        <w:t>0</w:t>
      </w:r>
      <w:r>
        <w:rPr>
          <w:rFonts w:hint="eastAsia" w:ascii="仿宋" w:hAnsi="仿宋" w:eastAsia="仿宋" w:cs="仿宋"/>
          <w:bCs/>
          <w:sz w:val="32"/>
          <w:szCs w:val="32"/>
        </w:rPr>
        <w:t>万元。</w:t>
      </w:r>
    </w:p>
    <w:p>
      <w:pPr>
        <w:widowControl w:val="0"/>
        <w:spacing w:after="0" w:line="560" w:lineRule="exact"/>
        <w:ind w:firstLine="640" w:firstLineChars="200"/>
        <w:jc w:val="both"/>
        <w:rPr>
          <w:rFonts w:ascii="黑体" w:hAnsi="黑体" w:eastAsia="黑体"/>
          <w:bCs/>
          <w:sz w:val="32"/>
          <w:szCs w:val="32"/>
        </w:rPr>
      </w:pPr>
      <w:r>
        <w:rPr>
          <w:rFonts w:hint="eastAsia" w:ascii="黑体" w:hAnsi="黑体" w:eastAsia="黑体"/>
          <w:bCs/>
          <w:sz w:val="32"/>
          <w:szCs w:val="32"/>
        </w:rPr>
        <w:t>三、预算执行与管理情况</w:t>
      </w:r>
    </w:p>
    <w:p>
      <w:pPr>
        <w:pStyle w:val="10"/>
        <w:widowControl w:val="0"/>
        <w:shd w:val="clear" w:color="07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2023</w:t>
      </w:r>
      <w:r>
        <w:rPr>
          <w:rFonts w:hint="eastAsia" w:ascii="仿宋" w:hAnsi="仿宋" w:eastAsia="仿宋" w:cs="仿宋"/>
          <w:bCs/>
          <w:sz w:val="32"/>
          <w:szCs w:val="32"/>
        </w:rPr>
        <w:t>年，我单位积极履职，强化管理，较好地完成了年度工作目标。根据部门整体支出绩效评价指标体系，我单位</w:t>
      </w:r>
      <w:r>
        <w:rPr>
          <w:rFonts w:ascii="仿宋" w:hAnsi="仿宋" w:eastAsia="仿宋" w:cs="仿宋"/>
          <w:bCs/>
          <w:sz w:val="32"/>
          <w:szCs w:val="32"/>
        </w:rPr>
        <w:t>2023</w:t>
      </w:r>
      <w:r>
        <w:rPr>
          <w:rFonts w:hint="eastAsia" w:ascii="仿宋" w:hAnsi="仿宋" w:eastAsia="仿宋" w:cs="仿宋"/>
          <w:bCs/>
          <w:sz w:val="32"/>
          <w:szCs w:val="32"/>
        </w:rPr>
        <w:t>年度评价得分为</w:t>
      </w:r>
      <w:r>
        <w:rPr>
          <w:rFonts w:ascii="仿宋" w:hAnsi="仿宋" w:eastAsia="仿宋" w:cs="仿宋"/>
          <w:bCs/>
          <w:sz w:val="32"/>
          <w:szCs w:val="32"/>
        </w:rPr>
        <w:t>91.5</w:t>
      </w:r>
      <w:r>
        <w:rPr>
          <w:rFonts w:hint="eastAsia" w:ascii="仿宋" w:hAnsi="仿宋" w:eastAsia="仿宋" w:cs="仿宋"/>
          <w:bCs/>
          <w:sz w:val="32"/>
          <w:szCs w:val="32"/>
        </w:rPr>
        <w:t>分。部门整体支出绩效情况如下：</w:t>
      </w:r>
    </w:p>
    <w:p>
      <w:pPr>
        <w:pStyle w:val="10"/>
        <w:widowControl w:val="0"/>
        <w:shd w:val="clear" w:color="07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、投入</w:t>
      </w:r>
      <w:r>
        <w:rPr>
          <w:rFonts w:ascii="仿宋" w:hAnsi="仿宋" w:eastAsia="仿宋" w:cs="仿宋"/>
          <w:bCs/>
          <w:sz w:val="32"/>
          <w:szCs w:val="32"/>
        </w:rPr>
        <w:t>9.5</w:t>
      </w:r>
      <w:r>
        <w:rPr>
          <w:rFonts w:hint="eastAsia" w:ascii="仿宋" w:hAnsi="仿宋" w:eastAsia="仿宋" w:cs="仿宋"/>
          <w:bCs/>
          <w:sz w:val="32"/>
          <w:szCs w:val="32"/>
        </w:rPr>
        <w:t>分</w:t>
      </w:r>
    </w:p>
    <w:p>
      <w:pPr>
        <w:pStyle w:val="10"/>
        <w:widowControl w:val="0"/>
        <w:shd w:val="clear" w:color="08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预算配置得</w:t>
      </w:r>
      <w:r>
        <w:rPr>
          <w:rFonts w:ascii="仿宋" w:hAnsi="仿宋" w:eastAsia="仿宋" w:cs="仿宋"/>
          <w:bCs/>
          <w:sz w:val="32"/>
          <w:szCs w:val="32"/>
        </w:rPr>
        <w:t>10</w:t>
      </w:r>
      <w:r>
        <w:rPr>
          <w:rFonts w:hint="eastAsia" w:ascii="仿宋" w:hAnsi="仿宋" w:eastAsia="仿宋" w:cs="仿宋"/>
          <w:bCs/>
          <w:sz w:val="32"/>
          <w:szCs w:val="32"/>
        </w:rPr>
        <w:t>分。其中：在职人员控制率：在职</w:t>
      </w:r>
      <w:r>
        <w:rPr>
          <w:rFonts w:ascii="仿宋" w:hAnsi="仿宋" w:eastAsia="仿宋" w:cs="仿宋"/>
          <w:bCs/>
          <w:sz w:val="32"/>
          <w:szCs w:val="32"/>
        </w:rPr>
        <w:t>16</w:t>
      </w:r>
      <w:r>
        <w:rPr>
          <w:rFonts w:hint="eastAsia" w:ascii="仿宋" w:hAnsi="仿宋" w:eastAsia="仿宋" w:cs="仿宋"/>
          <w:bCs/>
          <w:sz w:val="32"/>
          <w:szCs w:val="32"/>
        </w:rPr>
        <w:t>人</w:t>
      </w:r>
      <w:r>
        <w:rPr>
          <w:rFonts w:ascii="仿宋" w:hAnsi="仿宋" w:eastAsia="仿宋" w:cs="仿宋"/>
          <w:bCs/>
          <w:sz w:val="32"/>
          <w:szCs w:val="32"/>
        </w:rPr>
        <w:t>/</w:t>
      </w:r>
      <w:r>
        <w:rPr>
          <w:rFonts w:hint="eastAsia" w:ascii="仿宋" w:hAnsi="仿宋" w:eastAsia="仿宋" w:cs="仿宋"/>
          <w:bCs/>
          <w:sz w:val="32"/>
          <w:szCs w:val="32"/>
        </w:rPr>
        <w:t>编制</w:t>
      </w:r>
      <w:r>
        <w:rPr>
          <w:rFonts w:ascii="仿宋" w:hAnsi="仿宋" w:eastAsia="仿宋" w:cs="仿宋"/>
          <w:bCs/>
          <w:sz w:val="32"/>
          <w:szCs w:val="32"/>
        </w:rPr>
        <w:t>17*1%=94.12%</w:t>
      </w:r>
      <w:r>
        <w:rPr>
          <w:rFonts w:hint="eastAsia" w:ascii="仿宋" w:hAnsi="仿宋" w:eastAsia="仿宋" w:cs="仿宋"/>
          <w:bCs/>
          <w:sz w:val="32"/>
          <w:szCs w:val="32"/>
        </w:rPr>
        <w:t>，得</w:t>
      </w:r>
      <w:r>
        <w:rPr>
          <w:rFonts w:ascii="仿宋" w:hAnsi="仿宋" w:eastAsia="仿宋" w:cs="仿宋"/>
          <w:bCs/>
          <w:sz w:val="32"/>
          <w:szCs w:val="32"/>
        </w:rPr>
        <w:t>5</w:t>
      </w:r>
      <w:r>
        <w:rPr>
          <w:rFonts w:hint="eastAsia" w:ascii="仿宋" w:hAnsi="仿宋" w:eastAsia="仿宋" w:cs="仿宋"/>
          <w:bCs/>
          <w:sz w:val="32"/>
          <w:szCs w:val="32"/>
        </w:rPr>
        <w:t>分；年度资金总额执行率</w:t>
      </w:r>
      <w:r>
        <w:rPr>
          <w:rFonts w:ascii="仿宋" w:hAnsi="仿宋" w:eastAsia="仿宋" w:cs="仿宋"/>
          <w:bCs/>
          <w:sz w:val="32"/>
          <w:szCs w:val="32"/>
        </w:rPr>
        <w:t>94.99%</w:t>
      </w:r>
      <w:r>
        <w:rPr>
          <w:rFonts w:hint="eastAsia" w:ascii="仿宋" w:hAnsi="仿宋" w:eastAsia="仿宋" w:cs="仿宋"/>
          <w:bCs/>
          <w:sz w:val="32"/>
          <w:szCs w:val="32"/>
        </w:rPr>
        <w:t>，得</w:t>
      </w:r>
      <w:r>
        <w:rPr>
          <w:rFonts w:ascii="仿宋" w:hAnsi="仿宋" w:eastAsia="仿宋" w:cs="仿宋"/>
          <w:bCs/>
          <w:sz w:val="32"/>
          <w:szCs w:val="32"/>
        </w:rPr>
        <w:t>4.5</w:t>
      </w:r>
      <w:r>
        <w:rPr>
          <w:rFonts w:hint="eastAsia" w:ascii="仿宋" w:hAnsi="仿宋" w:eastAsia="仿宋" w:cs="仿宋"/>
          <w:bCs/>
          <w:sz w:val="32"/>
          <w:szCs w:val="32"/>
        </w:rPr>
        <w:t>分。</w:t>
      </w:r>
    </w:p>
    <w:p>
      <w:pPr>
        <w:pStyle w:val="10"/>
        <w:widowControl w:val="0"/>
        <w:shd w:val="clear" w:color="08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、过程</w:t>
      </w:r>
      <w:r>
        <w:rPr>
          <w:rFonts w:ascii="仿宋" w:hAnsi="仿宋" w:eastAsia="仿宋" w:cs="仿宋"/>
          <w:bCs/>
          <w:sz w:val="32"/>
          <w:szCs w:val="32"/>
        </w:rPr>
        <w:t>45</w:t>
      </w:r>
      <w:r>
        <w:rPr>
          <w:rFonts w:hint="eastAsia" w:ascii="仿宋" w:hAnsi="仿宋" w:eastAsia="仿宋" w:cs="仿宋"/>
          <w:bCs/>
          <w:sz w:val="32"/>
          <w:szCs w:val="32"/>
        </w:rPr>
        <w:t>分</w:t>
      </w:r>
    </w:p>
    <w:p>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1</w:t>
      </w:r>
      <w:r>
        <w:rPr>
          <w:rFonts w:hint="eastAsia" w:ascii="仿宋" w:hAnsi="仿宋" w:eastAsia="仿宋" w:cs="仿宋"/>
          <w:bCs/>
          <w:sz w:val="32"/>
          <w:szCs w:val="32"/>
        </w:rPr>
        <w:t>）预算执行得</w:t>
      </w:r>
      <w:r>
        <w:rPr>
          <w:rFonts w:ascii="仿宋" w:hAnsi="仿宋" w:eastAsia="仿宋" w:cs="仿宋"/>
          <w:bCs/>
          <w:sz w:val="32"/>
          <w:szCs w:val="32"/>
        </w:rPr>
        <w:t>20</w:t>
      </w:r>
      <w:r>
        <w:rPr>
          <w:rFonts w:hint="eastAsia" w:ascii="仿宋" w:hAnsi="仿宋" w:eastAsia="仿宋" w:cs="仿宋"/>
          <w:bCs/>
          <w:sz w:val="32"/>
          <w:szCs w:val="32"/>
        </w:rPr>
        <w:t>分。预算完成率</w:t>
      </w:r>
      <w:r>
        <w:rPr>
          <w:rFonts w:ascii="仿宋" w:hAnsi="仿宋" w:eastAsia="仿宋" w:cs="仿宋"/>
          <w:bCs/>
          <w:sz w:val="32"/>
          <w:szCs w:val="32"/>
        </w:rPr>
        <w:t>1%</w:t>
      </w:r>
      <w:r>
        <w:rPr>
          <w:rFonts w:hint="eastAsia" w:ascii="仿宋" w:hAnsi="仿宋" w:eastAsia="仿宋" w:cs="仿宋"/>
          <w:bCs/>
          <w:sz w:val="32"/>
          <w:szCs w:val="32"/>
        </w:rPr>
        <w:t>得</w:t>
      </w:r>
      <w:r>
        <w:rPr>
          <w:rFonts w:ascii="仿宋" w:hAnsi="仿宋" w:eastAsia="仿宋" w:cs="仿宋"/>
          <w:bCs/>
          <w:sz w:val="32"/>
          <w:szCs w:val="32"/>
        </w:rPr>
        <w:t>5</w:t>
      </w:r>
      <w:r>
        <w:rPr>
          <w:rFonts w:hint="eastAsia" w:ascii="仿宋" w:hAnsi="仿宋" w:eastAsia="仿宋" w:cs="仿宋"/>
          <w:bCs/>
          <w:sz w:val="32"/>
          <w:szCs w:val="32"/>
        </w:rPr>
        <w:t>分；预算控制率得</w:t>
      </w:r>
      <w:r>
        <w:rPr>
          <w:rFonts w:ascii="仿宋" w:hAnsi="仿宋" w:eastAsia="仿宋" w:cs="仿宋"/>
          <w:bCs/>
          <w:sz w:val="32"/>
          <w:szCs w:val="32"/>
        </w:rPr>
        <w:t>5</w:t>
      </w:r>
      <w:r>
        <w:rPr>
          <w:rFonts w:hint="eastAsia" w:ascii="仿宋" w:hAnsi="仿宋" w:eastAsia="仿宋" w:cs="仿宋"/>
          <w:bCs/>
          <w:sz w:val="32"/>
          <w:szCs w:val="32"/>
        </w:rPr>
        <w:t>分；无新建楼堂项目，故新建楼堂馆所面积控制率得</w:t>
      </w:r>
      <w:r>
        <w:rPr>
          <w:rFonts w:ascii="仿宋" w:hAnsi="仿宋" w:eastAsia="仿宋" w:cs="仿宋"/>
          <w:bCs/>
          <w:sz w:val="32"/>
          <w:szCs w:val="32"/>
        </w:rPr>
        <w:t>5</w:t>
      </w:r>
      <w:r>
        <w:rPr>
          <w:rFonts w:hint="eastAsia" w:ascii="仿宋" w:hAnsi="仿宋" w:eastAsia="仿宋" w:cs="仿宋"/>
          <w:bCs/>
          <w:sz w:val="32"/>
          <w:szCs w:val="32"/>
        </w:rPr>
        <w:t>分，新建楼堂馆所投资概算控制率得</w:t>
      </w:r>
      <w:r>
        <w:rPr>
          <w:rFonts w:ascii="仿宋" w:hAnsi="仿宋" w:eastAsia="仿宋" w:cs="仿宋"/>
          <w:bCs/>
          <w:sz w:val="32"/>
          <w:szCs w:val="32"/>
        </w:rPr>
        <w:t>5</w:t>
      </w:r>
      <w:r>
        <w:rPr>
          <w:rFonts w:hint="eastAsia" w:ascii="仿宋" w:hAnsi="仿宋" w:eastAsia="仿宋" w:cs="仿宋"/>
          <w:bCs/>
          <w:sz w:val="32"/>
          <w:szCs w:val="32"/>
        </w:rPr>
        <w:t>分。</w:t>
      </w:r>
    </w:p>
    <w:p>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2</w:t>
      </w:r>
      <w:r>
        <w:rPr>
          <w:rFonts w:hint="eastAsia" w:ascii="仿宋" w:hAnsi="仿宋" w:eastAsia="仿宋" w:cs="仿宋"/>
          <w:bCs/>
          <w:sz w:val="32"/>
          <w:szCs w:val="32"/>
        </w:rPr>
        <w:t>）预算管理得</w:t>
      </w:r>
      <w:r>
        <w:rPr>
          <w:rFonts w:ascii="仿宋" w:hAnsi="仿宋" w:eastAsia="仿宋" w:cs="仿宋"/>
          <w:bCs/>
          <w:sz w:val="32"/>
          <w:szCs w:val="32"/>
        </w:rPr>
        <w:t>23</w:t>
      </w:r>
      <w:r>
        <w:rPr>
          <w:rFonts w:hint="eastAsia" w:ascii="仿宋" w:hAnsi="仿宋" w:eastAsia="仿宋" w:cs="仿宋"/>
          <w:bCs/>
          <w:sz w:val="32"/>
          <w:szCs w:val="32"/>
        </w:rPr>
        <w:t>分。政府采购执行率，得</w:t>
      </w:r>
      <w:r>
        <w:rPr>
          <w:rFonts w:ascii="仿宋" w:hAnsi="仿宋" w:eastAsia="仿宋" w:cs="仿宋"/>
          <w:bCs/>
          <w:sz w:val="32"/>
          <w:szCs w:val="32"/>
        </w:rPr>
        <w:t>6</w:t>
      </w:r>
      <w:r>
        <w:rPr>
          <w:rFonts w:hint="eastAsia" w:ascii="仿宋" w:hAnsi="仿宋" w:eastAsia="仿宋" w:cs="仿宋"/>
          <w:bCs/>
          <w:sz w:val="32"/>
          <w:szCs w:val="32"/>
        </w:rPr>
        <w:t>分；管理制度健全有相关财务管理制度等得</w:t>
      </w:r>
      <w:r>
        <w:rPr>
          <w:rFonts w:ascii="仿宋" w:hAnsi="仿宋" w:eastAsia="仿宋" w:cs="仿宋"/>
          <w:bCs/>
          <w:sz w:val="32"/>
          <w:szCs w:val="32"/>
        </w:rPr>
        <w:t>6</w:t>
      </w:r>
      <w:r>
        <w:rPr>
          <w:rFonts w:hint="eastAsia" w:ascii="仿宋" w:hAnsi="仿宋" w:eastAsia="仿宋" w:cs="仿宋"/>
          <w:bCs/>
          <w:sz w:val="32"/>
          <w:szCs w:val="32"/>
        </w:rPr>
        <w:t>分；资金使用符合规定得</w:t>
      </w:r>
      <w:r>
        <w:rPr>
          <w:rFonts w:ascii="仿宋" w:hAnsi="仿宋" w:eastAsia="仿宋" w:cs="仿宋"/>
          <w:bCs/>
          <w:sz w:val="32"/>
          <w:szCs w:val="32"/>
        </w:rPr>
        <w:t>5</w:t>
      </w:r>
      <w:r>
        <w:rPr>
          <w:rFonts w:hint="eastAsia" w:ascii="仿宋" w:hAnsi="仿宋" w:eastAsia="仿宋" w:cs="仿宋"/>
          <w:bCs/>
          <w:sz w:val="32"/>
          <w:szCs w:val="32"/>
        </w:rPr>
        <w:t>分，预决算信息公开按规定内容在规定时限在县政府门户网站公开，基础信息完善，但资料完整度不够完善，得</w:t>
      </w:r>
      <w:r>
        <w:rPr>
          <w:rFonts w:ascii="仿宋" w:hAnsi="仿宋" w:eastAsia="仿宋" w:cs="仿宋"/>
          <w:bCs/>
          <w:sz w:val="32"/>
          <w:szCs w:val="32"/>
        </w:rPr>
        <w:t>8</w:t>
      </w:r>
      <w:r>
        <w:rPr>
          <w:rFonts w:hint="eastAsia" w:ascii="仿宋" w:hAnsi="仿宋" w:eastAsia="仿宋" w:cs="仿宋"/>
          <w:bCs/>
          <w:sz w:val="32"/>
          <w:szCs w:val="32"/>
        </w:rPr>
        <w:t>分。</w:t>
      </w:r>
    </w:p>
    <w:p>
      <w:pPr>
        <w:pStyle w:val="10"/>
        <w:widowControl w:val="0"/>
        <w:shd w:val="clear" w:color="08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、履职效益得</w:t>
      </w:r>
      <w:r>
        <w:rPr>
          <w:rFonts w:ascii="仿宋" w:hAnsi="仿宋" w:eastAsia="仿宋" w:cs="仿宋"/>
          <w:bCs/>
          <w:sz w:val="32"/>
          <w:szCs w:val="32"/>
        </w:rPr>
        <w:t>37</w:t>
      </w:r>
      <w:r>
        <w:rPr>
          <w:rFonts w:hint="eastAsia" w:ascii="仿宋" w:hAnsi="仿宋" w:eastAsia="仿宋" w:cs="仿宋"/>
          <w:bCs/>
          <w:sz w:val="32"/>
          <w:szCs w:val="32"/>
        </w:rPr>
        <w:t>分。</w:t>
      </w:r>
    </w:p>
    <w:p>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1</w:t>
      </w:r>
      <w:r>
        <w:rPr>
          <w:rFonts w:hint="eastAsia" w:ascii="仿宋" w:hAnsi="仿宋" w:eastAsia="仿宋" w:cs="仿宋"/>
          <w:bCs/>
          <w:sz w:val="32"/>
          <w:szCs w:val="32"/>
        </w:rPr>
        <w:t>）产出指标内容：</w:t>
      </w:r>
    </w:p>
    <w:p>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1</w:t>
      </w:r>
      <w:r>
        <w:rPr>
          <w:rFonts w:hint="eastAsia" w:ascii="仿宋" w:hAnsi="仿宋" w:eastAsia="仿宋" w:cs="仿宋"/>
          <w:bCs/>
          <w:sz w:val="32"/>
          <w:szCs w:val="32"/>
        </w:rPr>
        <w:t>：拓宽渠道，开好消超“方子”，年度指标值消化超编人数</w:t>
      </w:r>
      <w:r>
        <w:rPr>
          <w:rFonts w:ascii="仿宋" w:hAnsi="仿宋" w:eastAsia="仿宋" w:cs="仿宋"/>
          <w:bCs/>
          <w:sz w:val="32"/>
          <w:szCs w:val="32"/>
        </w:rPr>
        <w:t>168</w:t>
      </w:r>
      <w:r>
        <w:rPr>
          <w:rFonts w:hint="eastAsia" w:ascii="仿宋" w:hAnsi="仿宋" w:eastAsia="仿宋" w:cs="仿宋"/>
          <w:bCs/>
          <w:sz w:val="32"/>
          <w:szCs w:val="32"/>
        </w:rPr>
        <w:t>人，实际完成</w:t>
      </w:r>
      <w:r>
        <w:rPr>
          <w:rFonts w:ascii="仿宋" w:hAnsi="仿宋" w:eastAsia="仿宋" w:cs="仿宋"/>
          <w:bCs/>
          <w:sz w:val="32"/>
          <w:szCs w:val="32"/>
        </w:rPr>
        <w:t>251</w:t>
      </w:r>
      <w:r>
        <w:rPr>
          <w:rFonts w:hint="eastAsia" w:ascii="仿宋" w:hAnsi="仿宋" w:eastAsia="仿宋" w:cs="仿宋"/>
          <w:bCs/>
          <w:sz w:val="32"/>
          <w:szCs w:val="32"/>
        </w:rPr>
        <w:t>人，超额完成得</w:t>
      </w:r>
      <w:r>
        <w:rPr>
          <w:rFonts w:ascii="仿宋" w:hAnsi="仿宋" w:eastAsia="仿宋" w:cs="仿宋"/>
          <w:bCs/>
          <w:sz w:val="32"/>
          <w:szCs w:val="32"/>
        </w:rPr>
        <w:t>2</w:t>
      </w:r>
      <w:r>
        <w:rPr>
          <w:rFonts w:hint="eastAsia" w:ascii="仿宋" w:hAnsi="仿宋" w:eastAsia="仿宋" w:cs="仿宋"/>
          <w:bCs/>
          <w:sz w:val="32"/>
          <w:szCs w:val="32"/>
        </w:rPr>
        <w:t>分；做好编外人员清理整治工作，年度指标值</w:t>
      </w:r>
      <w:r>
        <w:rPr>
          <w:rFonts w:ascii="仿宋" w:hAnsi="仿宋" w:eastAsia="仿宋" w:cs="仿宋"/>
          <w:bCs/>
          <w:sz w:val="32"/>
          <w:szCs w:val="32"/>
        </w:rPr>
        <w:t>2910</w:t>
      </w:r>
      <w:r>
        <w:rPr>
          <w:rFonts w:hint="eastAsia" w:ascii="仿宋" w:hAnsi="仿宋" w:eastAsia="仿宋" w:cs="仿宋"/>
          <w:bCs/>
          <w:sz w:val="32"/>
          <w:szCs w:val="32"/>
        </w:rPr>
        <w:t>人，实际完成值</w:t>
      </w:r>
      <w:r>
        <w:rPr>
          <w:rFonts w:ascii="仿宋" w:hAnsi="仿宋" w:eastAsia="仿宋" w:cs="仿宋"/>
          <w:bCs/>
          <w:sz w:val="32"/>
          <w:szCs w:val="32"/>
        </w:rPr>
        <w:t>2910</w:t>
      </w:r>
      <w:r>
        <w:rPr>
          <w:rFonts w:hint="eastAsia" w:ascii="仿宋" w:hAnsi="仿宋" w:eastAsia="仿宋" w:cs="仿宋"/>
          <w:bCs/>
          <w:sz w:val="32"/>
          <w:szCs w:val="32"/>
        </w:rPr>
        <w:t>人，得</w:t>
      </w:r>
      <w:r>
        <w:rPr>
          <w:rFonts w:ascii="仿宋" w:hAnsi="仿宋" w:eastAsia="仿宋" w:cs="仿宋"/>
          <w:bCs/>
          <w:sz w:val="32"/>
          <w:szCs w:val="32"/>
        </w:rPr>
        <w:t>1</w:t>
      </w:r>
      <w:r>
        <w:rPr>
          <w:rFonts w:hint="eastAsia" w:ascii="仿宋" w:hAnsi="仿宋" w:eastAsia="仿宋" w:cs="仿宋"/>
          <w:bCs/>
          <w:sz w:val="32"/>
          <w:szCs w:val="32"/>
        </w:rPr>
        <w:t>分。</w:t>
      </w:r>
    </w:p>
    <w:p>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2</w:t>
      </w:r>
      <w:r>
        <w:rPr>
          <w:rFonts w:hint="eastAsia" w:ascii="仿宋" w:hAnsi="仿宋" w:eastAsia="仿宋" w:cs="仿宋"/>
          <w:bCs/>
          <w:sz w:val="32"/>
          <w:szCs w:val="32"/>
        </w:rPr>
        <w:t>：持续推进综合行政执法改革，公示率≥</w:t>
      </w:r>
      <w:r>
        <w:rPr>
          <w:rFonts w:ascii="仿宋" w:hAnsi="仿宋" w:eastAsia="仿宋" w:cs="仿宋"/>
          <w:bCs/>
          <w:sz w:val="32"/>
          <w:szCs w:val="32"/>
        </w:rPr>
        <w:t>95%</w:t>
      </w:r>
      <w:r>
        <w:rPr>
          <w:rFonts w:hint="eastAsia" w:ascii="仿宋" w:hAnsi="仿宋" w:eastAsia="仿宋" w:cs="仿宋"/>
          <w:bCs/>
          <w:sz w:val="32"/>
          <w:szCs w:val="32"/>
        </w:rPr>
        <w:t>，完成</w:t>
      </w:r>
      <w:r>
        <w:rPr>
          <w:rFonts w:ascii="仿宋" w:hAnsi="仿宋" w:eastAsia="仿宋" w:cs="仿宋"/>
          <w:bCs/>
          <w:sz w:val="32"/>
          <w:szCs w:val="32"/>
        </w:rPr>
        <w:t>100%</w:t>
      </w:r>
      <w:r>
        <w:rPr>
          <w:rFonts w:hint="eastAsia" w:ascii="仿宋" w:hAnsi="仿宋" w:eastAsia="仿宋" w:cs="仿宋"/>
          <w:bCs/>
          <w:sz w:val="32"/>
          <w:szCs w:val="32"/>
        </w:rPr>
        <w:t>得</w:t>
      </w:r>
      <w:r>
        <w:rPr>
          <w:rFonts w:ascii="仿宋" w:hAnsi="仿宋" w:eastAsia="仿宋" w:cs="仿宋"/>
          <w:bCs/>
          <w:sz w:val="32"/>
          <w:szCs w:val="32"/>
        </w:rPr>
        <w:t>2</w:t>
      </w:r>
      <w:r>
        <w:rPr>
          <w:rFonts w:hint="eastAsia" w:ascii="仿宋" w:hAnsi="仿宋" w:eastAsia="仿宋" w:cs="仿宋"/>
          <w:bCs/>
          <w:sz w:val="32"/>
          <w:szCs w:val="32"/>
        </w:rPr>
        <w:t>月分；强化机构编制监督检查，公示率≥</w:t>
      </w:r>
      <w:r>
        <w:rPr>
          <w:rFonts w:ascii="仿宋" w:hAnsi="仿宋" w:eastAsia="仿宋" w:cs="仿宋"/>
          <w:bCs/>
          <w:sz w:val="32"/>
          <w:szCs w:val="32"/>
        </w:rPr>
        <w:t>95%</w:t>
      </w:r>
      <w:r>
        <w:rPr>
          <w:rFonts w:hint="eastAsia" w:ascii="仿宋" w:hAnsi="仿宋" w:eastAsia="仿宋" w:cs="仿宋"/>
          <w:bCs/>
          <w:sz w:val="32"/>
          <w:szCs w:val="32"/>
        </w:rPr>
        <w:t>，完成</w:t>
      </w:r>
      <w:r>
        <w:rPr>
          <w:rFonts w:ascii="仿宋" w:hAnsi="仿宋" w:eastAsia="仿宋" w:cs="仿宋"/>
          <w:bCs/>
          <w:sz w:val="32"/>
          <w:szCs w:val="32"/>
        </w:rPr>
        <w:t>90%</w:t>
      </w:r>
      <w:r>
        <w:rPr>
          <w:rFonts w:hint="eastAsia" w:ascii="仿宋" w:hAnsi="仿宋" w:eastAsia="仿宋" w:cs="仿宋"/>
          <w:bCs/>
          <w:sz w:val="32"/>
          <w:szCs w:val="32"/>
        </w:rPr>
        <w:t>得</w:t>
      </w:r>
      <w:r>
        <w:rPr>
          <w:rFonts w:ascii="仿宋" w:hAnsi="仿宋" w:eastAsia="仿宋" w:cs="仿宋"/>
          <w:bCs/>
          <w:sz w:val="32"/>
          <w:szCs w:val="32"/>
        </w:rPr>
        <w:t>1</w:t>
      </w:r>
      <w:r>
        <w:rPr>
          <w:rFonts w:hint="eastAsia" w:ascii="仿宋" w:hAnsi="仿宋" w:eastAsia="仿宋" w:cs="仿宋"/>
          <w:bCs/>
          <w:sz w:val="32"/>
          <w:szCs w:val="32"/>
        </w:rPr>
        <w:t>分。</w:t>
      </w:r>
    </w:p>
    <w:p>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3</w:t>
      </w:r>
      <w:r>
        <w:rPr>
          <w:rFonts w:hint="eastAsia" w:ascii="仿宋" w:hAnsi="仿宋" w:eastAsia="仿宋" w:cs="仿宋"/>
          <w:bCs/>
          <w:sz w:val="32"/>
          <w:szCs w:val="32"/>
        </w:rPr>
        <w:t>：办公经费控制在部门预算批复范围内，得</w:t>
      </w:r>
      <w:r>
        <w:rPr>
          <w:rFonts w:ascii="仿宋" w:hAnsi="仿宋" w:eastAsia="仿宋" w:cs="仿宋"/>
          <w:bCs/>
          <w:sz w:val="32"/>
          <w:szCs w:val="32"/>
        </w:rPr>
        <w:t>2</w:t>
      </w:r>
      <w:r>
        <w:rPr>
          <w:rFonts w:hint="eastAsia" w:ascii="仿宋" w:hAnsi="仿宋" w:eastAsia="仿宋" w:cs="仿宋"/>
          <w:bCs/>
          <w:sz w:val="32"/>
          <w:szCs w:val="32"/>
        </w:rPr>
        <w:t>分；</w:t>
      </w:r>
    </w:p>
    <w:p>
      <w:pPr>
        <w:pStyle w:val="10"/>
        <w:widowControl w:val="0"/>
        <w:numPr>
          <w:ilvl w:val="0"/>
          <w:numId w:val="3"/>
        </w:numPr>
        <w:shd w:val="clear" w:color="07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效益指标方面：</w:t>
      </w:r>
    </w:p>
    <w:p>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1</w:t>
      </w:r>
      <w:r>
        <w:rPr>
          <w:rFonts w:hint="eastAsia" w:ascii="仿宋" w:hAnsi="仿宋" w:eastAsia="仿宋" w:cs="仿宋"/>
          <w:bCs/>
          <w:sz w:val="32"/>
          <w:szCs w:val="32"/>
        </w:rPr>
        <w:t>：党的建设和综合服务，得</w:t>
      </w:r>
      <w:r>
        <w:rPr>
          <w:rFonts w:ascii="仿宋" w:hAnsi="仿宋" w:eastAsia="仿宋" w:cs="仿宋"/>
          <w:bCs/>
          <w:sz w:val="32"/>
          <w:szCs w:val="32"/>
        </w:rPr>
        <w:t>10</w:t>
      </w:r>
      <w:r>
        <w:rPr>
          <w:rFonts w:hint="eastAsia" w:ascii="仿宋" w:hAnsi="仿宋" w:eastAsia="仿宋" w:cs="仿宋"/>
          <w:bCs/>
          <w:sz w:val="32"/>
          <w:szCs w:val="32"/>
        </w:rPr>
        <w:t>分。</w:t>
      </w:r>
    </w:p>
    <w:p>
      <w:pPr>
        <w:pStyle w:val="10"/>
        <w:widowControl w:val="0"/>
        <w:numPr>
          <w:ilvl w:val="0"/>
          <w:numId w:val="3"/>
        </w:numPr>
        <w:shd w:val="clear" w:color="060000" w:fill="auto"/>
        <w:spacing w:beforeAutospacing="0" w:afterAutospacing="0" w:line="560" w:lineRule="exact"/>
        <w:ind w:left="0" w:leftChars="0" w:firstLine="640" w:firstLineChars="200"/>
        <w:jc w:val="both"/>
        <w:rPr>
          <w:rFonts w:hint="eastAsia" w:ascii="黑体" w:hAnsi="黑体" w:eastAsia="黑体" w:cs="黑体"/>
          <w:sz w:val="32"/>
          <w:szCs w:val="32"/>
        </w:rPr>
      </w:pPr>
      <w:r>
        <w:rPr>
          <w:rFonts w:hint="eastAsia" w:ascii="仿宋" w:hAnsi="仿宋" w:eastAsia="仿宋" w:cs="仿宋"/>
          <w:bCs/>
          <w:sz w:val="32"/>
          <w:szCs w:val="32"/>
        </w:rPr>
        <w:t>社会公众或服务对象满意度得</w:t>
      </w:r>
      <w:r>
        <w:rPr>
          <w:rFonts w:ascii="仿宋" w:hAnsi="仿宋" w:eastAsia="仿宋" w:cs="仿宋"/>
          <w:bCs/>
          <w:sz w:val="32"/>
          <w:szCs w:val="32"/>
        </w:rPr>
        <w:t>9</w:t>
      </w:r>
      <w:r>
        <w:rPr>
          <w:rFonts w:hint="eastAsia" w:ascii="仿宋" w:hAnsi="仿宋" w:eastAsia="仿宋" w:cs="仿宋"/>
          <w:bCs/>
          <w:sz w:val="32"/>
          <w:szCs w:val="32"/>
        </w:rPr>
        <w:t>分：在年度绩效考核中成绩优异，为蓝山县经济发展提高体制机制保障。</w:t>
      </w:r>
    </w:p>
    <w:p>
      <w:pPr>
        <w:pStyle w:val="10"/>
        <w:widowControl w:val="0"/>
        <w:numPr>
          <w:ilvl w:val="0"/>
          <w:numId w:val="4"/>
        </w:numPr>
        <w:shd w:val="clear" w:color="060000" w:fill="auto"/>
        <w:spacing w:beforeAutospacing="0" w:afterAutospacing="0" w:line="560" w:lineRule="exact"/>
        <w:ind w:left="420" w:leftChars="200" w:right="0" w:rightChars="0" w:firstLine="198" w:firstLineChars="62"/>
        <w:jc w:val="both"/>
        <w:rPr>
          <w:rFonts w:hint="eastAsia" w:ascii="黑体" w:hAnsi="黑体" w:eastAsia="黑体" w:cs="黑体"/>
          <w:sz w:val="32"/>
          <w:szCs w:val="32"/>
        </w:rPr>
      </w:pPr>
      <w:r>
        <w:rPr>
          <w:rFonts w:hint="eastAsia" w:ascii="黑体" w:hAnsi="黑体" w:eastAsia="黑体" w:cs="黑体"/>
          <w:sz w:val="32"/>
          <w:szCs w:val="32"/>
        </w:rPr>
        <w:t>项目资金使用及管理情况</w:t>
      </w:r>
    </w:p>
    <w:p>
      <w:pPr>
        <w:pStyle w:val="10"/>
        <w:widowControl w:val="0"/>
        <w:numPr>
          <w:ilvl w:val="0"/>
          <w:numId w:val="0"/>
        </w:numPr>
        <w:shd w:val="clear" w:color="060000" w:fill="auto"/>
        <w:spacing w:beforeAutospacing="0" w:afterAutospacing="0" w:line="560" w:lineRule="exact"/>
        <w:ind w:right="0" w:rightChars="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专项总收入16.61元，均纳入了2023年部门预算,资金均是通过县财政局直接下达用款指标至县委编办。政务公益域名注册费项目10万元，根据我县行政事业单位域名注册及维护100%覆盖率进度均已支付总项目资金的100%，共计10万元，其中：行政单位注册费136个*200元/个=2.72万元；事业单位注册费364个*200元/个=7.28万元。事业单位改革专项经费项目10万元，根据改革进度已支付项目资金的66.1%，共计6.61万元。为推进我县从事公益服务事业单位的改革经费，用于事业单位改革调研、制定改革方案、人员转隶和到省市汇报事业单位改革工作。</w:t>
      </w:r>
    </w:p>
    <w:p>
      <w:pPr>
        <w:numPr>
          <w:ilvl w:val="0"/>
          <w:numId w:val="4"/>
        </w:numPr>
        <w:spacing w:line="600" w:lineRule="exact"/>
        <w:ind w:left="420" w:leftChars="200" w:firstLine="198" w:firstLineChars="62"/>
        <w:rPr>
          <w:rFonts w:hint="eastAsia" w:ascii="黑体" w:hAnsi="黑体" w:eastAsia="黑体"/>
          <w:bCs/>
          <w:sz w:val="32"/>
          <w:szCs w:val="32"/>
        </w:rPr>
      </w:pPr>
      <w:r>
        <w:rPr>
          <w:rFonts w:hint="eastAsia" w:ascii="黑体" w:hAnsi="黑体" w:eastAsia="黑体"/>
          <w:bCs/>
          <w:sz w:val="32"/>
          <w:szCs w:val="32"/>
        </w:rPr>
        <w:t>预算支出绩效情况</w:t>
      </w:r>
    </w:p>
    <w:p>
      <w:pPr>
        <w:numPr>
          <w:ilvl w:val="0"/>
          <w:numId w:val="0"/>
        </w:numPr>
        <w:spacing w:line="600" w:lineRule="exact"/>
        <w:ind w:left="0" w:leftChars="0"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在县委、县政府和市委编办的坚强领导下，认真学习习近平新时代中国特色社会主义思想和党的二十大精神，将机构编制工作与党的建设、主题教育工作深度融合，聚焦新发展阶段体制机制痛点难点和堵点，不断健全完善党政机构职能体系、推进各领域机构和体制机制改革、优化机构编制资源配置、构建机构编制法规制度体系，本着“不把历史遗留问题再留给历史”的原则，站在讲政治的高度，着力抓好行政编制超编问题专项整治工作，坚持“四子”工作法，探索推行的“七个一批”消超模式成为永州市各县市区行政编制消超的范本，蓝山在全省编办主任会议上作经验交流发言。</w:t>
      </w:r>
    </w:p>
    <w:p>
      <w:pPr>
        <w:pStyle w:val="4"/>
        <w:widowControl w:val="0"/>
        <w:numPr>
          <w:ilvl w:val="0"/>
          <w:numId w:val="5"/>
        </w:numPr>
        <w:adjustRightInd/>
        <w:snapToGrid/>
        <w:spacing w:after="0" w:line="560" w:lineRule="exact"/>
        <w:ind w:firstLine="64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政治引领、强化担当，精心组织实施，持续推动主题教育走深走实</w:t>
      </w:r>
    </w:p>
    <w:p>
      <w:pPr>
        <w:spacing w:line="560" w:lineRule="exact"/>
        <w:ind w:firstLine="640" w:firstLineChars="200"/>
        <w:jc w:val="both"/>
        <w:rPr>
          <w:rFonts w:ascii="仿宋_GB2312" w:eastAsia="仿宋_GB2312"/>
          <w:snapToGrid w:val="0"/>
          <w:color w:val="000000"/>
          <w:sz w:val="32"/>
          <w:szCs w:val="32"/>
        </w:rPr>
      </w:pPr>
      <w:r>
        <w:rPr>
          <w:rFonts w:hint="eastAsia" w:ascii="仿宋_GB2312" w:eastAsia="仿宋_GB2312"/>
          <w:snapToGrid w:val="0"/>
          <w:color w:val="000000"/>
          <w:sz w:val="32"/>
          <w:szCs w:val="32"/>
        </w:rPr>
        <w:t>自第二批主题教育启动以来，县委编办认真学习贯彻习近平总书记重要讲话精神，聚焦主题主线，突出实绩实效，坚持务实从严，有力有序推动主题教育落地落实、见行见效。</w:t>
      </w:r>
    </w:p>
    <w:p>
      <w:pPr>
        <w:widowControl w:val="0"/>
        <w:spacing w:line="560" w:lineRule="exact"/>
        <w:ind w:firstLine="643" w:firstLineChars="200"/>
        <w:jc w:val="both"/>
        <w:rPr>
          <w:rFonts w:ascii="仿宋_GB2312" w:eastAsia="仿宋_GB2312"/>
          <w:snapToGrid w:val="0"/>
          <w:color w:val="000000"/>
          <w:sz w:val="32"/>
          <w:szCs w:val="32"/>
        </w:rPr>
      </w:pPr>
      <w:r>
        <w:rPr>
          <w:rFonts w:hint="eastAsia" w:ascii="楷体" w:hAnsi="楷体" w:eastAsia="楷体" w:cs="楷体"/>
          <w:b/>
          <w:bCs/>
          <w:snapToGrid w:val="0"/>
          <w:color w:val="000000"/>
          <w:sz w:val="32"/>
          <w:szCs w:val="32"/>
        </w:rPr>
        <w:t>（一）突出深学精研，常补理想信念之“钙”。</w:t>
      </w:r>
      <w:r>
        <w:rPr>
          <w:rFonts w:hint="eastAsia" w:ascii="仿宋_GB2312" w:eastAsia="仿宋_GB2312"/>
          <w:snapToGrid w:val="0"/>
          <w:color w:val="000000"/>
          <w:sz w:val="32"/>
          <w:szCs w:val="32"/>
        </w:rPr>
        <w:t>始终把理论学习贯穿始终，将深入学习贯彻习近平新时代中国特色社会主义思想作为根本任务和鲜明主线。围绕夯实思想根基，深化</w:t>
      </w:r>
      <w:r>
        <w:rPr>
          <w:rFonts w:ascii="仿宋_GB2312" w:eastAsia="仿宋_GB2312"/>
          <w:snapToGrid w:val="0"/>
          <w:color w:val="000000"/>
          <w:sz w:val="32"/>
          <w:szCs w:val="32"/>
        </w:rPr>
        <w:t>“</w:t>
      </w:r>
      <w:r>
        <w:rPr>
          <w:rFonts w:hint="eastAsia" w:ascii="仿宋_GB2312" w:eastAsia="仿宋_GB2312"/>
          <w:snapToGrid w:val="0"/>
          <w:color w:val="000000"/>
          <w:sz w:val="32"/>
          <w:szCs w:val="32"/>
        </w:rPr>
        <w:t>第一议题</w:t>
      </w:r>
      <w:r>
        <w:rPr>
          <w:rFonts w:ascii="仿宋_GB2312" w:eastAsia="仿宋_GB2312"/>
          <w:snapToGrid w:val="0"/>
          <w:color w:val="000000"/>
          <w:sz w:val="32"/>
          <w:szCs w:val="32"/>
        </w:rPr>
        <w:t>”</w:t>
      </w:r>
      <w:r>
        <w:rPr>
          <w:rFonts w:hint="eastAsia" w:ascii="仿宋_GB2312" w:eastAsia="仿宋_GB2312"/>
          <w:snapToGrid w:val="0"/>
          <w:color w:val="000000"/>
          <w:sz w:val="32"/>
          <w:szCs w:val="32"/>
        </w:rPr>
        <w:t>制度，持续完善</w:t>
      </w:r>
      <w:r>
        <w:rPr>
          <w:rFonts w:ascii="仿宋_GB2312" w:eastAsia="仿宋_GB2312"/>
          <w:snapToGrid w:val="0"/>
          <w:color w:val="000000"/>
          <w:sz w:val="32"/>
          <w:szCs w:val="32"/>
        </w:rPr>
        <w:t>“</w:t>
      </w:r>
      <w:r>
        <w:rPr>
          <w:rFonts w:hint="eastAsia" w:ascii="仿宋_GB2312" w:eastAsia="仿宋_GB2312"/>
          <w:snapToGrid w:val="0"/>
          <w:color w:val="000000"/>
          <w:sz w:val="32"/>
          <w:szCs w:val="32"/>
        </w:rPr>
        <w:t>思想引领、学习在先</w:t>
      </w:r>
      <w:r>
        <w:rPr>
          <w:rFonts w:ascii="仿宋_GB2312" w:eastAsia="仿宋_GB2312"/>
          <w:snapToGrid w:val="0"/>
          <w:color w:val="000000"/>
          <w:sz w:val="32"/>
          <w:szCs w:val="32"/>
        </w:rPr>
        <w:t>”</w:t>
      </w:r>
      <w:r>
        <w:rPr>
          <w:rFonts w:hint="eastAsia" w:ascii="仿宋_GB2312" w:eastAsia="仿宋_GB2312"/>
          <w:snapToGrid w:val="0"/>
          <w:color w:val="000000"/>
          <w:sz w:val="32"/>
          <w:szCs w:val="32"/>
        </w:rPr>
        <w:t>机制，建立“</w:t>
      </w:r>
      <w:r>
        <w:rPr>
          <w:rFonts w:ascii="仿宋_GB2312" w:eastAsia="仿宋_GB2312"/>
          <w:snapToGrid w:val="0"/>
          <w:color w:val="000000"/>
          <w:sz w:val="32"/>
          <w:szCs w:val="32"/>
        </w:rPr>
        <w:t>1+1+N</w:t>
      </w:r>
      <w:r>
        <w:rPr>
          <w:rFonts w:hint="eastAsia" w:ascii="仿宋_GB2312" w:eastAsia="仿宋_GB2312"/>
          <w:snapToGrid w:val="0"/>
          <w:color w:val="000000"/>
          <w:sz w:val="32"/>
          <w:szCs w:val="32"/>
        </w:rPr>
        <w:t>”学习制度，组织原文精学、集中研学、班子深学、专题讲学、支部常学等</w:t>
      </w:r>
      <w:r>
        <w:rPr>
          <w:rFonts w:ascii="仿宋_GB2312" w:eastAsia="仿宋_GB2312"/>
          <w:snapToGrid w:val="0"/>
          <w:color w:val="000000"/>
          <w:sz w:val="32"/>
          <w:szCs w:val="32"/>
        </w:rPr>
        <w:t>“</w:t>
      </w:r>
      <w:r>
        <w:rPr>
          <w:rFonts w:hint="eastAsia" w:ascii="仿宋_GB2312" w:eastAsia="仿宋_GB2312"/>
          <w:snapToGrid w:val="0"/>
          <w:color w:val="000000"/>
          <w:sz w:val="32"/>
          <w:szCs w:val="32"/>
        </w:rPr>
        <w:t>五学</w:t>
      </w:r>
      <w:r>
        <w:rPr>
          <w:rFonts w:ascii="仿宋_GB2312" w:eastAsia="仿宋_GB2312"/>
          <w:snapToGrid w:val="0"/>
          <w:color w:val="000000"/>
          <w:sz w:val="32"/>
          <w:szCs w:val="32"/>
        </w:rPr>
        <w:t>”</w:t>
      </w:r>
      <w:r>
        <w:rPr>
          <w:rFonts w:hint="eastAsia" w:ascii="仿宋_GB2312" w:eastAsia="仿宋_GB2312"/>
          <w:snapToGrid w:val="0"/>
          <w:color w:val="000000"/>
          <w:sz w:val="32"/>
          <w:szCs w:val="32"/>
        </w:rPr>
        <w:t>活动，明确学习主题、重点学习内容和工作任务，推动主题教育理论学习落地落实。</w:t>
      </w:r>
    </w:p>
    <w:p>
      <w:pPr>
        <w:widowControl w:val="0"/>
        <w:spacing w:line="560" w:lineRule="exact"/>
        <w:ind w:firstLine="643" w:firstLineChars="200"/>
        <w:jc w:val="both"/>
        <w:rPr>
          <w:rFonts w:ascii="仿宋_GB2312" w:eastAsia="仿宋_GB2312"/>
          <w:snapToGrid w:val="0"/>
          <w:color w:val="000000"/>
          <w:sz w:val="32"/>
          <w:szCs w:val="32"/>
        </w:rPr>
      </w:pPr>
      <w:r>
        <w:rPr>
          <w:rFonts w:hint="eastAsia" w:ascii="楷体" w:hAnsi="楷体" w:eastAsia="楷体" w:cs="楷体"/>
          <w:b/>
          <w:bCs/>
          <w:snapToGrid w:val="0"/>
          <w:color w:val="000000"/>
          <w:sz w:val="32"/>
          <w:szCs w:val="32"/>
        </w:rPr>
        <w:t>（二）突出转化运用，常抓调查研究之“实”。</w:t>
      </w:r>
      <w:r>
        <w:rPr>
          <w:rFonts w:hint="eastAsia" w:ascii="仿宋_GB2312" w:eastAsia="仿宋_GB2312"/>
          <w:snapToGrid w:val="0"/>
          <w:color w:val="000000"/>
          <w:sz w:val="32"/>
          <w:szCs w:val="32"/>
        </w:rPr>
        <w:t>紧盯重点任务和时间节点，持续用力，扎实推动，切实把调研成果转化为推动高质量发展的实际成效。确定调研重点，每名班子成员坚持问题导向，精心设计调研课题，将解决基层多头多层重复执法、疾病预防控制体系不顺畅、机构编制违规违纪违法案件查处力度不大、机构编制管理基础数据不够精准等问题列为工作重点，立足职能职责，深入基层一线、走进服务对象，找准机构编制工作的切入点、结合点、突破点，体现推动高质量发展的新视角、新思路。</w:t>
      </w:r>
    </w:p>
    <w:p>
      <w:pPr>
        <w:widowControl w:val="0"/>
        <w:spacing w:line="560" w:lineRule="exact"/>
        <w:ind w:firstLine="643" w:firstLineChars="200"/>
        <w:jc w:val="both"/>
        <w:rPr>
          <w:rFonts w:ascii="仿宋_GB2312" w:eastAsia="仿宋_GB2312"/>
          <w:snapToGrid w:val="0"/>
          <w:color w:val="000000"/>
          <w:sz w:val="32"/>
          <w:szCs w:val="32"/>
        </w:rPr>
      </w:pPr>
      <w:r>
        <w:rPr>
          <w:rFonts w:ascii="楷体" w:hAnsi="楷体" w:eastAsia="楷体" w:cs="楷体"/>
          <w:b/>
          <w:bCs/>
          <w:snapToGrid w:val="0"/>
          <w:color w:val="000000"/>
          <w:sz w:val="32"/>
          <w:szCs w:val="32"/>
        </w:rPr>
        <w:t>(</w:t>
      </w:r>
      <w:r>
        <w:rPr>
          <w:rFonts w:hint="eastAsia" w:ascii="楷体" w:hAnsi="楷体" w:eastAsia="楷体" w:cs="楷体"/>
          <w:b/>
          <w:bCs/>
          <w:snapToGrid w:val="0"/>
          <w:color w:val="000000"/>
          <w:sz w:val="32"/>
          <w:szCs w:val="32"/>
        </w:rPr>
        <w:t>三</w:t>
      </w:r>
      <w:r>
        <w:rPr>
          <w:rFonts w:ascii="楷体" w:hAnsi="楷体" w:eastAsia="楷体" w:cs="楷体"/>
          <w:b/>
          <w:bCs/>
          <w:snapToGrid w:val="0"/>
          <w:color w:val="000000"/>
          <w:sz w:val="32"/>
          <w:szCs w:val="32"/>
        </w:rPr>
        <w:t>)</w:t>
      </w:r>
      <w:r>
        <w:rPr>
          <w:rFonts w:hint="eastAsia" w:ascii="楷体" w:hAnsi="楷体" w:eastAsia="楷体" w:cs="楷体"/>
          <w:b/>
          <w:bCs/>
          <w:snapToGrid w:val="0"/>
          <w:color w:val="000000"/>
          <w:sz w:val="32"/>
          <w:szCs w:val="32"/>
        </w:rPr>
        <w:t>突出结合融合，常练破解难题之“功”。</w:t>
      </w:r>
      <w:r>
        <w:rPr>
          <w:rFonts w:hint="eastAsia" w:ascii="仿宋_GB2312" w:eastAsia="仿宋_GB2312"/>
          <w:snapToGrid w:val="0"/>
          <w:color w:val="000000"/>
          <w:sz w:val="32"/>
          <w:szCs w:val="32"/>
        </w:rPr>
        <w:t>聚焦主责主业，主动精准做好体制机制和机构编制服务保障，提高运用科学理论解决实际问题的能力</w:t>
      </w:r>
      <w:r>
        <w:rPr>
          <w:rFonts w:ascii="仿宋_GB2312" w:eastAsia="仿宋_GB2312"/>
          <w:snapToGrid w:val="0"/>
          <w:color w:val="000000"/>
          <w:sz w:val="32"/>
          <w:szCs w:val="32"/>
        </w:rPr>
        <w:t>,</w:t>
      </w:r>
      <w:r>
        <w:rPr>
          <w:rFonts w:hint="eastAsia" w:ascii="仿宋_GB2312" w:eastAsia="仿宋_GB2312"/>
          <w:snapToGrid w:val="0"/>
          <w:color w:val="000000"/>
          <w:sz w:val="32"/>
          <w:szCs w:val="32"/>
        </w:rPr>
        <w:t>切实将深化实践活动作为主题教育重要内容抓实抓好抓出成效。注重把党中央、省委、市委和县委部署的专项整治同机构编制工作监督检查、调研发现的问题整改、群众反映强烈的问题整改结合起来，组织开展“巡视反馈问题”“条条干预问题”“机构编制违规违纪违法问题”等专项整治，研究制定改进措施，切实抓好整改落实。</w:t>
      </w:r>
    </w:p>
    <w:p>
      <w:pPr>
        <w:widowControl w:val="0"/>
        <w:adjustRightInd/>
        <w:snapToGrid/>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二、蹄疾步稳、有序有力，全力做好党政机构改革前期准备工作</w:t>
      </w:r>
    </w:p>
    <w:p>
      <w:pPr>
        <w:widowControl w:val="0"/>
        <w:adjustRightInd/>
        <w:snapToGrid/>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认真贯彻落实党的二十大和二十届二中全会关于深化党和国家机构改革的重大决策部署，蓝山县委编办充分发挥积极性和主动性，紧密结合工作实际，积极开展改革前期准备工作，全力以赴抓好新一轮党政机构改革的组织实施准备工作。</w:t>
      </w:r>
    </w:p>
    <w:p>
      <w:pPr>
        <w:widowControl w:val="0"/>
        <w:adjustRightInd/>
        <w:snapToGrid/>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snapToGrid w:val="0"/>
          <w:color w:val="000000"/>
          <w:sz w:val="32"/>
          <w:szCs w:val="32"/>
        </w:rPr>
        <w:t>（一）吃透政策，全面加强学习。</w:t>
      </w:r>
      <w:r>
        <w:rPr>
          <w:rFonts w:hint="eastAsia" w:ascii="仿宋_GB2312" w:hAnsi="仿宋_GB2312" w:eastAsia="仿宋_GB2312" w:cs="仿宋_GB2312"/>
          <w:color w:val="000000"/>
          <w:sz w:val="32"/>
          <w:szCs w:val="32"/>
        </w:rPr>
        <w:t>为做好党政机构改革工作，县委编办多次召开专题会议，认真学习</w:t>
      </w:r>
      <w:r>
        <w:rPr>
          <w:rFonts w:hint="eastAsia" w:ascii="仿宋_GB2312" w:hAnsi="仿宋_GB2312" w:eastAsia="仿宋_GB2312" w:cs="仿宋_GB2312"/>
          <w:color w:val="000000"/>
          <w:sz w:val="32"/>
          <w:szCs w:val="32"/>
          <w:shd w:val="clear" w:color="auto" w:fill="FFFFFF"/>
        </w:rPr>
        <w:t>党的二十大对深化机构改革作出的重要部署和党的二十届二中全会有关机构改革的重要内容，深刻领会改革的重大意义；</w:t>
      </w:r>
      <w:r>
        <w:rPr>
          <w:rFonts w:hint="eastAsia" w:ascii="仿宋_GB2312" w:hAnsi="仿宋_GB2312" w:eastAsia="仿宋_GB2312" w:cs="仿宋_GB2312"/>
          <w:color w:val="000000"/>
          <w:sz w:val="32"/>
          <w:szCs w:val="32"/>
        </w:rPr>
        <w:t>准确把握改革的指导思想、总体思路和目标任务，切实强化了机构编制工作人员对新一轮党政机构改革政策的理解和掌握能力，为做好本轮党政机构改革工作打下坚实的基础。</w:t>
      </w:r>
      <w:r>
        <w:rPr>
          <w:rFonts w:hint="eastAsia" w:ascii="仿宋_GB2312" w:hAnsi="仿宋_GB2312" w:eastAsia="仿宋_GB2312" w:cs="仿宋_GB2312"/>
          <w:color w:val="000000"/>
          <w:sz w:val="32"/>
          <w:szCs w:val="32"/>
          <w:shd w:val="clear" w:color="auto" w:fill="FFFFFF"/>
        </w:rPr>
        <w:t>积极对接上级机构编制部门，主动全面掌握改革相关信息，做到政策理解不偏差，政策执行不走样，准确把握新一轮党政机构改革方向。</w:t>
      </w:r>
    </w:p>
    <w:p>
      <w:pPr>
        <w:widowControl w:val="0"/>
        <w:adjustRightInd/>
        <w:snapToGrid/>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楷体" w:hAnsi="楷体" w:eastAsia="楷体" w:cs="楷体"/>
          <w:b/>
          <w:bCs/>
          <w:snapToGrid w:val="0"/>
          <w:color w:val="000000"/>
          <w:sz w:val="32"/>
          <w:szCs w:val="32"/>
        </w:rPr>
        <w:t>（二）摸清底数，全面梳理情况。</w:t>
      </w:r>
      <w:r>
        <w:rPr>
          <w:rFonts w:hint="eastAsia" w:ascii="仿宋_GB2312" w:hAnsi="仿宋_GB2312" w:eastAsia="仿宋_GB2312" w:cs="仿宋_GB2312"/>
          <w:color w:val="000000"/>
          <w:sz w:val="32"/>
          <w:szCs w:val="32"/>
          <w:shd w:val="clear" w:color="auto" w:fill="FFFFFF"/>
        </w:rPr>
        <w:t>坚持提早着手、因势而动，根据党中央确定的改革方向，深入开展调查研究，理清各部门机构设置、人员编制、领导职数配备实有情况，</w:t>
      </w:r>
      <w:r>
        <w:rPr>
          <w:rFonts w:hint="eastAsia" w:ascii="仿宋_GB2312" w:hAnsi="仿宋_GB2312" w:eastAsia="仿宋_GB2312" w:cs="仿宋_GB2312"/>
          <w:color w:val="000000"/>
          <w:sz w:val="32"/>
          <w:szCs w:val="32"/>
        </w:rPr>
        <w:t>建立涉改单位、涉改职责、涉改人员编制、改革建议台账，摸清目前在运行模式和管理体制中存在的主要问题，会同人社局和财政局全面清理各部门“财政供养名单”，准确了解掌握各部门实有人员及岗位分配情况，为改革提供真实、准确的参考依据，</w:t>
      </w:r>
      <w:r>
        <w:rPr>
          <w:rFonts w:hint="eastAsia" w:ascii="仿宋_GB2312" w:hAnsi="仿宋_GB2312" w:eastAsia="仿宋_GB2312" w:cs="仿宋_GB2312"/>
          <w:color w:val="000000"/>
          <w:sz w:val="32"/>
          <w:szCs w:val="32"/>
          <w:shd w:val="clear" w:color="auto" w:fill="FFFFFF"/>
        </w:rPr>
        <w:t>为科学制定方案、顺利推进全县党政机构改革打好坚实基础。</w:t>
      </w:r>
    </w:p>
    <w:p>
      <w:pPr>
        <w:widowControl w:val="0"/>
        <w:adjustRightInd/>
        <w:snapToGrid/>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napToGrid w:val="0"/>
          <w:color w:val="000000"/>
          <w:sz w:val="32"/>
          <w:szCs w:val="32"/>
        </w:rPr>
        <w:t>（三）统筹推进，全面分析研判。</w:t>
      </w:r>
      <w:r>
        <w:rPr>
          <w:rFonts w:hint="eastAsia" w:ascii="仿宋_GB2312" w:hAnsi="仿宋_GB2312" w:eastAsia="仿宋_GB2312" w:cs="仿宋_GB2312"/>
          <w:sz w:val="32"/>
          <w:szCs w:val="32"/>
        </w:rPr>
        <w:t>准确掌握改革时间和步骤，尽早筹划酝酿推进改革的思路，提早建立内部领导机制、运行机制、协调机制，紧扣中央和省、市委和县委部署，参照调研摸底情况，深入分析本轮机构改革政策热点和改革过程中可能面临的难点，提前思索商讨对策，研究提出符合政策导向、体现群众意愿的改革初步意见，做到心中有数、手中有策、行动有方。统筹推进各项改革，机构组建、职能调整、编制人员划转等工作尽量在机构改革中一并进行，降低行政成本，避免改革“翻烧饼”，确保党政机构改革稳妥有序推进。</w:t>
      </w:r>
    </w:p>
    <w:p>
      <w:pPr>
        <w:widowControl w:val="0"/>
        <w:adjustRightInd/>
        <w:snapToGrid/>
        <w:spacing w:line="560" w:lineRule="exact"/>
        <w:ind w:firstLine="643" w:firstLineChars="200"/>
        <w:rPr>
          <w:rFonts w:ascii="仿宋_GB2312" w:hAnsi="仿宋_GB2312" w:eastAsia="仿宋_GB2312" w:cs="仿宋_GB2312"/>
          <w:color w:val="000000"/>
          <w:sz w:val="32"/>
          <w:szCs w:val="32"/>
        </w:rPr>
      </w:pPr>
      <w:r>
        <w:rPr>
          <w:rFonts w:hint="eastAsia" w:ascii="楷体" w:hAnsi="楷体" w:eastAsia="楷体" w:cs="楷体"/>
          <w:b/>
          <w:bCs/>
          <w:snapToGrid w:val="0"/>
          <w:color w:val="000000"/>
          <w:sz w:val="32"/>
          <w:szCs w:val="32"/>
        </w:rPr>
        <w:t>（四）严守纪律，全面从严管理。</w:t>
      </w:r>
      <w:r>
        <w:rPr>
          <w:rFonts w:hint="eastAsia" w:ascii="仿宋_GB2312" w:hAnsi="仿宋_GB2312" w:eastAsia="仿宋_GB2312" w:cs="仿宋_GB2312"/>
          <w:color w:val="000000"/>
          <w:sz w:val="32"/>
          <w:szCs w:val="32"/>
        </w:rPr>
        <w:t>严格执行中央、省委、市委有关机构改革期间纪律要求，严格落实湖南省委贯彻执行机构改革纪律视频会议精神，对标成立严格贯彻执行机构改革纪律工作专班，党委（党组）主要负责同志认真履行第一责任人职责，坚持挺纪在前，严负其责、严管所辖，狠抓纪律执行。暂停审批机构编制新增或调整、暂停干部人事调整和人员调动，对涉及民生保障、安全稳定等重点用编，严格按照规定权限和程序报批后办理，工作中坚持政治纪律、组织纪律、机构编制纪律和保密纪律，以铁的纪律保障机构改革有序推进。</w:t>
      </w:r>
    </w:p>
    <w:p>
      <w:pPr>
        <w:widowControl w:val="0"/>
        <w:adjustRightInd/>
        <w:snapToGrid/>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三、先行先试、改革创新，率先完成行政编制消超任务</w:t>
      </w:r>
    </w:p>
    <w:p>
      <w:pPr>
        <w:pStyle w:val="4"/>
        <w:widowControl w:val="0"/>
        <w:adjustRightInd/>
        <w:snapToGrid/>
        <w:spacing w:after="0" w:line="560" w:lineRule="exact"/>
        <w:ind w:firstLine="643" w:firstLineChars="200"/>
        <w:rPr>
          <w:rFonts w:ascii="仿宋_GB2312" w:hAnsi="仿宋_GB2312" w:eastAsia="仿宋_GB2312" w:cs="仿宋_GB2312"/>
          <w:kern w:val="2"/>
          <w:sz w:val="32"/>
          <w:szCs w:val="32"/>
        </w:rPr>
      </w:pPr>
      <w:r>
        <w:rPr>
          <w:rFonts w:hint="eastAsia" w:ascii="楷体" w:hAnsi="楷体" w:eastAsia="楷体" w:cs="楷体"/>
          <w:b/>
          <w:bCs/>
          <w:snapToGrid w:val="0"/>
          <w:color w:val="000000"/>
          <w:kern w:val="2"/>
          <w:sz w:val="32"/>
          <w:szCs w:val="32"/>
        </w:rPr>
        <w:t>（一）提高站位，压实责任。</w:t>
      </w:r>
      <w:r>
        <w:rPr>
          <w:rFonts w:hint="eastAsia" w:ascii="仿宋_GB2312" w:hAnsi="仿宋_GB2312" w:eastAsia="仿宋_GB2312" w:cs="仿宋_GB2312"/>
          <w:b/>
          <w:bCs/>
          <w:kern w:val="2"/>
          <w:sz w:val="32"/>
          <w:szCs w:val="32"/>
        </w:rPr>
        <w:t>一是深化思想认识。</w:t>
      </w:r>
      <w:r>
        <w:rPr>
          <w:rFonts w:hint="eastAsia" w:ascii="仿宋_GB2312" w:hAnsi="仿宋_GB2312" w:eastAsia="仿宋_GB2312" w:cs="仿宋_GB2312"/>
          <w:kern w:val="2"/>
          <w:sz w:val="32"/>
          <w:szCs w:val="32"/>
        </w:rPr>
        <w:t>习近平总书记强调，机构编制资源是重要政治资源、执政资源，必须要把好钢用到刀刃上。蓝山县坚持把整治行政编制超编问题作为重要政治责任和头等大事，不推诿不回避不拖延，今年以来先后</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rPr>
        <w:t>次召开专题会议进行研究部署，并多次赴省、市两级机构编制部门请示汇报，了解掌握消超政策。</w:t>
      </w:r>
      <w:r>
        <w:rPr>
          <w:rFonts w:hint="eastAsia" w:ascii="仿宋_GB2312" w:hAnsi="仿宋_GB2312" w:eastAsia="仿宋_GB2312" w:cs="仿宋_GB2312"/>
          <w:b/>
          <w:bCs/>
          <w:kern w:val="2"/>
          <w:sz w:val="32"/>
          <w:szCs w:val="32"/>
        </w:rPr>
        <w:t>二是组建工作专班。</w:t>
      </w:r>
      <w:r>
        <w:rPr>
          <w:rFonts w:hint="eastAsia" w:ascii="仿宋_GB2312" w:hAnsi="仿宋_GB2312" w:eastAsia="仿宋_GB2312" w:cs="仿宋_GB2312"/>
          <w:kern w:val="2"/>
          <w:sz w:val="32"/>
          <w:szCs w:val="32"/>
        </w:rPr>
        <w:t>作为全省县直党政群行政编制超编率高的县市区之一，年底前全面完成消超任务，时间紧、任务重、压力大。县委第一时间抽调精干力量组成工作专班，实行统一管理、集中办公，确保各个环节有序衔接，不断档不掉链。</w:t>
      </w:r>
      <w:r>
        <w:rPr>
          <w:rFonts w:hint="eastAsia" w:ascii="仿宋_GB2312" w:hAnsi="仿宋_GB2312" w:eastAsia="仿宋_GB2312" w:cs="仿宋_GB2312"/>
          <w:b/>
          <w:bCs/>
          <w:kern w:val="2"/>
          <w:sz w:val="32"/>
          <w:szCs w:val="32"/>
        </w:rPr>
        <w:t>三是出台配套政策。</w:t>
      </w:r>
      <w:r>
        <w:rPr>
          <w:rFonts w:hint="eastAsia" w:ascii="仿宋_GB2312" w:hAnsi="仿宋_GB2312" w:eastAsia="仿宋_GB2312" w:cs="仿宋_GB2312"/>
          <w:kern w:val="2"/>
          <w:sz w:val="32"/>
          <w:szCs w:val="32"/>
        </w:rPr>
        <w:t>坚持全县上下“一盘棋”统筹，制定印发《蓝山县行政编制超编消化工作方案》，明确“四张清单”（问题清单、任务清单、责任清单、整改清单），并实行行政超编问题专项整治工作责任制</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明确各单位党委</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党组</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书记为第一责任人，做到各家孩子各家抱，各自耕好责任田，确保消超工作落实到位。</w:t>
      </w:r>
    </w:p>
    <w:p>
      <w:pPr>
        <w:pStyle w:val="4"/>
        <w:widowControl w:val="0"/>
        <w:adjustRightInd/>
        <w:snapToGrid/>
        <w:spacing w:after="0" w:line="560" w:lineRule="exact"/>
        <w:ind w:firstLine="643" w:firstLineChars="200"/>
        <w:rPr>
          <w:rFonts w:ascii="仿宋_GB2312" w:hAnsi="仿宋_GB2312" w:eastAsia="仿宋_GB2312" w:cs="仿宋_GB2312"/>
          <w:b/>
          <w:bCs/>
          <w:kern w:val="2"/>
          <w:sz w:val="32"/>
          <w:szCs w:val="32"/>
        </w:rPr>
      </w:pPr>
      <w:r>
        <w:rPr>
          <w:rFonts w:hint="eastAsia" w:ascii="楷体" w:hAnsi="楷体" w:eastAsia="楷体" w:cs="楷体"/>
          <w:b/>
          <w:bCs/>
          <w:snapToGrid w:val="0"/>
          <w:color w:val="000000"/>
          <w:kern w:val="2"/>
          <w:sz w:val="32"/>
          <w:szCs w:val="32"/>
        </w:rPr>
        <w:t>（二）迈稳步子，有序推进。</w:t>
      </w:r>
      <w:r>
        <w:rPr>
          <w:rFonts w:hint="eastAsia" w:ascii="仿宋_GB2312" w:hAnsi="仿宋_GB2312" w:eastAsia="仿宋_GB2312" w:cs="仿宋_GB2312"/>
          <w:b/>
          <w:bCs/>
          <w:kern w:val="2"/>
          <w:sz w:val="32"/>
          <w:szCs w:val="32"/>
        </w:rPr>
        <w:t>一是摸清底数。</w:t>
      </w:r>
      <w:r>
        <w:rPr>
          <w:rFonts w:hint="eastAsia" w:ascii="仿宋_GB2312" w:hAnsi="仿宋_GB2312" w:eastAsia="仿宋_GB2312" w:cs="仿宋_GB2312"/>
          <w:sz w:val="32"/>
          <w:szCs w:val="32"/>
        </w:rPr>
        <w:t>抽调人员组成</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个调研组，对相关</w:t>
      </w:r>
      <w:r>
        <w:rPr>
          <w:rStyle w:val="28"/>
          <w:rFonts w:hint="eastAsia" w:ascii="仿宋_GB2312" w:hAnsi="仿宋_GB2312" w:eastAsia="仿宋_GB2312" w:cs="仿宋_GB2312"/>
          <w:sz w:val="32"/>
          <w:szCs w:val="32"/>
        </w:rPr>
        <w:t>单位进行现场调研，逐人逐岗核对“干部名册、编制数及职数核定数”，准确掌握全县行政编制超编情况。经核实，全县党政群有</w:t>
      </w:r>
      <w:r>
        <w:rPr>
          <w:rStyle w:val="28"/>
          <w:rFonts w:ascii="仿宋_GB2312" w:hAnsi="仿宋_GB2312" w:eastAsia="仿宋_GB2312" w:cs="仿宋_GB2312"/>
          <w:sz w:val="32"/>
          <w:szCs w:val="32"/>
        </w:rPr>
        <w:t>25</w:t>
      </w:r>
      <w:r>
        <w:rPr>
          <w:rStyle w:val="28"/>
          <w:rFonts w:hint="eastAsia" w:ascii="仿宋_GB2312" w:hAnsi="仿宋_GB2312" w:eastAsia="仿宋_GB2312" w:cs="仿宋_GB2312"/>
          <w:sz w:val="32"/>
          <w:szCs w:val="32"/>
        </w:rPr>
        <w:t>个单位超编，共超编</w:t>
      </w:r>
      <w:r>
        <w:rPr>
          <w:rStyle w:val="28"/>
          <w:rFonts w:ascii="仿宋_GB2312" w:hAnsi="仿宋_GB2312" w:eastAsia="仿宋_GB2312" w:cs="仿宋_GB2312"/>
          <w:sz w:val="32"/>
          <w:szCs w:val="32"/>
        </w:rPr>
        <w:t>168</w:t>
      </w:r>
      <w:r>
        <w:rPr>
          <w:rStyle w:val="28"/>
          <w:rFonts w:hint="eastAsia" w:ascii="仿宋_GB2312" w:hAnsi="仿宋_GB2312" w:eastAsia="仿宋_GB2312" w:cs="仿宋_GB2312"/>
          <w:sz w:val="32"/>
          <w:szCs w:val="32"/>
        </w:rPr>
        <w:t>人，其中超编</w:t>
      </w:r>
      <w:r>
        <w:rPr>
          <w:rStyle w:val="28"/>
          <w:rFonts w:ascii="仿宋_GB2312" w:hAnsi="仿宋_GB2312" w:eastAsia="仿宋_GB2312" w:cs="仿宋_GB2312"/>
          <w:sz w:val="32"/>
          <w:szCs w:val="32"/>
        </w:rPr>
        <w:t>10</w:t>
      </w:r>
      <w:r>
        <w:rPr>
          <w:rStyle w:val="28"/>
          <w:rFonts w:hint="eastAsia" w:ascii="仿宋_GB2312" w:hAnsi="仿宋_GB2312" w:eastAsia="仿宋_GB2312" w:cs="仿宋_GB2312"/>
          <w:sz w:val="32"/>
          <w:szCs w:val="32"/>
        </w:rPr>
        <w:t>人以上的单位有</w:t>
      </w:r>
      <w:r>
        <w:rPr>
          <w:rStyle w:val="28"/>
          <w:rFonts w:ascii="仿宋_GB2312" w:hAnsi="仿宋_GB2312" w:eastAsia="仿宋_GB2312" w:cs="仿宋_GB2312"/>
          <w:sz w:val="32"/>
          <w:szCs w:val="32"/>
        </w:rPr>
        <w:t>8</w:t>
      </w:r>
      <w:r>
        <w:rPr>
          <w:rStyle w:val="28"/>
          <w:rFonts w:hint="eastAsia" w:ascii="仿宋_GB2312" w:hAnsi="仿宋_GB2312" w:eastAsia="仿宋_GB2312" w:cs="仿宋_GB2312"/>
          <w:sz w:val="32"/>
          <w:szCs w:val="32"/>
        </w:rPr>
        <w:t>个，占</w:t>
      </w:r>
      <w:r>
        <w:rPr>
          <w:rStyle w:val="28"/>
          <w:rFonts w:ascii="仿宋_GB2312" w:hAnsi="仿宋_GB2312" w:eastAsia="仿宋_GB2312" w:cs="仿宋_GB2312"/>
          <w:sz w:val="32"/>
          <w:szCs w:val="32"/>
        </w:rPr>
        <w:t>32%</w:t>
      </w:r>
      <w:r>
        <w:rPr>
          <w:rStyle w:val="28"/>
          <w:rFonts w:hint="eastAsia" w:ascii="仿宋_GB2312" w:hAnsi="仿宋_GB2312" w:eastAsia="仿宋_GB2312" w:cs="仿宋_GB2312"/>
          <w:sz w:val="32"/>
          <w:szCs w:val="32"/>
        </w:rPr>
        <w:t>。</w:t>
      </w:r>
      <w:r>
        <w:rPr>
          <w:rFonts w:hint="eastAsia" w:ascii="仿宋_GB2312" w:hAnsi="仿宋_GB2312" w:eastAsia="仿宋_GB2312" w:cs="仿宋_GB2312"/>
          <w:b/>
          <w:bCs/>
          <w:kern w:val="2"/>
          <w:sz w:val="32"/>
          <w:szCs w:val="32"/>
        </w:rPr>
        <w:t>二是精准施策。</w:t>
      </w:r>
      <w:r>
        <w:rPr>
          <w:rFonts w:hint="eastAsia" w:ascii="仿宋_GB2312" w:hAnsi="仿宋_GB2312" w:eastAsia="仿宋_GB2312" w:cs="仿宋_GB2312"/>
          <w:kern w:val="2"/>
          <w:sz w:val="32"/>
          <w:szCs w:val="32"/>
        </w:rPr>
        <w:t>综合考虑</w:t>
      </w:r>
      <w:r>
        <w:rPr>
          <w:rFonts w:ascii="仿宋_GB2312" w:hAnsi="仿宋_GB2312" w:eastAsia="仿宋_GB2312" w:cs="仿宋_GB2312"/>
          <w:kern w:val="2"/>
          <w:sz w:val="32"/>
          <w:szCs w:val="32"/>
        </w:rPr>
        <w:t>25</w:t>
      </w:r>
      <w:r>
        <w:rPr>
          <w:rFonts w:hint="eastAsia" w:ascii="仿宋_GB2312" w:hAnsi="仿宋_GB2312" w:eastAsia="仿宋_GB2312" w:cs="仿宋_GB2312"/>
          <w:kern w:val="2"/>
          <w:sz w:val="32"/>
          <w:szCs w:val="32"/>
        </w:rPr>
        <w:t>个超编单位编制底数、超编人员、超编原因等情况，精准制定消超计划，明确消超时间、消超方式，做到一单位一方案。</w:t>
      </w:r>
      <w:r>
        <w:rPr>
          <w:rFonts w:hint="eastAsia" w:ascii="仿宋_GB2312" w:hAnsi="仿宋_GB2312" w:eastAsia="仿宋_GB2312" w:cs="仿宋_GB2312"/>
          <w:sz w:val="32"/>
          <w:szCs w:val="32"/>
        </w:rPr>
        <w:t>坚持党管干部原则，</w:t>
      </w:r>
      <w:r>
        <w:rPr>
          <w:rFonts w:hint="eastAsia" w:ascii="仿宋_GB2312" w:hAnsi="仿宋_GB2312" w:eastAsia="仿宋_GB2312" w:cs="仿宋_GB2312"/>
          <w:kern w:val="2"/>
          <w:sz w:val="32"/>
          <w:szCs w:val="32"/>
        </w:rPr>
        <w:t>采取“个人提出书面申请</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单位党委（党组）出具推荐意见</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编委会或常委会决策”方式，</w:t>
      </w:r>
      <w:r>
        <w:rPr>
          <w:rFonts w:hint="eastAsia" w:ascii="仿宋_GB2312" w:hAnsi="仿宋_GB2312" w:eastAsia="仿宋_GB2312" w:cs="仿宋_GB2312"/>
          <w:sz w:val="32"/>
          <w:szCs w:val="32"/>
        </w:rPr>
        <w:t>兼顾工作需要和个人意愿，</w:t>
      </w:r>
      <w:r>
        <w:rPr>
          <w:rFonts w:hint="eastAsia" w:ascii="仿宋_GB2312" w:hAnsi="仿宋_GB2312" w:eastAsia="仿宋_GB2312" w:cs="仿宋_GB2312"/>
          <w:kern w:val="2"/>
          <w:sz w:val="32"/>
          <w:szCs w:val="32"/>
        </w:rPr>
        <w:t>稳妥推进消超工作。</w:t>
      </w:r>
      <w:r>
        <w:rPr>
          <w:rFonts w:hint="eastAsia" w:ascii="仿宋_GB2312" w:hAnsi="仿宋_GB2312" w:eastAsia="仿宋_GB2312" w:cs="仿宋_GB2312"/>
          <w:b/>
          <w:bCs/>
          <w:kern w:val="2"/>
          <w:sz w:val="32"/>
          <w:szCs w:val="32"/>
        </w:rPr>
        <w:t>三是正确引导。</w:t>
      </w:r>
      <w:r>
        <w:rPr>
          <w:rFonts w:hint="eastAsia" w:ascii="仿宋_GB2312" w:hAnsi="仿宋_GB2312" w:eastAsia="仿宋_GB2312" w:cs="仿宋_GB2312"/>
          <w:sz w:val="32"/>
          <w:szCs w:val="32"/>
        </w:rPr>
        <w:t>用好用活“谈心谈话”这一法宝，广泛听取消超对象意见建议，破除“消超干部是累赘”等思想误区，解开干部心结，让干部理解消超、支持消超、主动配合消超。目前，共有</w:t>
      </w:r>
      <w:r>
        <w:rPr>
          <w:rFonts w:ascii="仿宋_GB2312" w:hAnsi="仿宋_GB2312" w:eastAsia="仿宋_GB2312" w:cs="仿宋_GB2312"/>
          <w:sz w:val="32"/>
          <w:szCs w:val="32"/>
        </w:rPr>
        <w:t>121</w:t>
      </w:r>
      <w:r>
        <w:rPr>
          <w:rFonts w:hint="eastAsia" w:ascii="仿宋_GB2312" w:hAnsi="仿宋_GB2312" w:eastAsia="仿宋_GB2312" w:cs="仿宋_GB2312"/>
          <w:sz w:val="32"/>
          <w:szCs w:val="32"/>
        </w:rPr>
        <w:t>人主动申请调整到参公单位及综合行政执法单位，没有发生一例因消超引起的上访或负面网络舆情。</w:t>
      </w:r>
    </w:p>
    <w:p>
      <w:pPr>
        <w:widowControl w:val="0"/>
        <w:adjustRightInd/>
        <w:spacing w:line="560" w:lineRule="exact"/>
        <w:ind w:firstLine="643" w:firstLineChars="200"/>
        <w:rPr>
          <w:rFonts w:ascii="仿宋_GB2312" w:hAnsi="仿宋_GB2312" w:eastAsia="仿宋_GB2312" w:cs="仿宋_GB2312"/>
          <w:spacing w:val="-6"/>
          <w:sz w:val="32"/>
          <w:szCs w:val="32"/>
        </w:rPr>
      </w:pPr>
      <w:r>
        <w:rPr>
          <w:rFonts w:hint="eastAsia" w:ascii="楷体" w:hAnsi="楷体" w:eastAsia="楷体" w:cs="楷体"/>
          <w:b/>
          <w:bCs/>
          <w:snapToGrid w:val="0"/>
          <w:color w:val="000000"/>
          <w:sz w:val="32"/>
          <w:szCs w:val="32"/>
        </w:rPr>
        <w:t>（三）拓宽渠道，开好消超“方子”。</w:t>
      </w:r>
      <w:r>
        <w:rPr>
          <w:rFonts w:hint="eastAsia" w:ascii="仿宋_GB2312" w:hAnsi="仿宋_GB2312" w:eastAsia="仿宋_GB2312" w:cs="仿宋_GB2312"/>
          <w:spacing w:val="-6"/>
          <w:sz w:val="32"/>
          <w:szCs w:val="32"/>
        </w:rPr>
        <w:t>积极畅通“七个一批”渠道，即引导下乡交流一批、参公事业单位分流一批、执法机构转隶一批、执行退休政策减员一批、事业单位分流一批、行政编制置换一批、严肃纪律规范一批，推动消超工作落到实处。</w:t>
      </w:r>
      <w:r>
        <w:rPr>
          <w:rFonts w:hint="eastAsia" w:ascii="仿宋_GB2312" w:hAnsi="仿宋_GB2312" w:eastAsia="仿宋_GB2312" w:cs="仿宋_GB2312"/>
          <w:b/>
          <w:bCs/>
          <w:spacing w:val="-6"/>
          <w:sz w:val="32"/>
          <w:szCs w:val="32"/>
        </w:rPr>
        <w:t>一是“减上补下”分流。</w:t>
      </w:r>
      <w:r>
        <w:rPr>
          <w:rFonts w:hint="eastAsia" w:ascii="仿宋_GB2312" w:hAnsi="仿宋_GB2312" w:eastAsia="仿宋_GB2312" w:cs="仿宋_GB2312"/>
          <w:spacing w:val="-6"/>
          <w:sz w:val="32"/>
          <w:szCs w:val="32"/>
        </w:rPr>
        <w:t>管好用活机构编制资源，充分利用乡镇还有空余编制和职级职数的空间，大力推进“减上补下”，引导广大党员干部充实乡镇力量，共有</w:t>
      </w:r>
      <w:r>
        <w:rPr>
          <w:rFonts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rPr>
        <w:t>批</w:t>
      </w:r>
      <w:r>
        <w:rPr>
          <w:rFonts w:ascii="仿宋_GB2312" w:hAnsi="仿宋_GB2312" w:eastAsia="仿宋_GB2312" w:cs="仿宋_GB2312"/>
          <w:spacing w:val="-6"/>
          <w:sz w:val="32"/>
          <w:szCs w:val="32"/>
        </w:rPr>
        <w:t>21</w:t>
      </w:r>
      <w:r>
        <w:rPr>
          <w:rFonts w:hint="eastAsia" w:ascii="仿宋_GB2312" w:hAnsi="仿宋_GB2312" w:eastAsia="仿宋_GB2312" w:cs="仿宋_GB2312"/>
          <w:spacing w:val="-6"/>
          <w:sz w:val="32"/>
          <w:szCs w:val="32"/>
        </w:rPr>
        <w:t>名干部响应号召，分流到乡镇充实基层力量，主动到乡村振兴一线“大显身手”。</w:t>
      </w:r>
      <w:r>
        <w:rPr>
          <w:rFonts w:hint="eastAsia" w:ascii="仿宋_GB2312" w:hAnsi="仿宋_GB2312" w:eastAsia="仿宋_GB2312" w:cs="仿宋_GB2312"/>
          <w:b/>
          <w:bCs/>
          <w:spacing w:val="-6"/>
          <w:sz w:val="32"/>
          <w:szCs w:val="32"/>
        </w:rPr>
        <w:t>二是“只出不进”限流。</w:t>
      </w:r>
      <w:r>
        <w:rPr>
          <w:rFonts w:hint="eastAsia" w:ascii="仿宋_GB2312" w:hAnsi="仿宋_GB2312" w:eastAsia="仿宋_GB2312" w:cs="仿宋_GB2312"/>
          <w:spacing w:val="-6"/>
          <w:sz w:val="32"/>
          <w:szCs w:val="32"/>
        </w:rPr>
        <w:t>超编单位实行“只出不进”，鼓励超编行政单位优秀年轻干部交流到事业单位任职。同时，充分考虑干部的年龄结构、专业特长、经验阅历等因素，将县直党政群机关</w:t>
      </w:r>
      <w:r>
        <w:rPr>
          <w:rFonts w:ascii="仿宋_GB2312" w:hAnsi="仿宋_GB2312" w:eastAsia="仿宋_GB2312" w:cs="仿宋_GB2312"/>
          <w:spacing w:val="-6"/>
          <w:sz w:val="32"/>
          <w:szCs w:val="32"/>
        </w:rPr>
        <w:t>68</w:t>
      </w:r>
      <w:r>
        <w:rPr>
          <w:rFonts w:hint="eastAsia" w:ascii="仿宋_GB2312" w:hAnsi="仿宋_GB2312" w:eastAsia="仿宋_GB2312" w:cs="仿宋_GB2312"/>
          <w:spacing w:val="-6"/>
          <w:sz w:val="32"/>
          <w:szCs w:val="32"/>
        </w:rPr>
        <w:t>人调整到有余编的参公事业单位或综合行政执法队伍。</w:t>
      </w:r>
      <w:r>
        <w:rPr>
          <w:rFonts w:hint="eastAsia" w:ascii="仿宋_GB2312" w:hAnsi="仿宋_GB2312" w:eastAsia="仿宋_GB2312" w:cs="仿宋_GB2312"/>
          <w:b/>
          <w:bCs/>
          <w:spacing w:val="-6"/>
          <w:sz w:val="32"/>
          <w:szCs w:val="32"/>
        </w:rPr>
        <w:t>三是“自愿退出”导流。</w:t>
      </w:r>
      <w:r>
        <w:rPr>
          <w:rFonts w:hint="eastAsia" w:ascii="仿宋_GB2312" w:hAnsi="仿宋_GB2312" w:eastAsia="仿宋_GB2312" w:cs="仿宋_GB2312"/>
          <w:spacing w:val="-6"/>
          <w:sz w:val="32"/>
          <w:szCs w:val="32"/>
        </w:rPr>
        <w:t>定期梳理全县行政人员年龄结构，提前掌握行政“准退休”人员数，做好考量谋划。严格执行到龄退休制度，鼓励提前退休，共消化行政超编</w:t>
      </w:r>
      <w:r>
        <w:rPr>
          <w:rFonts w:ascii="仿宋_GB2312" w:hAnsi="仿宋_GB2312" w:eastAsia="仿宋_GB2312" w:cs="仿宋_GB2312"/>
          <w:spacing w:val="-6"/>
          <w:sz w:val="32"/>
          <w:szCs w:val="32"/>
        </w:rPr>
        <w:t>41</w:t>
      </w:r>
      <w:r>
        <w:rPr>
          <w:rFonts w:hint="eastAsia" w:ascii="仿宋_GB2312" w:hAnsi="仿宋_GB2312" w:eastAsia="仿宋_GB2312" w:cs="仿宋_GB2312"/>
          <w:spacing w:val="-6"/>
          <w:sz w:val="32"/>
          <w:szCs w:val="32"/>
        </w:rPr>
        <w:t>人。</w:t>
      </w:r>
    </w:p>
    <w:p>
      <w:pPr>
        <w:widowControl w:val="0"/>
        <w:adjustRightInd/>
        <w:spacing w:line="560" w:lineRule="exact"/>
        <w:ind w:firstLine="643" w:firstLineChars="200"/>
        <w:rPr>
          <w:rFonts w:ascii="仿宋_GB2312" w:hAnsi="仿宋_GB2312" w:eastAsia="仿宋_GB2312" w:cs="仿宋_GB2312"/>
          <w:kern w:val="2"/>
          <w:sz w:val="32"/>
          <w:szCs w:val="32"/>
        </w:rPr>
      </w:pPr>
      <w:r>
        <w:rPr>
          <w:rFonts w:hint="eastAsia" w:ascii="楷体" w:hAnsi="楷体" w:eastAsia="楷体" w:cs="楷体"/>
          <w:b/>
          <w:bCs/>
          <w:snapToGrid w:val="0"/>
          <w:color w:val="000000"/>
          <w:sz w:val="32"/>
          <w:szCs w:val="32"/>
        </w:rPr>
        <w:t>（四）规范管理，形成长效。</w:t>
      </w:r>
      <w:r>
        <w:rPr>
          <w:rFonts w:hint="eastAsia" w:ascii="仿宋_GB2312" w:hAnsi="仿宋_GB2312" w:eastAsia="仿宋_GB2312" w:cs="仿宋_GB2312"/>
          <w:b/>
          <w:bCs/>
          <w:kern w:val="2"/>
          <w:sz w:val="32"/>
          <w:szCs w:val="32"/>
        </w:rPr>
        <w:t>一是完善制度。</w:t>
      </w:r>
      <w:r>
        <w:rPr>
          <w:rFonts w:hint="eastAsia" w:ascii="仿宋_GB2312" w:hAnsi="仿宋_GB2312" w:eastAsia="仿宋_GB2312" w:cs="仿宋_GB2312"/>
          <w:spacing w:val="-6"/>
          <w:sz w:val="32"/>
          <w:szCs w:val="32"/>
        </w:rPr>
        <w:t>坚持“当下改”与“长久立”相结合，着眼长远建立健全编制使用核准制度、干部职数预审制度、全程纪实制度、特殊情况事前报告制度，对干部选拔任用提前预审、严格把关，健全防范超编长效机制，有效杜绝行政超编问题反弹。</w:t>
      </w:r>
      <w:r>
        <w:rPr>
          <w:rFonts w:hint="eastAsia" w:ascii="仿宋_GB2312" w:hAnsi="仿宋_GB2312" w:eastAsia="仿宋_GB2312" w:cs="仿宋_GB2312"/>
          <w:b/>
          <w:bCs/>
          <w:kern w:val="2"/>
          <w:sz w:val="32"/>
          <w:szCs w:val="32"/>
        </w:rPr>
        <w:t>二是严肃纪律。</w:t>
      </w:r>
      <w:r>
        <w:rPr>
          <w:rFonts w:hint="eastAsia" w:ascii="仿宋_GB2312" w:hAnsi="仿宋_GB2312" w:eastAsia="仿宋_GB2312" w:cs="仿宋_GB2312"/>
          <w:sz w:val="32"/>
          <w:szCs w:val="32"/>
        </w:rPr>
        <w:t>进一步严肃干部人事纪律，严格落实“三个一律”，即一律暂停审核县直单位新招录公务员计划，一律暂停调任公务员至县直单位，一律暂停乡镇公务员单向调整至县直机关。</w:t>
      </w:r>
      <w:r>
        <w:rPr>
          <w:rFonts w:hint="eastAsia" w:ascii="仿宋_GB2312" w:hAnsi="仿宋_GB2312" w:eastAsia="仿宋_GB2312" w:cs="仿宋_GB2312"/>
          <w:b/>
          <w:bCs/>
          <w:kern w:val="2"/>
          <w:sz w:val="32"/>
          <w:szCs w:val="32"/>
        </w:rPr>
        <w:t>三是强化督查。</w:t>
      </w:r>
      <w:r>
        <w:rPr>
          <w:rFonts w:hint="eastAsia" w:ascii="仿宋_GB2312" w:hAnsi="仿宋_GB2312" w:eastAsia="仿宋_GB2312" w:cs="仿宋_GB2312"/>
          <w:kern w:val="2"/>
          <w:sz w:val="32"/>
          <w:szCs w:val="32"/>
        </w:rPr>
        <w:t>组织、编制、巡察等部门加强协作配合</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kern w:val="2"/>
          <w:sz w:val="32"/>
          <w:szCs w:val="32"/>
        </w:rPr>
        <w:t>充分发挥机构编制监督检查职能作用，以问题为导向，对全县各部门机构编制情况进行监督检查，同时将机构编制工作纳入县委巡察、绩效考核、党建述职的重要内容，对机构编制违纪违法违规行为进行严肃问责。</w:t>
      </w:r>
    </w:p>
    <w:p>
      <w:pPr>
        <w:widowControl w:val="0"/>
        <w:adjustRightInd/>
        <w:snapToGrid/>
        <w:spacing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四、积极探索、突出重点，强力推进重要领域体制改革</w:t>
      </w:r>
    </w:p>
    <w:p>
      <w:pPr>
        <w:widowControl w:val="0"/>
        <w:adjustRightInd/>
        <w:snapToGrid/>
        <w:spacing w:line="560" w:lineRule="exact"/>
        <w:ind w:firstLine="643" w:firstLineChars="200"/>
        <w:jc w:val="both"/>
        <w:rPr>
          <w:rFonts w:ascii="仿宋_GB2312" w:hAnsi="仿宋_GB2312" w:eastAsia="仿宋_GB2312" w:cs="仿宋_GB2312"/>
          <w:sz w:val="32"/>
          <w:szCs w:val="32"/>
        </w:rPr>
      </w:pPr>
      <w:r>
        <w:rPr>
          <w:rFonts w:hint="eastAsia" w:ascii="楷体" w:hAnsi="楷体" w:eastAsia="楷体" w:cs="楷体"/>
          <w:b/>
          <w:bCs/>
          <w:snapToGrid w:val="0"/>
          <w:color w:val="000000"/>
          <w:sz w:val="32"/>
          <w:szCs w:val="32"/>
        </w:rPr>
        <w:t>（一）持续推进综合行政执法改革。</w:t>
      </w:r>
      <w:r>
        <w:rPr>
          <w:rFonts w:hint="eastAsia" w:ascii="仿宋_GB2312" w:hAnsi="仿宋_GB2312" w:eastAsia="仿宋_GB2312" w:cs="仿宋_GB2312"/>
          <w:color w:val="000000"/>
          <w:sz w:val="32"/>
          <w:szCs w:val="32"/>
        </w:rPr>
        <w:t>根据省、市部署安排，按照一个领域最多一支执法队伍的原则，统筹配置行政执法职能和执法资源，减少执法队伍种类，加快推进生态环保、文化市场、交通运输、农业、市场监管、城市管理领域等“六大领域”及应急管理等综合执法改革工作。为扎实有效推进我县综合行政执法体制改革工作，紧扣权责一致、精简高效原则，以职能整合、机构整合、力量整合为抓手，坚持问题导向，统筹兼顾，有序推进我县综合行政执法体制改革工作。</w:t>
      </w:r>
      <w:r>
        <w:rPr>
          <w:rFonts w:hint="eastAsia" w:ascii="仿宋_GB2312" w:hAnsi="仿宋_GB2312" w:eastAsia="仿宋_GB2312" w:cs="仿宋_GB2312"/>
          <w:sz w:val="32"/>
          <w:szCs w:val="32"/>
        </w:rPr>
        <w:t>制定了蓝山县应急管理综合行政执法大队三定方案，较好完成蓝山县应急管理综合行政执法改革，为全县应急管理工作提供体制机制、人员编制保障。</w:t>
      </w:r>
    </w:p>
    <w:p>
      <w:pPr>
        <w:widowControl w:val="0"/>
        <w:adjustRightInd/>
        <w:snapToGrid/>
        <w:spacing w:line="560" w:lineRule="exact"/>
        <w:ind w:firstLine="643" w:firstLineChars="200"/>
        <w:jc w:val="both"/>
        <w:rPr>
          <w:rFonts w:ascii="仿宋_GB2312" w:hAnsi="仿宋_GB2312" w:eastAsia="仿宋_GB2312" w:cs="仿宋_GB2312"/>
          <w:sz w:val="32"/>
          <w:szCs w:val="32"/>
        </w:rPr>
      </w:pPr>
      <w:r>
        <w:rPr>
          <w:rFonts w:ascii="楷体" w:hAnsi="楷体" w:eastAsia="楷体" w:cs="楷体"/>
          <w:b/>
          <w:bCs/>
          <w:snapToGrid w:val="0"/>
          <w:color w:val="000000"/>
          <w:sz w:val="32"/>
          <w:szCs w:val="32"/>
        </w:rPr>
        <w:t>(</w:t>
      </w:r>
      <w:r>
        <w:rPr>
          <w:rFonts w:hint="eastAsia" w:ascii="楷体" w:hAnsi="楷体" w:eastAsia="楷体" w:cs="楷体"/>
          <w:b/>
          <w:bCs/>
          <w:snapToGrid w:val="0"/>
          <w:color w:val="000000"/>
          <w:sz w:val="32"/>
          <w:szCs w:val="32"/>
        </w:rPr>
        <w:t>二）推进疾控体制改革。</w:t>
      </w:r>
      <w:r>
        <w:rPr>
          <w:rFonts w:hint="eastAsia" w:ascii="仿宋_GB2312" w:hAnsi="仿宋_GB2312" w:eastAsia="仿宋_GB2312" w:cs="仿宋_GB2312"/>
          <w:sz w:val="32"/>
          <w:szCs w:val="32"/>
        </w:rPr>
        <w:t>根据省、市要求，为全县疾病预防控制提供体制机制保障，较好完成了全县疾病预防控制体系改革有关工作，相关机构编制事项调整文件待审定印发。</w:t>
      </w:r>
    </w:p>
    <w:p>
      <w:pPr>
        <w:widowControl w:val="0"/>
        <w:adjustRightInd/>
        <w:snapToGrid/>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napToGrid w:val="0"/>
          <w:color w:val="000000"/>
          <w:sz w:val="32"/>
          <w:szCs w:val="32"/>
        </w:rPr>
        <w:t>（三）助力医共体改革。</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针对医共体与基层医疗机构人员编制不一致、统筹使用困难的现实问题，探索实行编制“总量控制、分类核定、统筹使用”一体化管理模式，由医共体总院负责全县医务人员的统筹调配、日常使用、管理考核等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县级公立医院按照床位和编制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的比例，在原有事业编制的基础上核定编制总量；乡镇卫生院按照编制与人口</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‰的比例核定事业编制，医共体编制总量实行动态管理，原则上每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年核定一次。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探索推行“县管乡用”、“乡聘村用”，建立起能上能下、能进能出的良性人才流动机制，打通医共体内部人员双向流动的通道，鼓励优秀人才下沉到基层指导帮扶，有效充实壮大全县医疗卫生人才队伍。</w:t>
      </w:r>
    </w:p>
    <w:p>
      <w:pPr>
        <w:widowControl w:val="0"/>
        <w:adjustRightInd/>
        <w:snapToGrid/>
        <w:spacing w:line="560" w:lineRule="exact"/>
        <w:ind w:firstLine="640" w:firstLineChars="200"/>
        <w:jc w:val="both"/>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五、规范管理、调优用活，稳步推进机构编制管理</w:t>
      </w:r>
    </w:p>
    <w:p>
      <w:pPr>
        <w:widowControl w:val="0"/>
        <w:adjustRightInd/>
        <w:snapToGrid/>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napToGrid w:val="0"/>
          <w:color w:val="000000"/>
          <w:sz w:val="32"/>
          <w:szCs w:val="32"/>
        </w:rPr>
        <w:t>（一）提升机构编制保障效能。</w:t>
      </w:r>
      <w:r>
        <w:rPr>
          <w:rFonts w:hint="eastAsia" w:ascii="仿宋_GB2312" w:hAnsi="Calibri" w:eastAsia="仿宋_GB2312" w:cs="方正仿宋_GBK"/>
          <w:bCs/>
          <w:kern w:val="2"/>
          <w:sz w:val="32"/>
          <w:szCs w:val="32"/>
        </w:rPr>
        <w:t>强化机构编制管理主责主业，坚持优化协同高效的原则，创新思路，提高效率，管住用好编制资源，</w:t>
      </w:r>
      <w:r>
        <w:rPr>
          <w:rFonts w:hint="eastAsia" w:ascii="仿宋_GB2312" w:hAnsi="仿宋_GB2312" w:eastAsia="仿宋_GB2312" w:cs="仿宋_GB2312"/>
          <w:sz w:val="32"/>
          <w:szCs w:val="32"/>
        </w:rPr>
        <w:t>今年以来，县委编办配合县委组织部重新申报认定参公单位，通过调整机构编制和人员，使我县申报的</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个单位成功认定参公。</w:t>
      </w:r>
      <w:r>
        <w:rPr>
          <w:rFonts w:hint="eastAsia" w:ascii="仿宋" w:hAnsi="仿宋" w:eastAsia="仿宋" w:cs="仿宋"/>
          <w:color w:val="000000"/>
          <w:sz w:val="32"/>
          <w:szCs w:val="32"/>
          <w:shd w:val="clear" w:color="auto" w:fill="FFFFFF"/>
        </w:rPr>
        <w:t>按照“控制总量，盘活存量，增减结合，动态调整”的原则，充分发挥职能作用，通过动态调整和创新管理方式，</w:t>
      </w:r>
      <w:r>
        <w:rPr>
          <w:rFonts w:hint="eastAsia" w:ascii="仿宋_GB2312" w:hAnsi="仿宋_GB2312" w:eastAsia="仿宋_GB2312" w:cs="仿宋_GB2312"/>
          <w:sz w:val="32"/>
          <w:szCs w:val="32"/>
        </w:rPr>
        <w:t>完成公务员招录用编计划</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名，其中乡镇财政所</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人，乡镇机关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人，核准教师招聘用编计划</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名、人才引进用编计划</w:t>
      </w:r>
      <w:r>
        <w:rPr>
          <w:rFonts w:ascii="仿宋_GB2312" w:hAnsi="仿宋_GB2312" w:eastAsia="仿宋_GB2312" w:cs="仿宋_GB2312"/>
          <w:sz w:val="32"/>
          <w:szCs w:val="32"/>
        </w:rPr>
        <w:t>43</w:t>
      </w:r>
      <w:r>
        <w:rPr>
          <w:rFonts w:hint="eastAsia" w:ascii="仿宋_GB2312" w:hAnsi="仿宋_GB2312" w:eastAsia="仿宋_GB2312" w:cs="仿宋_GB2312"/>
          <w:sz w:val="32"/>
          <w:szCs w:val="32"/>
        </w:rPr>
        <w:t>名、事业单位公开招聘用编计划</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名。</w:t>
      </w:r>
    </w:p>
    <w:p>
      <w:pPr>
        <w:widowControl w:val="0"/>
        <w:adjustRightInd/>
        <w:snapToGrid/>
        <w:spacing w:line="560" w:lineRule="exact"/>
        <w:ind w:firstLine="643" w:firstLineChars="200"/>
        <w:rPr>
          <w:rFonts w:ascii="仿宋_GB2312" w:eastAsia="仿宋_GB2312"/>
          <w:sz w:val="32"/>
          <w:szCs w:val="32"/>
        </w:rPr>
      </w:pPr>
      <w:r>
        <w:rPr>
          <w:rFonts w:hint="eastAsia" w:ascii="楷体" w:hAnsi="楷体" w:eastAsia="楷体" w:cs="楷体"/>
          <w:b/>
          <w:bCs/>
          <w:snapToGrid w:val="0"/>
          <w:color w:val="000000"/>
          <w:sz w:val="32"/>
          <w:szCs w:val="32"/>
        </w:rPr>
        <w:t>（二）着力优化资源配置。</w:t>
      </w:r>
      <w:r>
        <w:rPr>
          <w:rFonts w:hint="eastAsia" w:ascii="仿宋_GB2312" w:hAnsi="仿宋_GB2312" w:eastAsia="仿宋_GB2312" w:cs="仿宋_GB2312"/>
          <w:sz w:val="32"/>
          <w:szCs w:val="32"/>
        </w:rPr>
        <w:t>制定了蓝山县应急管理综合行政执法大队三定方案，较好完成蓝山县应急管理综合行政执法改革，为全县应急管理工作提供体制机制、人员编制保障。对蓝山</w:t>
      </w:r>
      <w:r>
        <w:rPr>
          <w:rFonts w:hint="eastAsia" w:ascii="仿宋_GB2312" w:eastAsia="仿宋_GB2312"/>
          <w:sz w:val="32"/>
          <w:szCs w:val="32"/>
        </w:rPr>
        <w:t>县财政局及乡镇财政所有关机构编制进行了调整，有效优化县财政局机构设置。</w:t>
      </w:r>
    </w:p>
    <w:p>
      <w:pPr>
        <w:pStyle w:val="10"/>
        <w:adjustRightInd/>
        <w:snapToGrid/>
        <w:spacing w:beforeAutospacing="0" w:afterAutospacing="0" w:line="560" w:lineRule="exact"/>
        <w:ind w:firstLine="643" w:firstLineChars="200"/>
        <w:rPr>
          <w:rFonts w:ascii="仿宋_GB2312" w:hAnsi="仿宋_GB2312" w:eastAsia="仿宋_GB2312" w:cs="仿宋_GB2312"/>
          <w:sz w:val="32"/>
          <w:szCs w:val="32"/>
        </w:rPr>
      </w:pPr>
      <w:r>
        <w:rPr>
          <w:rFonts w:ascii="楷体" w:hAnsi="楷体" w:eastAsia="楷体" w:cs="楷体"/>
          <w:b/>
          <w:bCs/>
          <w:snapToGrid w:val="0"/>
          <w:color w:val="000000"/>
          <w:kern w:val="2"/>
          <w:sz w:val="32"/>
          <w:szCs w:val="32"/>
        </w:rPr>
        <w:t>(</w:t>
      </w:r>
      <w:r>
        <w:rPr>
          <w:rFonts w:hint="eastAsia" w:ascii="楷体" w:hAnsi="楷体" w:eastAsia="楷体" w:cs="楷体"/>
          <w:b/>
          <w:bCs/>
          <w:snapToGrid w:val="0"/>
          <w:color w:val="000000"/>
          <w:kern w:val="2"/>
          <w:sz w:val="32"/>
          <w:szCs w:val="32"/>
        </w:rPr>
        <w:t>三）夯实机构编制管理基础。</w:t>
      </w:r>
      <w:r>
        <w:rPr>
          <w:rFonts w:hint="eastAsia" w:ascii="仿宋_GB2312" w:hAnsi="仿宋_GB2312" w:eastAsia="仿宋_GB2312" w:cs="仿宋_GB2312"/>
          <w:color w:val="000000"/>
          <w:sz w:val="32"/>
          <w:szCs w:val="32"/>
          <w:shd w:val="clear" w:color="auto" w:fill="FFFFFF"/>
        </w:rPr>
        <w:t>深化机构编制管理，主动作为，</w:t>
      </w:r>
      <w:r>
        <w:rPr>
          <w:rFonts w:ascii="仿宋_GB2312" w:hAnsi="仿宋_GB2312" w:eastAsia="仿宋_GB2312" w:cs="仿宋_GB2312"/>
          <w:color w:val="000000"/>
          <w:sz w:val="32"/>
          <w:szCs w:val="32"/>
          <w:shd w:val="clear" w:color="auto" w:fill="FFFFFF"/>
        </w:rPr>
        <w:t>2023</w:t>
      </w:r>
      <w:r>
        <w:rPr>
          <w:rFonts w:hint="eastAsia" w:ascii="仿宋_GB2312" w:hAnsi="仿宋_GB2312" w:eastAsia="仿宋_GB2312" w:cs="仿宋_GB2312"/>
          <w:color w:val="000000"/>
          <w:sz w:val="32"/>
          <w:szCs w:val="32"/>
          <w:shd w:val="clear" w:color="auto" w:fill="FFFFFF"/>
        </w:rPr>
        <w:t>年上半年县委编办共收到各单位机构编制申请事项</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rPr>
        <w:t>多件，召开编委会</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次。努力推进机构编制管理信息化建设，规范机构编制实名制系统操作程序，全县人员出编、入编、划转等业务工作全部实现网上办理。</w:t>
      </w:r>
      <w:r>
        <w:rPr>
          <w:rFonts w:hint="eastAsia" w:ascii="仿宋_GB2312" w:hAnsi="仿宋_GB2312" w:eastAsia="仿宋_GB2312" w:cs="仿宋_GB2312"/>
          <w:sz w:val="32"/>
          <w:szCs w:val="32"/>
        </w:rPr>
        <w:t>及时完成实名制系统数据更新。截</w:t>
      </w:r>
      <w:r>
        <w:rPr>
          <w:rFonts w:hint="eastAsia" w:ascii="仿宋_GB2312" w:hAnsi="仿宋_GB2312" w:eastAsia="仿宋_GB2312" w:cs="仿宋_GB2312"/>
          <w:sz w:val="32"/>
          <w:szCs w:val="32"/>
          <w:lang w:eastAsia="zh-CN"/>
        </w:rPr>
        <w:t>至</w:t>
      </w:r>
      <w:bookmarkStart w:id="2" w:name="_GoBack"/>
      <w:bookmarkEnd w:id="2"/>
      <w:r>
        <w:rPr>
          <w:rFonts w:hint="eastAsia" w:ascii="仿宋_GB2312" w:hAnsi="仿宋_GB2312" w:eastAsia="仿宋_GB2312" w:cs="仿宋_GB2312"/>
          <w:sz w:val="32"/>
          <w:szCs w:val="32"/>
        </w:rPr>
        <w:t>目前已完成入编</w:t>
      </w:r>
      <w:r>
        <w:rPr>
          <w:rFonts w:ascii="仿宋_GB2312" w:hAnsi="仿宋_GB2312" w:eastAsia="仿宋_GB2312" w:cs="仿宋_GB2312"/>
          <w:sz w:val="32"/>
          <w:szCs w:val="32"/>
        </w:rPr>
        <w:t>191</w:t>
      </w:r>
      <w:r>
        <w:rPr>
          <w:rFonts w:hint="eastAsia" w:ascii="仿宋_GB2312" w:hAnsi="仿宋_GB2312" w:eastAsia="仿宋_GB2312" w:cs="仿宋_GB2312"/>
          <w:sz w:val="32"/>
          <w:szCs w:val="32"/>
        </w:rPr>
        <w:t>人，出编</w:t>
      </w:r>
      <w:r>
        <w:rPr>
          <w:rFonts w:ascii="仿宋_GB2312" w:hAnsi="仿宋_GB2312" w:eastAsia="仿宋_GB2312" w:cs="仿宋_GB2312"/>
          <w:sz w:val="32"/>
          <w:szCs w:val="32"/>
        </w:rPr>
        <w:t>340</w:t>
      </w:r>
      <w:r>
        <w:rPr>
          <w:rFonts w:hint="eastAsia" w:ascii="仿宋_GB2312" w:hAnsi="仿宋_GB2312" w:eastAsia="仿宋_GB2312" w:cs="仿宋_GB2312"/>
          <w:sz w:val="32"/>
          <w:szCs w:val="32"/>
        </w:rPr>
        <w:t>人，异动</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人。</w:t>
      </w:r>
    </w:p>
    <w:p>
      <w:pPr>
        <w:widowControl w:val="0"/>
        <w:adjustRightInd/>
        <w:snapToGrid/>
        <w:spacing w:line="560" w:lineRule="exact"/>
        <w:ind w:firstLine="643" w:firstLineChars="200"/>
        <w:rPr>
          <w:rFonts w:ascii="仿宋_GB2312" w:hAnsi="仿宋_GB2312" w:eastAsia="仿宋_GB2312" w:cs="仿宋_GB2312"/>
          <w:spacing w:val="-6"/>
          <w:sz w:val="32"/>
          <w:szCs w:val="32"/>
        </w:rPr>
      </w:pPr>
      <w:r>
        <w:rPr>
          <w:rFonts w:hint="eastAsia" w:ascii="楷体" w:hAnsi="楷体" w:eastAsia="楷体" w:cs="楷体"/>
          <w:b/>
          <w:bCs/>
          <w:snapToGrid w:val="0"/>
          <w:color w:val="000000"/>
          <w:sz w:val="32"/>
          <w:szCs w:val="32"/>
        </w:rPr>
        <w:t>（四）完成全县编外人员摸底工作。</w:t>
      </w:r>
      <w:r>
        <w:rPr>
          <w:rFonts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rPr>
        <w:t>月份根据市委编办《关于进一步开展全市机关事业单位编外人员摸底统计有关事项的通知》（永编办发</w:t>
      </w:r>
      <w:r>
        <w:rPr>
          <w:rFonts w:ascii="仿宋_GB2312" w:hAnsi="仿宋_GB2312" w:eastAsia="仿宋_GB2312" w:cs="仿宋_GB2312"/>
          <w:spacing w:val="-6"/>
          <w:sz w:val="32"/>
          <w:szCs w:val="32"/>
        </w:rPr>
        <w:t>[2023]</w:t>
      </w:r>
      <w:r>
        <w:rPr>
          <w:rFonts w:hint="eastAsia" w:ascii="仿宋_GB2312" w:hAnsi="仿宋_GB2312" w:eastAsia="仿宋_GB2312" w:cs="仿宋_GB2312"/>
          <w:spacing w:val="-6"/>
          <w:sz w:val="32"/>
          <w:szCs w:val="32"/>
        </w:rPr>
        <w:t>号）精神，按时按质完成全县编外人员摸底统计，截止</w:t>
      </w:r>
      <w:r>
        <w:rPr>
          <w:rFonts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rPr>
        <w:t>月底，全县编外人员共计</w:t>
      </w:r>
      <w:r>
        <w:rPr>
          <w:rFonts w:ascii="仿宋_GB2312" w:hAnsi="仿宋_GB2312" w:eastAsia="仿宋_GB2312" w:cs="仿宋_GB2312"/>
          <w:spacing w:val="-6"/>
          <w:sz w:val="32"/>
          <w:szCs w:val="32"/>
        </w:rPr>
        <w:t>2910</w:t>
      </w:r>
      <w:r>
        <w:rPr>
          <w:rFonts w:hint="eastAsia" w:ascii="仿宋_GB2312" w:hAnsi="仿宋_GB2312" w:eastAsia="仿宋_GB2312" w:cs="仿宋_GB2312"/>
          <w:spacing w:val="-6"/>
          <w:sz w:val="32"/>
          <w:szCs w:val="32"/>
        </w:rPr>
        <w:t>人。</w:t>
      </w:r>
    </w:p>
    <w:p>
      <w:pPr>
        <w:adjustRightInd/>
        <w:snapToGrid/>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napToGrid w:val="0"/>
          <w:color w:val="000000"/>
          <w:sz w:val="32"/>
          <w:szCs w:val="32"/>
        </w:rPr>
        <w:t>（五）做好事业单位登记管理。</w:t>
      </w:r>
      <w:r>
        <w:rPr>
          <w:rFonts w:hint="eastAsia" w:ascii="仿宋_GB2312" w:hAnsi="仿宋_GB2312" w:eastAsia="仿宋_GB2312" w:cs="仿宋_GB2312"/>
          <w:sz w:val="32"/>
          <w:szCs w:val="32"/>
        </w:rPr>
        <w:t>全县共登记事业单位</w:t>
      </w:r>
      <w:r>
        <w:rPr>
          <w:rFonts w:ascii="仿宋_GB2312" w:hAnsi="仿宋_GB2312" w:eastAsia="仿宋_GB2312" w:cs="仿宋_GB2312"/>
          <w:sz w:val="32"/>
          <w:szCs w:val="32"/>
        </w:rPr>
        <w:t>362</w:t>
      </w:r>
      <w:r>
        <w:rPr>
          <w:rFonts w:hint="eastAsia" w:ascii="仿宋_GB2312" w:hAnsi="仿宋_GB2312" w:eastAsia="仿宋_GB2312" w:cs="仿宋_GB2312"/>
          <w:sz w:val="32"/>
          <w:szCs w:val="32"/>
        </w:rPr>
        <w:t>个，应年检事业单位</w:t>
      </w:r>
      <w:r>
        <w:rPr>
          <w:rFonts w:ascii="仿宋_GB2312" w:hAnsi="仿宋_GB2312" w:eastAsia="仿宋_GB2312" w:cs="仿宋_GB2312"/>
          <w:sz w:val="32"/>
          <w:szCs w:val="32"/>
        </w:rPr>
        <w:t>361</w:t>
      </w:r>
      <w:r>
        <w:rPr>
          <w:rFonts w:hint="eastAsia" w:ascii="仿宋_GB2312" w:hAnsi="仿宋_GB2312" w:eastAsia="仿宋_GB2312" w:cs="仿宋_GB2312"/>
          <w:sz w:val="32"/>
          <w:szCs w:val="32"/>
        </w:rPr>
        <w:t>个，年检率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，法人年检合格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，并及时在蓝山政府网专题专栏进行了公示。同时，加强对事业单位法人日常监督管理，及时督促办理设立登记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个、变更登记单位</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个、注销登记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 xml:space="preserve"> </w:t>
      </w:r>
    </w:p>
    <w:p>
      <w:pPr>
        <w:widowControl w:val="0"/>
        <w:adjustRightInd/>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（三）行政效能分析</w:t>
      </w:r>
    </w:p>
    <w:p>
      <w:pPr>
        <w:pStyle w:val="27"/>
        <w:widowControl w:val="0"/>
        <w:shd w:val="clear" w:color="auto" w:fill="auto"/>
        <w:spacing w:before="0" w:beforeAutospacing="0" w:after="0" w:afterAutospacing="0" w:line="560" w:lineRule="exact"/>
        <w:ind w:left="0" w:firstLine="640" w:firstLineChars="200"/>
        <w:jc w:val="both"/>
        <w:rPr>
          <w:rFonts w:ascii="仿宋" w:hAnsi="仿宋" w:eastAsia="仿宋" w:cs="仿宋"/>
          <w:b w:val="0"/>
          <w:sz w:val="32"/>
          <w:szCs w:val="32"/>
        </w:rPr>
      </w:pPr>
      <w:r>
        <w:rPr>
          <w:rFonts w:ascii="仿宋" w:hAnsi="仿宋" w:eastAsia="仿宋" w:cs="仿宋"/>
          <w:b w:val="0"/>
          <w:sz w:val="32"/>
          <w:szCs w:val="32"/>
        </w:rPr>
        <w:t>1.</w:t>
      </w:r>
      <w:r>
        <w:rPr>
          <w:rFonts w:hint="eastAsia" w:ascii="仿宋" w:hAnsi="仿宋" w:eastAsia="仿宋" w:cs="仿宋"/>
          <w:b w:val="0"/>
          <w:sz w:val="32"/>
          <w:szCs w:val="32"/>
        </w:rPr>
        <w:t>彻落实全国编办主任会议和全省机构编制会议精神，提升机构编制工作站位，推动机构编制法定化，开展“三学三转三服务”，巩固机构改革成果，推进事业单位改革，统筹各类编制资源，强化基础工作，不断加强改进机构编制工作，促进各项工作顺利推进。</w:t>
      </w:r>
    </w:p>
    <w:p>
      <w:pPr>
        <w:pStyle w:val="27"/>
        <w:widowControl w:val="0"/>
        <w:shd w:val="clear" w:color="auto" w:fill="auto"/>
        <w:spacing w:before="0" w:beforeAutospacing="0" w:after="0" w:afterAutospacing="0" w:line="560" w:lineRule="exact"/>
        <w:ind w:left="0" w:firstLine="640" w:firstLineChars="200"/>
        <w:jc w:val="both"/>
        <w:rPr>
          <w:rFonts w:ascii="仿宋" w:hAnsi="仿宋" w:eastAsia="仿宋" w:cs="仿宋"/>
          <w:b w:val="0"/>
          <w:sz w:val="32"/>
          <w:szCs w:val="32"/>
        </w:rPr>
      </w:pPr>
      <w:r>
        <w:rPr>
          <w:rFonts w:ascii="仿宋" w:hAnsi="仿宋" w:eastAsia="仿宋" w:cs="仿宋"/>
          <w:b w:val="0"/>
          <w:sz w:val="32"/>
          <w:szCs w:val="32"/>
        </w:rPr>
        <w:t>2.</w:t>
      </w:r>
      <w:r>
        <w:rPr>
          <w:rFonts w:hint="eastAsia" w:ascii="仿宋" w:hAnsi="仿宋" w:eastAsia="仿宋" w:cs="仿宋"/>
          <w:b w:val="0"/>
          <w:sz w:val="32"/>
          <w:szCs w:val="32"/>
        </w:rPr>
        <w:t>加强对省市县财政预算资金管理方面制度的学习培训，不断提高各职能股室的业务工作能力。及时组织股室队所负责人学习某县财政局出台的培训费、会议费、差旅费等相关制度的学习。</w:t>
      </w:r>
    </w:p>
    <w:p>
      <w:pPr>
        <w:widowControl w:val="0"/>
        <w:spacing w:after="0" w:line="560" w:lineRule="exact"/>
        <w:ind w:firstLine="640" w:firstLineChars="200"/>
        <w:jc w:val="both"/>
        <w:rPr>
          <w:rFonts w:ascii="仿宋" w:hAnsi="仿宋" w:eastAsia="仿宋" w:cs="仿宋"/>
          <w:bCs/>
          <w:color w:val="000000"/>
          <w:sz w:val="32"/>
          <w:szCs w:val="32"/>
        </w:rPr>
      </w:pPr>
      <w:r>
        <w:rPr>
          <w:rFonts w:ascii="仿宋" w:hAnsi="仿宋" w:eastAsia="仿宋" w:cs="仿宋"/>
          <w:bCs/>
          <w:color w:val="000000"/>
          <w:sz w:val="32"/>
          <w:szCs w:val="32"/>
        </w:rPr>
        <w:t>3.</w:t>
      </w:r>
      <w:r>
        <w:rPr>
          <w:rFonts w:hint="eastAsia" w:ascii="仿宋" w:hAnsi="仿宋" w:eastAsia="仿宋" w:cs="仿宋"/>
          <w:bCs/>
          <w:color w:val="000000"/>
          <w:sz w:val="32"/>
          <w:szCs w:val="32"/>
        </w:rPr>
        <w:t>严格制度执行，特别是“三公”经费的预算控制。加强对公务用车的管理，严格招待费用审核审批程序，“三公”经费较好地控制在预算范围之内。</w:t>
      </w:r>
    </w:p>
    <w:p>
      <w:pPr>
        <w:widowControl w:val="0"/>
        <w:spacing w:after="0" w:line="560" w:lineRule="exact"/>
        <w:ind w:firstLine="643" w:firstLineChars="200"/>
        <w:jc w:val="both"/>
        <w:rPr>
          <w:rFonts w:ascii="仿宋" w:hAnsi="仿宋" w:eastAsia="仿宋" w:cs="仿宋"/>
          <w:b/>
          <w:sz w:val="32"/>
          <w:szCs w:val="32"/>
        </w:rPr>
      </w:pPr>
      <w:r>
        <w:rPr>
          <w:rFonts w:hint="eastAsia" w:ascii="仿宋" w:hAnsi="仿宋" w:eastAsia="仿宋" w:cs="仿宋"/>
          <w:b/>
          <w:sz w:val="32"/>
          <w:szCs w:val="32"/>
        </w:rPr>
        <w:t>五、存在的问题</w:t>
      </w:r>
    </w:p>
    <w:p>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学习不够深入，理论联系实际不足，有关规章制度有待进一步完善。</w:t>
      </w:r>
    </w:p>
    <w:p>
      <w:pPr>
        <w:widowControl w:val="0"/>
        <w:spacing w:after="0" w:line="560" w:lineRule="exact"/>
        <w:ind w:firstLine="643" w:firstLineChars="200"/>
        <w:jc w:val="both"/>
        <w:rPr>
          <w:rFonts w:ascii="仿宋" w:hAnsi="仿宋" w:eastAsia="仿宋" w:cs="仿宋"/>
          <w:b/>
          <w:sz w:val="32"/>
          <w:szCs w:val="32"/>
        </w:rPr>
      </w:pPr>
      <w:r>
        <w:rPr>
          <w:rFonts w:hint="eastAsia" w:ascii="仿宋" w:hAnsi="仿宋" w:eastAsia="仿宋" w:cs="仿宋"/>
          <w:b/>
          <w:sz w:val="32"/>
          <w:szCs w:val="32"/>
        </w:rPr>
        <w:t>六、后续的工作计划</w:t>
      </w:r>
    </w:p>
    <w:p>
      <w:pPr>
        <w:widowControl w:val="0"/>
        <w:spacing w:after="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加强财务管理，严格财务审核。在费用报账支付时，按照预算规定的费用项目和用途进行资金使用审核、列报支付、财务核算，杜绝超支现象的发生。</w:t>
      </w:r>
    </w:p>
    <w:p>
      <w:pPr>
        <w:widowControl w:val="0"/>
        <w:spacing w:after="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持续抓好“三公”经费控制管理。严格控制“三公”经费的规模和比例，把关“三公”经费支出的审核、审批，杜绝挪用和挤占其他预算资金行为；进一步细化“三公”经费的管理，合理压缩“三公”经费支出。</w:t>
      </w:r>
    </w:p>
    <w:p>
      <w:pPr>
        <w:widowControl w:val="0"/>
        <w:spacing w:after="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．加强项目开展进度的跟踪，开展项目绩效评价，确保项目绩效目标的完成。</w:t>
      </w:r>
    </w:p>
    <w:p>
      <w:pPr>
        <w:widowControl w:val="0"/>
        <w:spacing w:after="0" w:line="560" w:lineRule="exact"/>
        <w:ind w:firstLine="640" w:firstLineChars="200"/>
        <w:jc w:val="right"/>
        <w:rPr>
          <w:rFonts w:ascii="仿宋" w:hAnsi="仿宋" w:eastAsia="仿宋" w:cs="仿宋"/>
          <w:bCs/>
          <w:sz w:val="32"/>
          <w:szCs w:val="32"/>
        </w:rPr>
      </w:pPr>
    </w:p>
    <w:p>
      <w:pPr>
        <w:widowControl w:val="0"/>
        <w:spacing w:after="0" w:line="560" w:lineRule="exact"/>
        <w:ind w:firstLine="640" w:firstLineChars="200"/>
        <w:jc w:val="right"/>
        <w:rPr>
          <w:rFonts w:ascii="仿宋" w:hAnsi="仿宋" w:eastAsia="仿宋" w:cs="仿宋"/>
          <w:bCs/>
          <w:sz w:val="32"/>
          <w:szCs w:val="32"/>
        </w:rPr>
      </w:pPr>
      <w:r>
        <w:rPr>
          <w:rFonts w:ascii="仿宋" w:hAnsi="仿宋" w:eastAsia="仿宋" w:cs="仿宋"/>
          <w:bCs/>
          <w:sz w:val="32"/>
          <w:szCs w:val="32"/>
        </w:rPr>
        <w:t>2024</w:t>
      </w:r>
      <w:r>
        <w:rPr>
          <w:rFonts w:hint="eastAsia" w:ascii="仿宋" w:hAnsi="仿宋" w:eastAsia="仿宋" w:cs="仿宋"/>
          <w:bCs/>
          <w:sz w:val="32"/>
          <w:szCs w:val="32"/>
        </w:rPr>
        <w:t>年</w:t>
      </w:r>
      <w:r>
        <w:rPr>
          <w:rFonts w:ascii="仿宋" w:hAnsi="仿宋" w:eastAsia="仿宋" w:cs="仿宋"/>
          <w:bCs/>
          <w:sz w:val="32"/>
          <w:szCs w:val="32"/>
        </w:rPr>
        <w:t>4</w:t>
      </w:r>
      <w:r>
        <w:rPr>
          <w:rFonts w:hint="eastAsia" w:ascii="仿宋" w:hAnsi="仿宋" w:eastAsia="仿宋" w:cs="仿宋"/>
          <w:bCs/>
          <w:sz w:val="32"/>
          <w:szCs w:val="32"/>
        </w:rPr>
        <w:t>月</w:t>
      </w:r>
      <w:r>
        <w:rPr>
          <w:rFonts w:ascii="仿宋" w:hAnsi="仿宋" w:eastAsia="仿宋" w:cs="仿宋"/>
          <w:bCs/>
          <w:sz w:val="32"/>
          <w:szCs w:val="32"/>
        </w:rPr>
        <w:t>25</w:t>
      </w:r>
      <w:r>
        <w:rPr>
          <w:rFonts w:hint="eastAsia" w:ascii="仿宋" w:hAnsi="仿宋" w:eastAsia="仿宋" w:cs="仿宋"/>
          <w:bCs/>
          <w:sz w:val="32"/>
          <w:szCs w:val="32"/>
        </w:rPr>
        <w:t>日</w:t>
      </w:r>
    </w:p>
    <w:p/>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firstLine="360"/>
      <w:jc w:val="right"/>
      <w:rPr>
        <w:rFonts w:hint="eastAsia" w:ascii="宋体" w:hAnsi="宋体"/>
        <w:sz w:val="28"/>
        <w:szCs w:val="28"/>
      </w:rPr>
    </w:pPr>
    <w:r>
      <w:rPr>
        <w:rStyle w:val="15"/>
        <w:rFonts w:hint="eastAsia" w:ascii="宋体" w:hAnsi="宋体"/>
        <w:sz w:val="28"/>
        <w:szCs w:val="28"/>
      </w:rPr>
      <w:t>—</w:t>
    </w:r>
    <w:r>
      <w:rPr>
        <w:rFonts w:ascii="宋体" w:hAnsi="宋体"/>
        <w:sz w:val="28"/>
        <w:szCs w:val="28"/>
      </w:rPr>
      <w:fldChar w:fldCharType="begin"/>
    </w:r>
    <w:r>
      <w:rPr>
        <w:rStyle w:val="15"/>
        <w:rFonts w:ascii="宋体" w:hAnsi="宋体"/>
        <w:sz w:val="28"/>
        <w:szCs w:val="28"/>
      </w:rPr>
      <w:instrText xml:space="preserve"> PAGE </w:instrText>
    </w:r>
    <w:r>
      <w:rPr>
        <w:rFonts w:ascii="宋体" w:hAnsi="宋体"/>
        <w:sz w:val="28"/>
        <w:szCs w:val="28"/>
      </w:rPr>
      <w:fldChar w:fldCharType="separate"/>
    </w:r>
    <w:r>
      <w:rPr>
        <w:rStyle w:val="15"/>
        <w:rFonts w:ascii="宋体" w:hAnsi="宋体"/>
        <w:sz w:val="28"/>
        <w:szCs w:val="28"/>
      </w:rPr>
      <w:t>9</w:t>
    </w:r>
    <w:r>
      <w:rPr>
        <w:rFonts w:ascii="宋体" w:hAnsi="宋体"/>
        <w:sz w:val="28"/>
        <w:szCs w:val="28"/>
      </w:rPr>
      <w:fldChar w:fldCharType="end"/>
    </w:r>
    <w:r>
      <w:rPr>
        <w:rStyle w:val="15"/>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280" w:firstLineChars="100"/>
      <w:rPr>
        <w:rFonts w:hint="eastAsia" w:ascii="宋体" w:hAnsi="宋体"/>
        <w:sz w:val="28"/>
        <w:szCs w:val="28"/>
      </w:rPr>
    </w:pPr>
    <w:r>
      <w:rPr>
        <w:rStyle w:val="15"/>
        <w:rFonts w:hint="eastAsia" w:ascii="宋体" w:hAnsi="宋体"/>
        <w:sz w:val="28"/>
        <w:szCs w:val="28"/>
      </w:rPr>
      <w:t>—</w:t>
    </w:r>
    <w:r>
      <w:rPr>
        <w:rFonts w:ascii="宋体" w:hAnsi="宋体"/>
        <w:sz w:val="28"/>
        <w:szCs w:val="28"/>
      </w:rPr>
      <w:fldChar w:fldCharType="begin"/>
    </w:r>
    <w:r>
      <w:rPr>
        <w:rStyle w:val="15"/>
        <w:rFonts w:ascii="宋体" w:hAnsi="宋体"/>
        <w:sz w:val="28"/>
        <w:szCs w:val="28"/>
      </w:rPr>
      <w:instrText xml:space="preserve"> PAGE </w:instrText>
    </w:r>
    <w:r>
      <w:rPr>
        <w:rFonts w:ascii="宋体" w:hAnsi="宋体"/>
        <w:sz w:val="28"/>
        <w:szCs w:val="28"/>
      </w:rPr>
      <w:fldChar w:fldCharType="separate"/>
    </w:r>
    <w:r>
      <w:rPr>
        <w:rStyle w:val="15"/>
        <w:rFonts w:ascii="宋体" w:hAnsi="宋体"/>
        <w:sz w:val="28"/>
        <w:szCs w:val="28"/>
      </w:rPr>
      <w:t>2</w:t>
    </w:r>
    <w:r>
      <w:rPr>
        <w:rFonts w:ascii="宋体" w:hAnsi="宋体"/>
        <w:sz w:val="28"/>
        <w:szCs w:val="28"/>
      </w:rPr>
      <w:fldChar w:fldCharType="end"/>
    </w:r>
    <w:r>
      <w:rPr>
        <w:rStyle w:val="15"/>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FBDAE"/>
    <w:multiLevelType w:val="singleLevel"/>
    <w:tmpl w:val="830FBDAE"/>
    <w:lvl w:ilvl="0" w:tentative="0">
      <w:start w:val="10"/>
      <w:numFmt w:val="chineseCounting"/>
      <w:suff w:val="nothing"/>
      <w:lvlText w:val="%1、"/>
      <w:lvlJc w:val="left"/>
      <w:rPr>
        <w:rFonts w:hint="eastAsia"/>
      </w:rPr>
    </w:lvl>
  </w:abstractNum>
  <w:abstractNum w:abstractNumId="1">
    <w:nsid w:val="02AF0D35"/>
    <w:multiLevelType w:val="singleLevel"/>
    <w:tmpl w:val="02AF0D35"/>
    <w:lvl w:ilvl="0" w:tentative="0">
      <w:start w:val="2"/>
      <w:numFmt w:val="chineseCounting"/>
      <w:suff w:val="nothing"/>
      <w:lvlText w:val="（%1）"/>
      <w:lvlJc w:val="left"/>
      <w:rPr>
        <w:rFonts w:hint="eastAsia"/>
      </w:rPr>
    </w:lvl>
  </w:abstractNum>
  <w:abstractNum w:abstractNumId="2">
    <w:nsid w:val="0F582525"/>
    <w:multiLevelType w:val="singleLevel"/>
    <w:tmpl w:val="0F582525"/>
    <w:lvl w:ilvl="0" w:tentative="0">
      <w:start w:val="1"/>
      <w:numFmt w:val="chineseCounting"/>
      <w:suff w:val="nothing"/>
      <w:lvlText w:val="%1、"/>
      <w:lvlJc w:val="left"/>
      <w:pPr>
        <w:ind w:left="-10"/>
      </w:pPr>
      <w:rPr>
        <w:rFonts w:hint="eastAsia" w:cs="Times New Roman"/>
      </w:rPr>
    </w:lvl>
  </w:abstractNum>
  <w:abstractNum w:abstractNumId="3">
    <w:nsid w:val="45C8D594"/>
    <w:multiLevelType w:val="singleLevel"/>
    <w:tmpl w:val="45C8D594"/>
    <w:lvl w:ilvl="0" w:tentative="0">
      <w:start w:val="2"/>
      <w:numFmt w:val="decimal"/>
      <w:suff w:val="nothing"/>
      <w:lvlText w:val="（%1）"/>
      <w:lvlJc w:val="left"/>
    </w:lvl>
  </w:abstractNum>
  <w:abstractNum w:abstractNumId="4">
    <w:nsid w:val="48E36850"/>
    <w:multiLevelType w:val="singleLevel"/>
    <w:tmpl w:val="48E36850"/>
    <w:lvl w:ilvl="0" w:tentative="0">
      <w:start w:val="4"/>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484B88"/>
    <w:rsid w:val="00103E94"/>
    <w:rsid w:val="001A4316"/>
    <w:rsid w:val="00484B88"/>
    <w:rsid w:val="0063789F"/>
    <w:rsid w:val="0068323F"/>
    <w:rsid w:val="006E5481"/>
    <w:rsid w:val="00997640"/>
    <w:rsid w:val="00A634AB"/>
    <w:rsid w:val="00A756A8"/>
    <w:rsid w:val="00A82FCF"/>
    <w:rsid w:val="00C64B3B"/>
    <w:rsid w:val="00DC6A69"/>
    <w:rsid w:val="00E6688F"/>
    <w:rsid w:val="0147778C"/>
    <w:rsid w:val="014F6B2B"/>
    <w:rsid w:val="024E45AF"/>
    <w:rsid w:val="03CC3F79"/>
    <w:rsid w:val="06293905"/>
    <w:rsid w:val="0AA25E37"/>
    <w:rsid w:val="0B1F0F58"/>
    <w:rsid w:val="0B3568A8"/>
    <w:rsid w:val="0C5612A5"/>
    <w:rsid w:val="0CC021A1"/>
    <w:rsid w:val="0DE83578"/>
    <w:rsid w:val="0F7756E1"/>
    <w:rsid w:val="0FC54C0F"/>
    <w:rsid w:val="108D5C7F"/>
    <w:rsid w:val="1123643B"/>
    <w:rsid w:val="12B409FA"/>
    <w:rsid w:val="12B96010"/>
    <w:rsid w:val="154753C4"/>
    <w:rsid w:val="16016A82"/>
    <w:rsid w:val="168E2528"/>
    <w:rsid w:val="18574301"/>
    <w:rsid w:val="19221D39"/>
    <w:rsid w:val="19486B6A"/>
    <w:rsid w:val="1A5B77AF"/>
    <w:rsid w:val="1AC16EED"/>
    <w:rsid w:val="1BF96EF5"/>
    <w:rsid w:val="1D57157A"/>
    <w:rsid w:val="1E66366C"/>
    <w:rsid w:val="1E6C2189"/>
    <w:rsid w:val="1E9B2A6E"/>
    <w:rsid w:val="1F363CF0"/>
    <w:rsid w:val="215711D0"/>
    <w:rsid w:val="215F7298"/>
    <w:rsid w:val="221D71C0"/>
    <w:rsid w:val="22C17355"/>
    <w:rsid w:val="230D5982"/>
    <w:rsid w:val="23464D69"/>
    <w:rsid w:val="24251728"/>
    <w:rsid w:val="245B0CD5"/>
    <w:rsid w:val="25395769"/>
    <w:rsid w:val="253C4B2C"/>
    <w:rsid w:val="27C354DE"/>
    <w:rsid w:val="29542350"/>
    <w:rsid w:val="2B01029D"/>
    <w:rsid w:val="2BEF3B13"/>
    <w:rsid w:val="2C350331"/>
    <w:rsid w:val="2CF75313"/>
    <w:rsid w:val="2DCF4F86"/>
    <w:rsid w:val="2DFA37A5"/>
    <w:rsid w:val="313D032A"/>
    <w:rsid w:val="317227D8"/>
    <w:rsid w:val="31FE0EF2"/>
    <w:rsid w:val="328D0466"/>
    <w:rsid w:val="3360701C"/>
    <w:rsid w:val="35E52AF5"/>
    <w:rsid w:val="36CC6675"/>
    <w:rsid w:val="37102E10"/>
    <w:rsid w:val="37CE63FD"/>
    <w:rsid w:val="38B844F1"/>
    <w:rsid w:val="390C7B9C"/>
    <w:rsid w:val="3986083F"/>
    <w:rsid w:val="3A9256E4"/>
    <w:rsid w:val="3BC93FB9"/>
    <w:rsid w:val="3BD6631A"/>
    <w:rsid w:val="3CF01661"/>
    <w:rsid w:val="42155B90"/>
    <w:rsid w:val="430F26FC"/>
    <w:rsid w:val="44A040E1"/>
    <w:rsid w:val="45394946"/>
    <w:rsid w:val="455C26A8"/>
    <w:rsid w:val="45B23B60"/>
    <w:rsid w:val="47A10846"/>
    <w:rsid w:val="47C02F90"/>
    <w:rsid w:val="48683AF8"/>
    <w:rsid w:val="4E7906E4"/>
    <w:rsid w:val="510A1B33"/>
    <w:rsid w:val="511D2CEB"/>
    <w:rsid w:val="5131634D"/>
    <w:rsid w:val="51487AE2"/>
    <w:rsid w:val="51896EA4"/>
    <w:rsid w:val="52AB2C1C"/>
    <w:rsid w:val="52B07B8F"/>
    <w:rsid w:val="52DE6D04"/>
    <w:rsid w:val="58671BD9"/>
    <w:rsid w:val="592316F1"/>
    <w:rsid w:val="59266DFD"/>
    <w:rsid w:val="5DA7219D"/>
    <w:rsid w:val="5E0D0134"/>
    <w:rsid w:val="5EAD0AA6"/>
    <w:rsid w:val="5F074635"/>
    <w:rsid w:val="61590F44"/>
    <w:rsid w:val="62157664"/>
    <w:rsid w:val="63DD33B9"/>
    <w:rsid w:val="67023945"/>
    <w:rsid w:val="6784366C"/>
    <w:rsid w:val="698D6BFE"/>
    <w:rsid w:val="69F20600"/>
    <w:rsid w:val="6A4C6076"/>
    <w:rsid w:val="6C4757F7"/>
    <w:rsid w:val="6D69538D"/>
    <w:rsid w:val="6DFF0D76"/>
    <w:rsid w:val="6EAB3A7A"/>
    <w:rsid w:val="70D70700"/>
    <w:rsid w:val="71337D33"/>
    <w:rsid w:val="72402885"/>
    <w:rsid w:val="736D01FB"/>
    <w:rsid w:val="739042DC"/>
    <w:rsid w:val="76D477C7"/>
    <w:rsid w:val="777F25F5"/>
    <w:rsid w:val="7A7D5570"/>
    <w:rsid w:val="7E55752B"/>
    <w:rsid w:val="7EA55E80"/>
    <w:rsid w:val="7F8A33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3">
    <w:name w:val="annotation text"/>
    <w:basedOn w:val="1"/>
    <w:link w:val="19"/>
    <w:unhideWhenUsed/>
    <w:uiPriority w:val="99"/>
    <w:pPr>
      <w:jc w:val="left"/>
    </w:pPr>
  </w:style>
  <w:style w:type="paragraph" w:styleId="4">
    <w:name w:val="Body Text"/>
    <w:basedOn w:val="1"/>
    <w:next w:val="5"/>
    <w:link w:val="17"/>
    <w:uiPriority w:val="0"/>
    <w:pPr>
      <w:spacing w:after="120"/>
    </w:pPr>
  </w:style>
  <w:style w:type="paragraph" w:styleId="5">
    <w:name w:val="Balloon Text"/>
    <w:basedOn w:val="1"/>
    <w:link w:val="18"/>
    <w:semiHidden/>
    <w:uiPriority w:val="99"/>
    <w:rPr>
      <w:sz w:val="18"/>
      <w:szCs w:val="18"/>
    </w:rPr>
  </w:style>
  <w:style w:type="paragraph" w:styleId="6">
    <w:name w:val="Body Text Indent"/>
    <w:basedOn w:val="1"/>
    <w:link w:val="20"/>
    <w:unhideWhenUsed/>
    <w:uiPriority w:val="99"/>
    <w:pPr>
      <w:spacing w:after="120"/>
      <w:ind w:left="420" w:leftChars="200"/>
    </w:pPr>
  </w:style>
  <w:style w:type="paragraph" w:styleId="7">
    <w:name w:val="toc 5"/>
    <w:basedOn w:val="1"/>
    <w:next w:val="1"/>
    <w:qFormat/>
    <w:uiPriority w:val="0"/>
    <w:pPr>
      <w:ind w:left="1680" w:leftChars="800"/>
    </w:pPr>
  </w:style>
  <w:style w:type="paragraph" w:styleId="8">
    <w:name w:val="footer"/>
    <w:basedOn w:val="1"/>
    <w:link w:val="21"/>
    <w:unhideWhenUsed/>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3"/>
    <w:next w:val="3"/>
    <w:link w:val="23"/>
    <w:unhideWhenUsed/>
    <w:uiPriority w:val="99"/>
    <w:rPr>
      <w:b/>
      <w:bCs/>
    </w:rPr>
  </w:style>
  <w:style w:type="paragraph" w:styleId="12">
    <w:name w:val="Body Text First Indent 2"/>
    <w:basedOn w:val="6"/>
    <w:link w:val="24"/>
    <w:unhideWhenUsed/>
    <w:qFormat/>
    <w:uiPriority w:val="99"/>
    <w:pPr>
      <w:ind w:firstLine="420" w:firstLineChars="200"/>
    </w:pPr>
  </w:style>
  <w:style w:type="character" w:styleId="15">
    <w:name w:val="page number"/>
    <w:basedOn w:val="14"/>
    <w:qFormat/>
    <w:uiPriority w:val="0"/>
  </w:style>
  <w:style w:type="character" w:styleId="16">
    <w:name w:val="annotation reference"/>
    <w:unhideWhenUsed/>
    <w:uiPriority w:val="99"/>
    <w:rPr>
      <w:sz w:val="21"/>
      <w:szCs w:val="21"/>
    </w:rPr>
  </w:style>
  <w:style w:type="character" w:customStyle="1" w:styleId="17">
    <w:name w:val="正文文本 字符"/>
    <w:link w:val="4"/>
    <w:qFormat/>
    <w:uiPriority w:val="0"/>
    <w:rPr>
      <w:rFonts w:ascii="Times New Roman" w:hAnsi="Times New Roman" w:eastAsia="宋体" w:cs="Times New Roman"/>
      <w:szCs w:val="24"/>
    </w:rPr>
  </w:style>
  <w:style w:type="character" w:customStyle="1" w:styleId="18">
    <w:name w:val="批注框文本 字符"/>
    <w:link w:val="5"/>
    <w:semiHidden/>
    <w:qFormat/>
    <w:uiPriority w:val="99"/>
    <w:rPr>
      <w:rFonts w:ascii="Times New Roman" w:hAnsi="Times New Roman" w:eastAsia="宋体" w:cs="Times New Roman"/>
      <w:sz w:val="18"/>
      <w:szCs w:val="18"/>
    </w:rPr>
  </w:style>
  <w:style w:type="character" w:customStyle="1" w:styleId="19">
    <w:name w:val="批注文字 字符"/>
    <w:link w:val="3"/>
    <w:qFormat/>
    <w:uiPriority w:val="99"/>
    <w:rPr>
      <w:kern w:val="2"/>
      <w:sz w:val="21"/>
      <w:szCs w:val="24"/>
    </w:rPr>
  </w:style>
  <w:style w:type="character" w:customStyle="1" w:styleId="20">
    <w:name w:val="正文文本缩进 字符"/>
    <w:link w:val="6"/>
    <w:semiHidden/>
    <w:qFormat/>
    <w:uiPriority w:val="99"/>
    <w:rPr>
      <w:kern w:val="2"/>
      <w:sz w:val="21"/>
      <w:szCs w:val="24"/>
    </w:rPr>
  </w:style>
  <w:style w:type="character" w:customStyle="1" w:styleId="21">
    <w:name w:val="页脚 字符"/>
    <w:link w:val="8"/>
    <w:qFormat/>
    <w:uiPriority w:val="99"/>
    <w:rPr>
      <w:sz w:val="18"/>
      <w:szCs w:val="18"/>
    </w:rPr>
  </w:style>
  <w:style w:type="character" w:customStyle="1" w:styleId="22">
    <w:name w:val="页眉 字符"/>
    <w:link w:val="9"/>
    <w:qFormat/>
    <w:uiPriority w:val="99"/>
    <w:rPr>
      <w:sz w:val="18"/>
      <w:szCs w:val="18"/>
    </w:rPr>
  </w:style>
  <w:style w:type="character" w:customStyle="1" w:styleId="23">
    <w:name w:val="批注主题 字符"/>
    <w:link w:val="11"/>
    <w:semiHidden/>
    <w:qFormat/>
    <w:uiPriority w:val="99"/>
    <w:rPr>
      <w:b/>
      <w:bCs/>
      <w:kern w:val="2"/>
      <w:sz w:val="21"/>
      <w:szCs w:val="24"/>
    </w:rPr>
  </w:style>
  <w:style w:type="character" w:customStyle="1" w:styleId="24">
    <w:name w:val="正文文本首行缩进 2 字符"/>
    <w:basedOn w:val="20"/>
    <w:link w:val="12"/>
    <w:qFormat/>
    <w:uiPriority w:val="99"/>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7">
    <w:name w:val="样式2"/>
    <w:basedOn w:val="1"/>
    <w:qFormat/>
    <w:uiPriority w:val="99"/>
    <w:pPr>
      <w:widowControl/>
      <w:shd w:val="clear" w:color="auto" w:fill="FFFFFF"/>
      <w:spacing w:before="100" w:beforeAutospacing="1" w:after="100" w:afterAutospacing="1"/>
      <w:ind w:left="562"/>
      <w:jc w:val="center"/>
    </w:pPr>
    <w:rPr>
      <w:rFonts w:ascii="宋体"/>
      <w:b/>
      <w:bCs/>
      <w:szCs w:val="21"/>
    </w:rPr>
  </w:style>
  <w:style w:type="character" w:customStyle="1" w:styleId="28">
    <w:name w:val="NormalCharacter"/>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13668</Words>
  <Characters>14934</Characters>
  <Lines>102</Lines>
  <Paragraphs>28</Paragraphs>
  <TotalTime>2</TotalTime>
  <ScaleCrop>false</ScaleCrop>
  <LinksUpToDate>false</LinksUpToDate>
  <CharactersWithSpaces>16296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2021-06-06T13:55:00Z</dcterms:created>
  <dc:creator>土豆你吃么</dc:creator>
  <cp:lastModifiedBy>江山</cp:lastModifiedBy>
  <dcterms:modified xsi:type="dcterms:W3CDTF">2024-08-06T03:14:55Z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398862EE8546462DA4EEFAD1BCE68C28</vt:lpwstr>
  </property>
</Properties>
</file>