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center"/>
        <w:rPr>
          <w:rFonts w:eastAsia="楷体_GB2312"/>
          <w:bCs/>
          <w:kern w:val="0"/>
          <w:sz w:val="32"/>
          <w:szCs w:val="32"/>
        </w:rPr>
      </w:pPr>
      <w:r>
        <w:rPr>
          <w:rFonts w:hint="eastAsia" w:ascii="黑体" w:hAnsi="黑体" w:eastAsia="黑体" w:cs="黑体"/>
          <w:b/>
          <w:kern w:val="0"/>
          <w:sz w:val="44"/>
          <w:szCs w:val="44"/>
        </w:rPr>
        <w:t>2023年蓝山县塔峰镇第三完全小学部门决算</w:t>
      </w:r>
    </w:p>
    <w:p>
      <w:pPr>
        <w:widowControl/>
        <w:spacing w:line="600" w:lineRule="exact"/>
        <w:jc w:val="center"/>
        <w:rPr>
          <w:rFonts w:eastAsia="黑体"/>
          <w:b/>
          <w:kern w:val="0"/>
          <w:sz w:val="32"/>
          <w:szCs w:val="32"/>
        </w:rPr>
      </w:pPr>
      <w:r>
        <w:rPr>
          <w:rFonts w:eastAsia="黑体"/>
          <w:b/>
          <w:kern w:val="0"/>
          <w:sz w:val="32"/>
          <w:szCs w:val="32"/>
        </w:rPr>
        <w:t>目 录</w:t>
      </w:r>
    </w:p>
    <w:p>
      <w:pPr>
        <w:widowControl/>
        <w:spacing w:line="600" w:lineRule="exact"/>
        <w:ind w:firstLine="643" w:firstLineChars="200"/>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第一部分 蓝山县塔峰镇第三完全小学部门概况</w:t>
      </w:r>
    </w:p>
    <w:p>
      <w:pPr>
        <w:pStyle w:val="5"/>
        <w:spacing w:line="600" w:lineRule="exact"/>
        <w:ind w:firstLine="800" w:firstLineChars="25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一、部门职责</w:t>
      </w:r>
    </w:p>
    <w:p>
      <w:pPr>
        <w:pStyle w:val="5"/>
        <w:spacing w:line="600" w:lineRule="exact"/>
        <w:ind w:firstLine="800" w:firstLineChars="25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二、机构设置</w:t>
      </w:r>
    </w:p>
    <w:p>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第二部分 2023年部门决算表</w:t>
      </w:r>
    </w:p>
    <w:p>
      <w:pPr>
        <w:pStyle w:val="5"/>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一、部门收支</w:t>
      </w:r>
      <w:r>
        <w:rPr>
          <w:rFonts w:ascii="Times New Roman" w:hAnsi="Times New Roman" w:eastAsia="仿宋_GB2312" w:cs="Times New Roman"/>
          <w:sz w:val="32"/>
          <w:szCs w:val="32"/>
        </w:rPr>
        <w:t>决算总表</w:t>
      </w:r>
    </w:p>
    <w:p>
      <w:pPr>
        <w:pStyle w:val="5"/>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二、部门</w:t>
      </w:r>
      <w:r>
        <w:rPr>
          <w:rFonts w:ascii="Times New Roman" w:hAnsi="Times New Roman" w:eastAsia="仿宋_GB2312" w:cs="Times New Roman"/>
          <w:sz w:val="32"/>
          <w:szCs w:val="32"/>
        </w:rPr>
        <w:t>收入决算表</w:t>
      </w:r>
    </w:p>
    <w:p>
      <w:pPr>
        <w:pStyle w:val="5"/>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三、部门</w:t>
      </w:r>
      <w:r>
        <w:rPr>
          <w:rFonts w:ascii="Times New Roman" w:hAnsi="Times New Roman" w:eastAsia="仿宋_GB2312" w:cs="Times New Roman"/>
          <w:sz w:val="32"/>
          <w:szCs w:val="32"/>
        </w:rPr>
        <w:t>支出决算表</w:t>
      </w:r>
    </w:p>
    <w:p>
      <w:pPr>
        <w:pStyle w:val="5"/>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w:t>
      </w:r>
      <w:r>
        <w:rPr>
          <w:rFonts w:ascii="Times New Roman" w:hAnsi="Times New Roman" w:eastAsia="仿宋_GB2312" w:cs="Times New Roman"/>
          <w:sz w:val="32"/>
          <w:szCs w:val="32"/>
        </w:rPr>
        <w:t>财政拨款</w:t>
      </w:r>
      <w:r>
        <w:rPr>
          <w:rFonts w:hint="eastAsia" w:ascii="Times New Roman" w:hAnsi="Times New Roman" w:eastAsia="仿宋_GB2312" w:cs="Times New Roman"/>
          <w:sz w:val="32"/>
          <w:szCs w:val="32"/>
        </w:rPr>
        <w:t>收支</w:t>
      </w:r>
      <w:r>
        <w:rPr>
          <w:rFonts w:ascii="Times New Roman" w:hAnsi="Times New Roman" w:eastAsia="仿宋_GB2312" w:cs="Times New Roman"/>
          <w:sz w:val="32"/>
          <w:szCs w:val="32"/>
        </w:rPr>
        <w:t>决算总表</w:t>
      </w:r>
    </w:p>
    <w:p>
      <w:pPr>
        <w:pStyle w:val="5"/>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w:t>
      </w:r>
      <w:r>
        <w:rPr>
          <w:rFonts w:ascii="Times New Roman" w:hAnsi="Times New Roman" w:eastAsia="仿宋_GB2312" w:cs="Times New Roman"/>
          <w:sz w:val="32"/>
          <w:szCs w:val="32"/>
        </w:rPr>
        <w:t>一般公共预算财政拨款支出决算表</w:t>
      </w:r>
    </w:p>
    <w:p>
      <w:pPr>
        <w:pStyle w:val="5"/>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w:t>
      </w:r>
      <w:r>
        <w:rPr>
          <w:rFonts w:ascii="Times New Roman" w:hAnsi="Times New Roman" w:eastAsia="仿宋_GB2312" w:cs="Times New Roman"/>
          <w:sz w:val="32"/>
          <w:szCs w:val="32"/>
        </w:rPr>
        <w:t>一般公共预算财政拨款基本支出决算表</w:t>
      </w:r>
    </w:p>
    <w:p>
      <w:pPr>
        <w:pStyle w:val="5"/>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七、财政拨款“三公”经费支出决算表</w:t>
      </w:r>
    </w:p>
    <w:p>
      <w:pPr>
        <w:pStyle w:val="5"/>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w:t>
      </w:r>
      <w:r>
        <w:rPr>
          <w:rFonts w:ascii="Times New Roman" w:hAnsi="Times New Roman" w:eastAsia="仿宋_GB2312" w:cs="Times New Roman"/>
          <w:sz w:val="32"/>
          <w:szCs w:val="32"/>
        </w:rPr>
        <w:t>政府性基金预算财政拨款收入支出决算表</w:t>
      </w:r>
    </w:p>
    <w:p>
      <w:pPr>
        <w:pStyle w:val="5"/>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九、国有资本经营预算财政拨款支出决算表</w:t>
      </w:r>
    </w:p>
    <w:p>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第三部分 2023年度部门决算情况说明</w:t>
      </w:r>
    </w:p>
    <w:p>
      <w:pPr>
        <w:pStyle w:val="5"/>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w:t>
      </w:r>
      <w:r>
        <w:rPr>
          <w:rFonts w:ascii="Times New Roman" w:hAnsi="Times New Roman" w:eastAsia="仿宋_GB2312" w:cs="Times New Roman"/>
          <w:sz w:val="32"/>
          <w:szCs w:val="32"/>
        </w:rPr>
        <w:t>收入支出决算总体情况说明</w:t>
      </w:r>
    </w:p>
    <w:p>
      <w:pPr>
        <w:spacing w:line="600" w:lineRule="exact"/>
        <w:ind w:firstLine="800" w:firstLineChars="250"/>
        <w:jc w:val="left"/>
        <w:rPr>
          <w:rFonts w:eastAsia="仿宋_GB2312"/>
          <w:sz w:val="32"/>
          <w:szCs w:val="32"/>
        </w:rPr>
      </w:pPr>
      <w:r>
        <w:rPr>
          <w:rFonts w:hint="eastAsia" w:eastAsia="仿宋_GB2312"/>
          <w:sz w:val="32"/>
          <w:szCs w:val="32"/>
        </w:rPr>
        <w:t>二、</w:t>
      </w:r>
      <w:r>
        <w:rPr>
          <w:rFonts w:eastAsia="仿宋_GB2312"/>
          <w:sz w:val="32"/>
          <w:szCs w:val="32"/>
        </w:rPr>
        <w:t>收入决算情况说明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三、</w:t>
      </w:r>
      <w:r>
        <w:rPr>
          <w:rFonts w:eastAsia="仿宋_GB2312"/>
          <w:color w:val="000000"/>
          <w:kern w:val="0"/>
          <w:sz w:val="32"/>
          <w:szCs w:val="32"/>
        </w:rPr>
        <w:t>支出决算情况说明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四、</w:t>
      </w:r>
      <w:r>
        <w:rPr>
          <w:rFonts w:eastAsia="仿宋_GB2312"/>
          <w:color w:val="000000"/>
          <w:kern w:val="0"/>
          <w:sz w:val="32"/>
          <w:szCs w:val="32"/>
        </w:rPr>
        <w:t>财政拨款收入支出决算总体情况说明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五、</w:t>
      </w:r>
      <w:r>
        <w:rPr>
          <w:rFonts w:eastAsia="仿宋_GB2312"/>
          <w:color w:val="000000"/>
          <w:kern w:val="0"/>
          <w:sz w:val="32"/>
          <w:szCs w:val="32"/>
        </w:rPr>
        <w:t>一般公共预算财政拨款支出决算情况说明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六、</w:t>
      </w:r>
      <w:r>
        <w:rPr>
          <w:rFonts w:eastAsia="仿宋_GB2312"/>
          <w:color w:val="000000"/>
          <w:kern w:val="0"/>
          <w:sz w:val="32"/>
          <w:szCs w:val="32"/>
        </w:rPr>
        <w:t>一般公共预算财政拨款基本支出决算情况说明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七、财政拨款“三公”经费支出决算</w:t>
      </w:r>
      <w:r>
        <w:rPr>
          <w:rFonts w:eastAsia="仿宋_GB2312"/>
          <w:color w:val="000000"/>
          <w:kern w:val="0"/>
          <w:sz w:val="32"/>
          <w:szCs w:val="32"/>
        </w:rPr>
        <w:t>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八、</w:t>
      </w:r>
      <w:r>
        <w:rPr>
          <w:rFonts w:eastAsia="仿宋_GB2312"/>
          <w:color w:val="000000"/>
          <w:kern w:val="0"/>
          <w:sz w:val="32"/>
          <w:szCs w:val="32"/>
        </w:rPr>
        <w:t>政府性基金预算收入支出决算情况</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九、国有资本经营预算财政拨款支出决算情况</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十、</w:t>
      </w:r>
      <w:r>
        <w:rPr>
          <w:rFonts w:eastAsia="仿宋_GB2312"/>
          <w:color w:val="000000"/>
          <w:kern w:val="0"/>
          <w:sz w:val="32"/>
          <w:szCs w:val="32"/>
        </w:rPr>
        <w:t>预算绩效情况说明</w:t>
      </w:r>
    </w:p>
    <w:p>
      <w:pPr>
        <w:autoSpaceDE w:val="0"/>
        <w:autoSpaceDN w:val="0"/>
        <w:adjustRightInd w:val="0"/>
        <w:spacing w:line="600" w:lineRule="exact"/>
        <w:ind w:firstLine="800" w:firstLineChars="250"/>
        <w:jc w:val="left"/>
        <w:rPr>
          <w:rFonts w:eastAsia="仿宋_GB2312"/>
          <w:color w:val="000000"/>
          <w:kern w:val="0"/>
          <w:sz w:val="32"/>
          <w:szCs w:val="32"/>
        </w:rPr>
      </w:pPr>
      <w:r>
        <w:rPr>
          <w:rFonts w:hint="eastAsia" w:eastAsia="仿宋_GB2312"/>
          <w:color w:val="000000"/>
          <w:kern w:val="0"/>
          <w:sz w:val="32"/>
          <w:szCs w:val="32"/>
        </w:rPr>
        <w:t>十一、</w:t>
      </w:r>
      <w:r>
        <w:rPr>
          <w:rFonts w:eastAsia="仿宋_GB2312"/>
          <w:color w:val="000000"/>
          <w:kern w:val="0"/>
          <w:sz w:val="32"/>
          <w:szCs w:val="32"/>
        </w:rPr>
        <w:t>其他重要事项情况说明</w:t>
      </w:r>
    </w:p>
    <w:p>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第四部分 名词解释</w:t>
      </w:r>
    </w:p>
    <w:p>
      <w:pPr>
        <w:widowControl/>
        <w:spacing w:line="600" w:lineRule="exact"/>
        <w:ind w:firstLine="643" w:firstLineChars="200"/>
        <w:jc w:val="left"/>
        <w:outlineLvl w:val="0"/>
        <w:rPr>
          <w:rFonts w:hint="eastAsia" w:ascii="黑体" w:hAnsi="黑体" w:eastAsia="黑体" w:cs="黑体"/>
          <w:b/>
          <w:bCs/>
          <w:kern w:val="0"/>
          <w:sz w:val="32"/>
          <w:szCs w:val="32"/>
        </w:rPr>
      </w:pPr>
      <w:r>
        <w:rPr>
          <w:rFonts w:hint="eastAsia" w:ascii="黑体" w:hAnsi="黑体" w:eastAsia="黑体" w:cs="黑体"/>
          <w:b/>
          <w:bCs/>
          <w:kern w:val="0"/>
          <w:sz w:val="32"/>
          <w:szCs w:val="32"/>
        </w:rPr>
        <w:t>第五部分 附件</w:t>
      </w:r>
    </w:p>
    <w:p>
      <w:pPr>
        <w:widowControl/>
        <w:spacing w:line="600" w:lineRule="exact"/>
        <w:ind w:firstLine="643" w:firstLineChars="200"/>
        <w:jc w:val="left"/>
        <w:rPr>
          <w:rFonts w:hint="eastAsia" w:eastAsia="仿宋_GB2312"/>
          <w:b/>
          <w:bCs/>
          <w:kern w:val="0"/>
          <w:sz w:val="32"/>
          <w:szCs w:val="32"/>
        </w:rPr>
      </w:pPr>
    </w:p>
    <w:p>
      <w:pPr>
        <w:jc w:val="center"/>
        <w:rPr>
          <w:sz w:val="72"/>
          <w:szCs w:val="72"/>
        </w:rPr>
      </w:pPr>
    </w:p>
    <w:p>
      <w:pPr>
        <w:jc w:val="center"/>
        <w:rPr>
          <w:sz w:val="72"/>
          <w:szCs w:val="72"/>
        </w:rPr>
      </w:pPr>
    </w:p>
    <w:p>
      <w:pPr>
        <w:jc w:val="center"/>
        <w:rPr>
          <w:rFonts w:hint="eastAsia"/>
          <w:sz w:val="72"/>
          <w:szCs w:val="72"/>
        </w:rPr>
      </w:pPr>
    </w:p>
    <w:p>
      <w:pPr>
        <w:jc w:val="center"/>
        <w:rPr>
          <w:rFonts w:hint="eastAsia"/>
          <w:sz w:val="72"/>
          <w:szCs w:val="72"/>
        </w:rPr>
      </w:pPr>
    </w:p>
    <w:p>
      <w:pPr>
        <w:jc w:val="center"/>
        <w:rPr>
          <w:rFonts w:hint="eastAsia"/>
          <w:sz w:val="72"/>
          <w:szCs w:val="72"/>
        </w:rPr>
      </w:pPr>
    </w:p>
    <w:p>
      <w:pPr>
        <w:jc w:val="center"/>
        <w:rPr>
          <w:rFonts w:hint="eastAsia"/>
          <w:sz w:val="72"/>
          <w:szCs w:val="72"/>
        </w:rPr>
      </w:pPr>
    </w:p>
    <w:p>
      <w:pPr>
        <w:jc w:val="center"/>
        <w:rPr>
          <w:sz w:val="72"/>
          <w:szCs w:val="72"/>
        </w:rPr>
      </w:pPr>
    </w:p>
    <w:p>
      <w:pPr>
        <w:rPr>
          <w:rFonts w:hint="eastAsia"/>
          <w:sz w:val="72"/>
          <w:szCs w:val="72"/>
        </w:rPr>
      </w:pPr>
    </w:p>
    <w:p>
      <w:pPr>
        <w:rPr>
          <w:rFonts w:hint="eastAsia"/>
          <w:sz w:val="72"/>
          <w:szCs w:val="72"/>
        </w:rPr>
      </w:pPr>
    </w:p>
    <w:p>
      <w:pPr>
        <w:rPr>
          <w:rFonts w:hint="eastAsia"/>
          <w:sz w:val="72"/>
          <w:szCs w:val="72"/>
        </w:rPr>
      </w:pPr>
    </w:p>
    <w:p>
      <w:pPr>
        <w:widowControl/>
        <w:spacing w:line="600" w:lineRule="exact"/>
        <w:jc w:val="center"/>
        <w:rPr>
          <w:rFonts w:hint="eastAsia" w:eastAsia="方正小标宋_GBK"/>
          <w:bCs/>
          <w:kern w:val="0"/>
          <w:sz w:val="36"/>
          <w:szCs w:val="36"/>
        </w:rPr>
      </w:pPr>
    </w:p>
    <w:p>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第一部分 蓝山县塔峰镇第三完全小学部门概况</w:t>
      </w:r>
    </w:p>
    <w:p>
      <w:pPr>
        <w:pStyle w:val="6"/>
        <w:ind w:firstLine="0" w:firstLineChars="0"/>
        <w:jc w:val="left"/>
        <w:rPr>
          <w:rFonts w:ascii="黑体" w:hAnsi="黑体" w:eastAsia="黑体"/>
          <w:sz w:val="32"/>
          <w:szCs w:val="32"/>
        </w:rPr>
      </w:pPr>
    </w:p>
    <w:p>
      <w:pPr>
        <w:widowControl/>
        <w:spacing w:line="600" w:lineRule="exact"/>
        <w:ind w:firstLine="640" w:firstLineChars="200"/>
        <w:outlineLvl w:val="1"/>
        <w:rPr>
          <w:rFonts w:hint="eastAsia" w:ascii="黑体" w:hAnsi="黑体" w:eastAsia="黑体"/>
          <w:bCs/>
          <w:kern w:val="0"/>
          <w:sz w:val="32"/>
          <w:szCs w:val="32"/>
        </w:rPr>
      </w:pPr>
      <w:r>
        <w:rPr>
          <w:rFonts w:hint="eastAsia" w:ascii="黑体" w:hAnsi="黑体" w:eastAsia="黑体"/>
          <w:bCs/>
          <w:kern w:val="0"/>
          <w:sz w:val="32"/>
          <w:szCs w:val="32"/>
        </w:rPr>
        <w:t>一、部门职能职责</w:t>
      </w:r>
    </w:p>
    <w:p>
      <w:pPr>
        <w:widowControl/>
        <w:spacing w:line="600" w:lineRule="exact"/>
        <w:ind w:firstLine="630" w:firstLineChars="196"/>
        <w:jc w:val="left"/>
        <w:rPr>
          <w:rFonts w:hint="eastAsia" w:eastAsia="仿宋_GB2312"/>
          <w:sz w:val="32"/>
          <w:szCs w:val="32"/>
        </w:rPr>
      </w:pPr>
      <w:r>
        <w:rPr>
          <w:rFonts w:hint="eastAsia" w:ascii="楷体_GB2312" w:hAnsi="宋体" w:eastAsia="楷体_GB2312"/>
          <w:b/>
          <w:bCs/>
          <w:kern w:val="0"/>
          <w:sz w:val="32"/>
          <w:szCs w:val="32"/>
        </w:rPr>
        <w:t>（一）</w:t>
      </w:r>
      <w:r>
        <w:rPr>
          <w:rFonts w:hint="eastAsia" w:eastAsia="楷体_GB2312"/>
          <w:b/>
          <w:sz w:val="32"/>
          <w:szCs w:val="32"/>
        </w:rPr>
        <w:t>学校办学原则、宗旨：</w:t>
      </w:r>
      <w:r>
        <w:rPr>
          <w:rFonts w:hint="eastAsia" w:eastAsia="仿宋_GB2312"/>
          <w:sz w:val="32"/>
          <w:szCs w:val="32"/>
        </w:rPr>
        <w:t>坚持中国特色社会主义办学方向，认真贯彻执行党的教育方针，实施小学、初中义务教育，促进基础教育发展，严格落实《教育法》《义务教育法》《教师法》等法律法规；全面实施素质教育，培育和践行社会主义核心价值观，坚持德育为先，培育德智体美劳全面发展的社会主义建设者和接班人。</w:t>
      </w:r>
    </w:p>
    <w:p>
      <w:pPr>
        <w:ind w:firstLine="643" w:firstLineChars="200"/>
        <w:jc w:val="left"/>
        <w:rPr>
          <w:rFonts w:eastAsia="楷体_GB2312"/>
          <w:b/>
          <w:sz w:val="32"/>
          <w:szCs w:val="32"/>
        </w:rPr>
      </w:pPr>
      <w:r>
        <w:rPr>
          <w:rFonts w:eastAsia="楷体_GB2312"/>
          <w:b/>
          <w:sz w:val="32"/>
          <w:szCs w:val="32"/>
        </w:rPr>
        <w:t>（</w:t>
      </w:r>
      <w:r>
        <w:rPr>
          <w:rFonts w:hint="eastAsia" w:eastAsia="楷体_GB2312"/>
          <w:b/>
          <w:sz w:val="32"/>
          <w:szCs w:val="32"/>
        </w:rPr>
        <w:t>二</w:t>
      </w:r>
      <w:r>
        <w:rPr>
          <w:rFonts w:eastAsia="楷体_GB2312"/>
          <w:b/>
          <w:sz w:val="32"/>
          <w:szCs w:val="32"/>
        </w:rPr>
        <w:t>）</w:t>
      </w:r>
      <w:r>
        <w:rPr>
          <w:rFonts w:hint="eastAsia" w:eastAsia="楷体_GB2312"/>
          <w:b/>
          <w:sz w:val="32"/>
          <w:szCs w:val="32"/>
        </w:rPr>
        <w:t>学校业务范围为：</w:t>
      </w:r>
      <w:r>
        <w:rPr>
          <w:rFonts w:hint="eastAsia" w:eastAsia="仿宋_GB2312"/>
          <w:sz w:val="32"/>
          <w:szCs w:val="32"/>
        </w:rPr>
        <w:t>实施小学义务教育，促进基础义务教育的发展。小学学历教育。搞好教育教学工作。</w:t>
      </w:r>
    </w:p>
    <w:p>
      <w:pPr>
        <w:widowControl/>
        <w:spacing w:line="600" w:lineRule="exact"/>
        <w:ind w:firstLine="640" w:firstLineChars="200"/>
        <w:outlineLvl w:val="1"/>
        <w:rPr>
          <w:rFonts w:hint="eastAsia"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ind w:firstLine="643" w:firstLineChars="200"/>
        <w:rPr>
          <w:rFonts w:hint="eastAsia" w:ascii="楷体_GB2312" w:hAnsi="宋体" w:eastAsia="楷体_GB2312"/>
          <w:b/>
          <w:bCs/>
          <w:kern w:val="0"/>
          <w:sz w:val="32"/>
          <w:szCs w:val="32"/>
        </w:rPr>
      </w:pPr>
      <w:r>
        <w:rPr>
          <w:rFonts w:hint="eastAsia" w:ascii="楷体_GB2312" w:hAnsi="宋体" w:eastAsia="楷体_GB2312"/>
          <w:b/>
          <w:bCs/>
          <w:kern w:val="0"/>
          <w:sz w:val="32"/>
          <w:szCs w:val="32"/>
        </w:rPr>
        <w:t>（一）内设机构设置。</w:t>
      </w:r>
    </w:p>
    <w:p>
      <w:pPr>
        <w:widowControl/>
        <w:spacing w:line="600" w:lineRule="exact"/>
        <w:ind w:firstLine="640" w:firstLineChars="200"/>
        <w:rPr>
          <w:rFonts w:hint="eastAsia" w:ascii="仿宋_GB2312" w:hAnsi="仿宋_GB2312" w:eastAsia="仿宋_GB2312" w:cs="仿宋_GB2312"/>
          <w:sz w:val="30"/>
          <w:szCs w:val="30"/>
        </w:rPr>
      </w:pPr>
      <w:r>
        <w:rPr>
          <w:rFonts w:hint="eastAsia" w:eastAsia="仿宋_GB2312"/>
          <w:sz w:val="32"/>
          <w:szCs w:val="32"/>
        </w:rPr>
        <w:t>1.</w:t>
      </w:r>
      <w:r>
        <w:rPr>
          <w:rFonts w:hint="eastAsia" w:ascii="仿宋_GB2312" w:hAnsi="仿宋_GB2312" w:eastAsia="仿宋_GB2312" w:cs="仿宋_GB2312"/>
          <w:sz w:val="30"/>
          <w:szCs w:val="30"/>
        </w:rPr>
        <w:t>蓝山县三完小是一个财政全额拨款的事业单位，单位现有校长一名，副校长3名，现有下设机构四个：工会委员会一个，设有工会主席一名;教务处一个，设有教务主任一名，副教导主任一名,政教副主任一名；学校少先队一个，设有辅导员一名；财务室一个，设有会计一名，出纳一名。</w:t>
      </w:r>
    </w:p>
    <w:p>
      <w:pPr>
        <w:pStyle w:val="2"/>
        <w:widowControl/>
        <w:spacing w:line="33" w:lineRule="atLeast"/>
        <w:ind w:firstLine="640" w:firstLineChars="200"/>
        <w:jc w:val="both"/>
        <w:rPr>
          <w:rFonts w:hint="eastAsia" w:ascii="仿宋_GB2312" w:hAnsi="仿宋_GB2312" w:eastAsia="仿宋_GB2312" w:cs="仿宋_GB2312"/>
          <w:sz w:val="30"/>
          <w:szCs w:val="30"/>
        </w:rPr>
      </w:pPr>
      <w:r>
        <w:rPr>
          <w:rFonts w:hint="eastAsia" w:eastAsia="仿宋_GB2312"/>
          <w:sz w:val="32"/>
          <w:szCs w:val="32"/>
        </w:rPr>
        <w:t>2.学生情况：</w:t>
      </w:r>
      <w:r>
        <w:rPr>
          <w:rFonts w:hint="eastAsia" w:ascii="仿宋_GB2312" w:hAnsi="仿宋_GB2312" w:eastAsia="仿宋_GB2312" w:cs="仿宋_GB2312"/>
          <w:sz w:val="30"/>
          <w:szCs w:val="30"/>
        </w:rPr>
        <w:t>2023年上期学生1526人，学校班级30个。2023年下期学生1200人，学校班级24个。</w:t>
      </w:r>
    </w:p>
    <w:p>
      <w:pPr>
        <w:pStyle w:val="2"/>
        <w:widowControl/>
        <w:spacing w:line="33" w:lineRule="atLeast"/>
        <w:ind w:firstLine="640" w:firstLineChars="200"/>
        <w:jc w:val="both"/>
        <w:rPr>
          <w:rFonts w:hint="eastAsia" w:ascii="仿宋_GB2312" w:hAnsi="仿宋_GB2312" w:eastAsia="仿宋_GB2312" w:cs="仿宋_GB2312"/>
          <w:sz w:val="30"/>
          <w:szCs w:val="30"/>
        </w:rPr>
      </w:pPr>
      <w:r>
        <w:rPr>
          <w:rFonts w:hint="eastAsia" w:eastAsia="仿宋_GB2312"/>
          <w:sz w:val="32"/>
          <w:szCs w:val="32"/>
        </w:rPr>
        <w:t>3.人员情况：</w:t>
      </w:r>
      <w:r>
        <w:rPr>
          <w:rFonts w:hint="eastAsia" w:ascii="仿宋_GB2312" w:hAnsi="仿宋_GB2312" w:eastAsia="仿宋_GB2312" w:cs="仿宋_GB2312"/>
          <w:sz w:val="30"/>
          <w:szCs w:val="30"/>
        </w:rPr>
        <w:t>我校现有教职工68人，（其中在职在编教师68人），退休教师48人。</w:t>
      </w:r>
    </w:p>
    <w:p>
      <w:pPr>
        <w:widowControl/>
        <w:spacing w:line="600" w:lineRule="exact"/>
        <w:ind w:firstLine="643" w:firstLineChars="200"/>
        <w:rPr>
          <w:rFonts w:hint="eastAsia" w:eastAsia="仿宋_GB2312"/>
          <w:bCs/>
          <w:kern w:val="0"/>
          <w:sz w:val="32"/>
          <w:szCs w:val="32"/>
        </w:rPr>
      </w:pPr>
      <w:r>
        <w:rPr>
          <w:rFonts w:hint="eastAsia" w:ascii="楷体_GB2312" w:hAnsi="宋体" w:eastAsia="楷体_GB2312"/>
          <w:b/>
          <w:bCs/>
          <w:kern w:val="0"/>
          <w:sz w:val="32"/>
          <w:szCs w:val="32"/>
        </w:rPr>
        <w:t>（二）决算单位构成。</w:t>
      </w:r>
      <w:r>
        <w:rPr>
          <w:rFonts w:hint="eastAsia" w:eastAsia="仿宋_GB2312"/>
          <w:bCs/>
          <w:kern w:val="0"/>
          <w:sz w:val="32"/>
          <w:szCs w:val="32"/>
        </w:rPr>
        <w:t>蓝山县塔峰镇第三完全小学</w:t>
      </w:r>
      <w:r>
        <w:rPr>
          <w:rFonts w:hint="eastAsia" w:eastAsia="仿宋_GB2312"/>
          <w:bCs/>
          <w:kern w:val="0"/>
          <w:sz w:val="32"/>
          <w:szCs w:val="32"/>
          <w:lang w:val="en-US" w:eastAsia="zh-CN"/>
        </w:rPr>
        <w:t>单位</w:t>
      </w:r>
      <w:r>
        <w:rPr>
          <w:rFonts w:eastAsia="仿宋_GB2312"/>
          <w:bCs/>
          <w:kern w:val="0"/>
          <w:sz w:val="32"/>
          <w:szCs w:val="32"/>
        </w:rPr>
        <w:t>202</w:t>
      </w:r>
      <w:r>
        <w:rPr>
          <w:rFonts w:hint="eastAsia" w:eastAsia="仿宋_GB2312"/>
          <w:bCs/>
          <w:kern w:val="0"/>
          <w:sz w:val="32"/>
          <w:szCs w:val="32"/>
        </w:rPr>
        <w:t>3</w:t>
      </w:r>
      <w:r>
        <w:rPr>
          <w:rFonts w:eastAsia="仿宋_GB2312"/>
          <w:bCs/>
          <w:kern w:val="0"/>
          <w:sz w:val="32"/>
          <w:szCs w:val="32"/>
        </w:rPr>
        <w:t>年部门决算汇总公开单位构成包括：</w:t>
      </w:r>
      <w:r>
        <w:rPr>
          <w:rFonts w:hint="eastAsia" w:eastAsia="仿宋_GB2312"/>
          <w:bCs/>
          <w:kern w:val="0"/>
          <w:sz w:val="32"/>
          <w:szCs w:val="32"/>
        </w:rPr>
        <w:t>蓝山县塔峰镇第三完全小学</w:t>
      </w:r>
      <w:r>
        <w:rPr>
          <w:rFonts w:eastAsia="仿宋_GB2312"/>
          <w:bCs/>
          <w:kern w:val="0"/>
          <w:sz w:val="32"/>
          <w:szCs w:val="32"/>
        </w:rPr>
        <w:t>单位本级</w:t>
      </w:r>
      <w:r>
        <w:rPr>
          <w:rFonts w:hint="eastAsia" w:eastAsia="仿宋_GB2312"/>
          <w:bCs/>
          <w:kern w:val="0"/>
          <w:sz w:val="32"/>
          <w:szCs w:val="32"/>
        </w:rPr>
        <w:t>。</w:t>
      </w:r>
    </w:p>
    <w:p>
      <w:pPr>
        <w:jc w:val="left"/>
        <w:rPr>
          <w:rFonts w:hint="eastAsia" w:ascii="仿宋_GB2312" w:hAnsi="宋体" w:eastAsia="仿宋_GB2312"/>
          <w:sz w:val="28"/>
          <w:szCs w:val="32"/>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jc w:val="center"/>
        <w:rPr>
          <w:rFonts w:hint="eastAsia" w:ascii="黑体" w:hAnsi="黑体" w:eastAsia="黑体"/>
          <w:sz w:val="28"/>
          <w:szCs w:val="28"/>
        </w:rPr>
      </w:pPr>
    </w:p>
    <w:p>
      <w:pPr>
        <w:rPr>
          <w:sz w:val="72"/>
          <w:szCs w:val="72"/>
        </w:rPr>
      </w:pPr>
    </w:p>
    <w:p>
      <w:pPr>
        <w:widowControl/>
        <w:spacing w:line="600" w:lineRule="exact"/>
        <w:jc w:val="center"/>
        <w:outlineLvl w:val="0"/>
        <w:rPr>
          <w:rFonts w:hint="eastAsia" w:ascii="黑体" w:hAnsi="黑体" w:eastAsia="黑体" w:cs="黑体"/>
          <w:bCs/>
          <w:kern w:val="0"/>
          <w:sz w:val="44"/>
          <w:szCs w:val="44"/>
        </w:rPr>
      </w:pPr>
      <w:r>
        <w:rPr>
          <w:rFonts w:hint="eastAsia" w:ascii="黑体" w:hAnsi="黑体" w:eastAsia="黑体" w:cs="黑体"/>
          <w:bCs/>
          <w:kern w:val="0"/>
          <w:sz w:val="44"/>
          <w:szCs w:val="44"/>
        </w:rPr>
        <w:br w:type="page"/>
      </w:r>
      <w:r>
        <w:rPr>
          <w:rFonts w:hint="eastAsia" w:ascii="黑体" w:hAnsi="黑体" w:eastAsia="黑体" w:cs="黑体"/>
          <w:bCs/>
          <w:kern w:val="0"/>
          <w:sz w:val="44"/>
          <w:szCs w:val="44"/>
        </w:rPr>
        <w:t>第二部分 2023年部门决算表</w:t>
      </w:r>
    </w:p>
    <w:p>
      <w:pPr>
        <w:jc w:val="center"/>
        <w:rPr>
          <w:sz w:val="72"/>
          <w:szCs w:val="72"/>
        </w:rPr>
      </w:pPr>
    </w:p>
    <w:p>
      <w:pPr>
        <w:widowControl/>
        <w:jc w:val="left"/>
        <w:rPr>
          <w:rFonts w:ascii="宋体" w:hAnsi="宋体"/>
          <w:kern w:val="0"/>
          <w:sz w:val="32"/>
          <w:szCs w:val="32"/>
        </w:rPr>
        <w:sectPr>
          <w:pgSz w:w="11906" w:h="16838"/>
          <w:pgMar w:top="1440" w:right="1558" w:bottom="1440" w:left="1800" w:header="851" w:footer="992" w:gutter="0"/>
          <w:cols w:space="720" w:num="1"/>
          <w:docGrid w:type="lines" w:linePitch="312" w:charSpace="0"/>
        </w:sectPr>
      </w:pPr>
    </w:p>
    <w:tbl>
      <w:tblPr>
        <w:tblStyle w:val="3"/>
        <w:tblpPr w:leftFromText="180" w:rightFromText="180" w:vertAnchor="text" w:horzAnchor="margin" w:tblpXSpec="center" w:tblpY="1"/>
        <w:tblOverlap w:val="never"/>
        <w:tblW w:w="14072" w:type="dxa"/>
        <w:tblInd w:w="0" w:type="dxa"/>
        <w:tblLayout w:type="fixed"/>
        <w:tblCellMar>
          <w:top w:w="0" w:type="dxa"/>
          <w:left w:w="108" w:type="dxa"/>
          <w:bottom w:w="0" w:type="dxa"/>
          <w:right w:w="108" w:type="dxa"/>
        </w:tblCellMar>
      </w:tblPr>
      <w:tblGrid>
        <w:gridCol w:w="812"/>
        <w:gridCol w:w="709"/>
        <w:gridCol w:w="4233"/>
        <w:gridCol w:w="241"/>
        <w:gridCol w:w="375"/>
        <w:gridCol w:w="2485"/>
        <w:gridCol w:w="375"/>
        <w:gridCol w:w="4842"/>
      </w:tblGrid>
      <w:tr>
        <w:tblPrEx>
          <w:tblCellMar>
            <w:top w:w="0" w:type="dxa"/>
            <w:left w:w="108" w:type="dxa"/>
            <w:bottom w:w="0" w:type="dxa"/>
            <w:right w:w="108" w:type="dxa"/>
          </w:tblCellMar>
        </w:tblPrEx>
        <w:trPr>
          <w:trHeight w:val="1389" w:hRule="atLeast"/>
        </w:trPr>
        <w:tc>
          <w:tcPr>
            <w:tcW w:w="14072" w:type="dxa"/>
            <w:gridSpan w:val="8"/>
            <w:tcBorders>
              <w:top w:val="nil"/>
              <w:left w:val="nil"/>
              <w:bottom w:val="nil"/>
              <w:right w:val="nil"/>
            </w:tcBorders>
            <w:noWrap w:val="0"/>
            <w:vAlign w:val="center"/>
          </w:tcPr>
          <w:p>
            <w:pPr>
              <w:jc w:val="center"/>
              <w:rPr>
                <w:rFonts w:ascii="黑体" w:hAnsi="黑体" w:eastAsia="黑体" w:cs="黑体"/>
                <w:sz w:val="36"/>
                <w:szCs w:val="32"/>
              </w:rPr>
            </w:pPr>
            <w:r>
              <w:rPr>
                <w:rFonts w:hint="eastAsia" w:ascii="黑体" w:hAnsi="黑体" w:eastAsia="黑体" w:cs="黑体"/>
                <w:sz w:val="36"/>
                <w:szCs w:val="32"/>
              </w:rPr>
              <w:t>部门收支决算总表</w:t>
            </w:r>
          </w:p>
        </w:tc>
      </w:tr>
      <w:tr>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709"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233"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16"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0" w:type="dxa"/>
            <w:gridSpan w:val="2"/>
            <w:tcBorders>
              <w:top w:val="nil"/>
              <w:left w:val="nil"/>
              <w:bottom w:val="nil"/>
              <w:right w:val="nil"/>
            </w:tcBorders>
            <w:noWrap w:val="0"/>
            <w:vAlign w:val="center"/>
          </w:tcPr>
          <w:p>
            <w:pPr>
              <w:widowControl/>
              <w:jc w:val="right"/>
              <w:rPr>
                <w:rFonts w:hint="eastAsia" w:ascii="宋体" w:hAnsi="宋体" w:cs="宋体"/>
                <w:kern w:val="0"/>
                <w:sz w:val="20"/>
                <w:szCs w:val="20"/>
              </w:rPr>
            </w:pPr>
          </w:p>
        </w:tc>
        <w:tc>
          <w:tcPr>
            <w:tcW w:w="4842"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1表</w:t>
            </w:r>
          </w:p>
        </w:tc>
      </w:tr>
      <w:tr>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noWrap/>
            <w:vAlign w:val="center"/>
          </w:tcPr>
          <w:p>
            <w:pPr>
              <w:widowControl/>
              <w:rPr>
                <w:rFonts w:hint="eastAsia" w:ascii="宋体" w:hAnsi="宋体" w:cs="宋体"/>
                <w:color w:val="000000"/>
                <w:kern w:val="0"/>
                <w:sz w:val="20"/>
                <w:szCs w:val="20"/>
              </w:rPr>
            </w:pPr>
            <w:r>
              <w:rPr>
                <w:rFonts w:hint="eastAsia" w:eastAsia="仿宋_GB2312"/>
                <w:color w:val="000000"/>
                <w:kern w:val="0"/>
                <w:szCs w:val="21"/>
              </w:rPr>
              <w:t>部门：</w:t>
            </w:r>
          </w:p>
        </w:tc>
        <w:tc>
          <w:tcPr>
            <w:tcW w:w="4942" w:type="dxa"/>
            <w:gridSpan w:val="2"/>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宋体" w:hAnsi="宋体" w:cs="宋体"/>
                <w:kern w:val="0"/>
                <w:sz w:val="20"/>
                <w:szCs w:val="20"/>
              </w:rPr>
              <w:t>蓝山县塔峰镇第三完全小学</w:t>
            </w:r>
          </w:p>
        </w:tc>
        <w:tc>
          <w:tcPr>
            <w:tcW w:w="241"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0"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17" w:type="dxa"/>
            <w:gridSpan w:val="2"/>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jc w:val="center"/>
        <w:rPr>
          <w:rFonts w:ascii="方正小标宋_GBK" w:hAnsi="黑体" w:eastAsia="方正小标宋_GBK"/>
          <w:sz w:val="36"/>
          <w:szCs w:val="32"/>
        </w:rPr>
      </w:pPr>
    </w:p>
    <w:p>
      <w:pPr>
        <w:widowControl/>
        <w:spacing w:line="320" w:lineRule="exact"/>
        <w:ind w:right="198"/>
        <w:jc w:val="right"/>
        <w:rPr>
          <w:rFonts w:eastAsia="仿宋_GB2312"/>
          <w:color w:val="000000"/>
          <w:kern w:val="0"/>
          <w:szCs w:val="21"/>
        </w:rPr>
      </w:pPr>
      <w:r>
        <w:rPr>
          <w:rFonts w:eastAsia="仿宋_GB2312"/>
          <w:color w:val="000000"/>
          <w:kern w:val="0"/>
          <w:szCs w:val="21"/>
        </w:rPr>
        <w:t xml:space="preserve">                                                                                                           </w:t>
      </w:r>
    </w:p>
    <w:tbl>
      <w:tblPr>
        <w:tblStyle w:val="3"/>
        <w:tblW w:w="14321" w:type="dxa"/>
        <w:jc w:val="center"/>
        <w:tblLayout w:type="autofit"/>
        <w:tblCellMar>
          <w:top w:w="0" w:type="dxa"/>
          <w:left w:w="108" w:type="dxa"/>
          <w:bottom w:w="0" w:type="dxa"/>
          <w:right w:w="108" w:type="dxa"/>
        </w:tblCellMar>
      </w:tblPr>
      <w:tblGrid>
        <w:gridCol w:w="4953"/>
        <w:gridCol w:w="705"/>
        <w:gridCol w:w="1430"/>
        <w:gridCol w:w="4840"/>
        <w:gridCol w:w="705"/>
        <w:gridCol w:w="1688"/>
      </w:tblGrid>
      <w:tr>
        <w:tblPrEx>
          <w:tblCellMar>
            <w:top w:w="0" w:type="dxa"/>
            <w:left w:w="108" w:type="dxa"/>
            <w:bottom w:w="0" w:type="dxa"/>
            <w:right w:w="108" w:type="dxa"/>
          </w:tblCellMar>
        </w:tblPrEx>
        <w:trPr>
          <w:trHeight w:val="474" w:hRule="atLeast"/>
          <w:jc w:val="center"/>
        </w:trPr>
        <w:tc>
          <w:tcPr>
            <w:tcW w:w="7088"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收入</w:t>
            </w:r>
          </w:p>
        </w:tc>
        <w:tc>
          <w:tcPr>
            <w:tcW w:w="7233" w:type="dxa"/>
            <w:gridSpan w:val="3"/>
            <w:tcBorders>
              <w:top w:val="single" w:color="auto" w:sz="4" w:space="0"/>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支出</w:t>
            </w:r>
          </w:p>
        </w:tc>
      </w:tr>
      <w:tr>
        <w:tblPrEx>
          <w:tblCellMar>
            <w:top w:w="0" w:type="dxa"/>
            <w:left w:w="108" w:type="dxa"/>
            <w:bottom w:w="0" w:type="dxa"/>
            <w:right w:w="108" w:type="dxa"/>
          </w:tblCellMar>
        </w:tblPrEx>
        <w:trPr>
          <w:trHeight w:val="554"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行次</w:t>
            </w:r>
          </w:p>
        </w:tc>
        <w:tc>
          <w:tcPr>
            <w:tcW w:w="1430"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决算数</w:t>
            </w:r>
          </w:p>
        </w:tc>
        <w:tc>
          <w:tcPr>
            <w:tcW w:w="4840"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行次</w:t>
            </w:r>
          </w:p>
        </w:tc>
        <w:tc>
          <w:tcPr>
            <w:tcW w:w="1688"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决算数</w:t>
            </w:r>
          </w:p>
        </w:tc>
      </w:tr>
      <w:tr>
        <w:tblPrEx>
          <w:tblCellMar>
            <w:top w:w="0" w:type="dxa"/>
            <w:left w:w="108" w:type="dxa"/>
            <w:bottom w:w="0" w:type="dxa"/>
            <w:right w:w="108" w:type="dxa"/>
          </w:tblCellMar>
        </w:tblPrEx>
        <w:trPr>
          <w:trHeight w:val="478"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705" w:type="dxa"/>
            <w:tcBorders>
              <w:top w:val="nil"/>
              <w:left w:val="nil"/>
              <w:bottom w:val="single" w:color="auto" w:sz="4" w:space="0"/>
              <w:right w:val="single" w:color="auto" w:sz="4" w:space="0"/>
            </w:tcBorders>
            <w:noWrap/>
            <w:vAlign w:val="center"/>
          </w:tcPr>
          <w:p>
            <w:pPr>
              <w:rPr>
                <w:rFonts w:eastAsia="仿宋_GB2312"/>
                <w:kern w:val="0"/>
                <w:szCs w:val="21"/>
              </w:rPr>
            </w:pPr>
            <w:r>
              <w:rPr>
                <w:rFonts w:hint="eastAsia" w:eastAsia="仿宋_GB2312"/>
                <w:kern w:val="0"/>
                <w:szCs w:val="21"/>
              </w:rPr>
              <w:t>　</w:t>
            </w:r>
          </w:p>
        </w:tc>
        <w:tc>
          <w:tcPr>
            <w:tcW w:w="1430"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w:t>
            </w:r>
          </w:p>
        </w:tc>
        <w:tc>
          <w:tcPr>
            <w:tcW w:w="4840"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　</w:t>
            </w:r>
          </w:p>
        </w:tc>
        <w:tc>
          <w:tcPr>
            <w:tcW w:w="1688"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一、一般公共预算财政拨款收入</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484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一、一般公共服务支出</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14</w:t>
            </w:r>
          </w:p>
        </w:tc>
        <w:tc>
          <w:tcPr>
            <w:tcW w:w="1688"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二、政府性基金预算财政拨款收入</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4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二、外交支出</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15</w:t>
            </w:r>
          </w:p>
        </w:tc>
        <w:tc>
          <w:tcPr>
            <w:tcW w:w="1688"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三、上级补助收入</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3</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4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三、国防支出</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16</w:t>
            </w:r>
          </w:p>
        </w:tc>
        <w:tc>
          <w:tcPr>
            <w:tcW w:w="1688"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四、事业收入</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4</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4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四、公共安全支出</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17</w:t>
            </w:r>
          </w:p>
        </w:tc>
        <w:tc>
          <w:tcPr>
            <w:tcW w:w="1688"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五、经营收入</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5</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4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五、教育支出</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18</w:t>
            </w:r>
          </w:p>
        </w:tc>
        <w:tc>
          <w:tcPr>
            <w:tcW w:w="1688"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六、附属单位上缴收入</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6</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4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六、科学技术支出</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19</w:t>
            </w:r>
          </w:p>
        </w:tc>
        <w:tc>
          <w:tcPr>
            <w:tcW w:w="1688"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七、其他收入</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7</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4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七、</w:t>
            </w:r>
            <w:r>
              <w:rPr>
                <w:rFonts w:eastAsia="仿宋_GB2312"/>
                <w:kern w:val="0"/>
                <w:szCs w:val="21"/>
              </w:rPr>
              <w:t>……</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20</w:t>
            </w:r>
          </w:p>
        </w:tc>
        <w:tc>
          <w:tcPr>
            <w:tcW w:w="1688"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8</w:t>
            </w:r>
          </w:p>
        </w:tc>
        <w:tc>
          <w:tcPr>
            <w:tcW w:w="143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484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21</w:t>
            </w:r>
          </w:p>
        </w:tc>
        <w:tc>
          <w:tcPr>
            <w:tcW w:w="1688"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center"/>
              <w:rPr>
                <w:rFonts w:eastAsia="仿宋_GB2312"/>
                <w:b/>
                <w:bCs/>
                <w:kern w:val="0"/>
                <w:szCs w:val="21"/>
              </w:rPr>
            </w:pPr>
            <w:r>
              <w:rPr>
                <w:rFonts w:hint="eastAsia" w:eastAsia="仿宋_GB2312"/>
                <w:b/>
                <w:bCs/>
                <w:kern w:val="0"/>
                <w:szCs w:val="21"/>
              </w:rPr>
              <w:t>本年收入合计</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9</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4840" w:type="dxa"/>
            <w:tcBorders>
              <w:top w:val="nil"/>
              <w:left w:val="nil"/>
              <w:bottom w:val="single" w:color="auto" w:sz="4" w:space="0"/>
              <w:right w:val="single" w:color="auto" w:sz="4" w:space="0"/>
            </w:tcBorders>
            <w:noWrap/>
            <w:vAlign w:val="center"/>
          </w:tcPr>
          <w:p>
            <w:pPr>
              <w:widowControl/>
              <w:jc w:val="center"/>
              <w:rPr>
                <w:rFonts w:eastAsia="仿宋_GB2312"/>
                <w:b/>
                <w:bCs/>
                <w:kern w:val="0"/>
                <w:szCs w:val="21"/>
              </w:rPr>
            </w:pPr>
            <w:r>
              <w:rPr>
                <w:rFonts w:hint="eastAsia" w:eastAsia="仿宋_GB2312"/>
                <w:b/>
                <w:bCs/>
                <w:kern w:val="0"/>
                <w:szCs w:val="21"/>
              </w:rPr>
              <w:t>本年支出合计</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22</w:t>
            </w:r>
          </w:p>
        </w:tc>
        <w:tc>
          <w:tcPr>
            <w:tcW w:w="1688" w:type="dxa"/>
            <w:tcBorders>
              <w:top w:val="nil"/>
              <w:left w:val="nil"/>
              <w:bottom w:val="single" w:color="auto" w:sz="4" w:space="0"/>
              <w:right w:val="single" w:color="auto" w:sz="4" w:space="0"/>
            </w:tcBorders>
            <w:noWrap/>
            <w:vAlign w:val="center"/>
          </w:tcPr>
          <w:p>
            <w:pPr>
              <w:widowControl/>
              <w:jc w:val="left"/>
              <w:rPr>
                <w:rFonts w:eastAsia="仿宋_GB2312"/>
                <w:b/>
                <w:bCs/>
                <w:kern w:val="0"/>
                <w:szCs w:val="21"/>
              </w:rPr>
            </w:pPr>
            <w:r>
              <w:rPr>
                <w:rFonts w:hint="eastAsia" w:eastAsia="仿宋_GB2312"/>
                <w:b/>
                <w:bCs/>
                <w:kern w:val="0"/>
                <w:szCs w:val="21"/>
              </w:rPr>
              <w:t>　</w:t>
            </w:r>
            <w:r>
              <w:rPr>
                <w:rFonts w:hint="eastAsia" w:eastAsia="仿宋_GB2312"/>
                <w:kern w:val="0"/>
                <w:szCs w:val="21"/>
              </w:rPr>
              <w:t>1150.33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用事业基金弥补收支差额</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10</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4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结余分配</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23</w:t>
            </w:r>
          </w:p>
        </w:tc>
        <w:tc>
          <w:tcPr>
            <w:tcW w:w="1688"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年初结转和结余</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11</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4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年末结转和结余</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24</w:t>
            </w:r>
          </w:p>
        </w:tc>
        <w:tc>
          <w:tcPr>
            <w:tcW w:w="1688"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12</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4840"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25</w:t>
            </w:r>
          </w:p>
        </w:tc>
        <w:tc>
          <w:tcPr>
            <w:tcW w:w="1688"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20" w:hRule="atLeast"/>
          <w:jc w:val="center"/>
        </w:trPr>
        <w:tc>
          <w:tcPr>
            <w:tcW w:w="4953" w:type="dxa"/>
            <w:tcBorders>
              <w:top w:val="nil"/>
              <w:left w:val="single" w:color="auto" w:sz="4" w:space="0"/>
              <w:bottom w:val="single" w:color="auto" w:sz="4" w:space="0"/>
              <w:right w:val="single" w:color="auto" w:sz="4" w:space="0"/>
            </w:tcBorders>
            <w:noWrap/>
            <w:vAlign w:val="center"/>
          </w:tcPr>
          <w:p>
            <w:pPr>
              <w:widowControl/>
              <w:jc w:val="center"/>
              <w:rPr>
                <w:rFonts w:eastAsia="仿宋_GB2312"/>
                <w:b/>
                <w:bCs/>
                <w:kern w:val="0"/>
                <w:szCs w:val="21"/>
              </w:rPr>
            </w:pPr>
            <w:r>
              <w:rPr>
                <w:rFonts w:hint="eastAsia" w:eastAsia="仿宋_GB2312"/>
                <w:b/>
                <w:bCs/>
                <w:kern w:val="0"/>
                <w:szCs w:val="21"/>
              </w:rPr>
              <w:t>总计</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13</w:t>
            </w:r>
          </w:p>
        </w:tc>
        <w:tc>
          <w:tcPr>
            <w:tcW w:w="1430"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4840" w:type="dxa"/>
            <w:tcBorders>
              <w:top w:val="nil"/>
              <w:left w:val="nil"/>
              <w:bottom w:val="single" w:color="auto" w:sz="4" w:space="0"/>
              <w:right w:val="single" w:color="auto" w:sz="4" w:space="0"/>
            </w:tcBorders>
            <w:noWrap/>
            <w:vAlign w:val="center"/>
          </w:tcPr>
          <w:p>
            <w:pPr>
              <w:widowControl/>
              <w:jc w:val="center"/>
              <w:rPr>
                <w:rFonts w:eastAsia="仿宋_GB2312"/>
                <w:b/>
                <w:bCs/>
                <w:kern w:val="0"/>
                <w:szCs w:val="21"/>
              </w:rPr>
            </w:pPr>
            <w:r>
              <w:rPr>
                <w:rFonts w:hint="eastAsia" w:eastAsia="仿宋_GB2312"/>
                <w:b/>
                <w:bCs/>
                <w:kern w:val="0"/>
                <w:szCs w:val="21"/>
              </w:rPr>
              <w:t>总计</w:t>
            </w:r>
          </w:p>
        </w:tc>
        <w:tc>
          <w:tcPr>
            <w:tcW w:w="70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26</w:t>
            </w:r>
          </w:p>
        </w:tc>
        <w:tc>
          <w:tcPr>
            <w:tcW w:w="1688" w:type="dxa"/>
            <w:tcBorders>
              <w:top w:val="nil"/>
              <w:left w:val="nil"/>
              <w:bottom w:val="single" w:color="auto" w:sz="4" w:space="0"/>
              <w:right w:val="single" w:color="auto" w:sz="4" w:space="0"/>
            </w:tcBorders>
            <w:noWrap/>
            <w:vAlign w:val="center"/>
          </w:tcPr>
          <w:p>
            <w:pPr>
              <w:widowControl/>
              <w:jc w:val="left"/>
              <w:rPr>
                <w:rFonts w:eastAsia="仿宋_GB2312"/>
                <w:b/>
                <w:bCs/>
                <w:kern w:val="0"/>
                <w:szCs w:val="21"/>
              </w:rPr>
            </w:pPr>
            <w:r>
              <w:rPr>
                <w:rFonts w:hint="eastAsia" w:eastAsia="仿宋_GB2312"/>
                <w:kern w:val="0"/>
                <w:szCs w:val="21"/>
              </w:rPr>
              <w:t>1150.33　</w:t>
            </w:r>
          </w:p>
        </w:tc>
      </w:tr>
    </w:tbl>
    <w:p>
      <w:pPr>
        <w:widowControl/>
        <w:jc w:val="left"/>
        <w:rPr>
          <w:rFonts w:eastAsia="仿宋_GB2312"/>
          <w:kern w:val="0"/>
          <w:szCs w:val="21"/>
        </w:rPr>
      </w:pPr>
      <w:r>
        <w:rPr>
          <w:rFonts w:hint="eastAsia" w:eastAsia="仿宋_GB2312"/>
          <w:kern w:val="0"/>
          <w:szCs w:val="21"/>
        </w:rPr>
        <w:t>注：本表反映部门本年度的总收支和年末结转结余情况。</w:t>
      </w:r>
    </w:p>
    <w:p>
      <w:pPr>
        <w:widowControl/>
        <w:jc w:val="left"/>
        <w:rPr>
          <w:rFonts w:eastAsia="黑体"/>
          <w:bCs/>
          <w:kern w:val="0"/>
          <w:sz w:val="32"/>
          <w:szCs w:val="32"/>
        </w:rPr>
      </w:pPr>
      <w:r>
        <w:rPr>
          <w:rFonts w:eastAsia="黑体"/>
          <w:bCs/>
          <w:kern w:val="0"/>
          <w:sz w:val="32"/>
          <w:szCs w:val="32"/>
        </w:rPr>
        <w:br w:type="page"/>
      </w:r>
    </w:p>
    <w:tbl>
      <w:tblPr>
        <w:tblStyle w:val="3"/>
        <w:tblpPr w:leftFromText="180" w:rightFromText="180" w:vertAnchor="text" w:horzAnchor="page" w:tblpX="1591" w:tblpY="555"/>
        <w:tblOverlap w:val="never"/>
        <w:tblW w:w="13849" w:type="dxa"/>
        <w:tblInd w:w="0" w:type="dxa"/>
        <w:tblLayout w:type="fixed"/>
        <w:tblCellMar>
          <w:top w:w="0" w:type="dxa"/>
          <w:left w:w="108" w:type="dxa"/>
          <w:bottom w:w="0" w:type="dxa"/>
          <w:right w:w="108" w:type="dxa"/>
        </w:tblCellMar>
      </w:tblPr>
      <w:tblGrid>
        <w:gridCol w:w="763"/>
        <w:gridCol w:w="636"/>
        <w:gridCol w:w="4200"/>
        <w:gridCol w:w="240"/>
        <w:gridCol w:w="372"/>
        <w:gridCol w:w="2466"/>
        <w:gridCol w:w="372"/>
        <w:gridCol w:w="4800"/>
      </w:tblGrid>
      <w:tr>
        <w:tblPrEx>
          <w:tblCellMar>
            <w:top w:w="0" w:type="dxa"/>
            <w:left w:w="108" w:type="dxa"/>
            <w:bottom w:w="0" w:type="dxa"/>
            <w:right w:w="108" w:type="dxa"/>
          </w:tblCellMar>
        </w:tblPrEx>
        <w:trPr>
          <w:trHeight w:val="1381" w:hRule="atLeast"/>
        </w:trPr>
        <w:tc>
          <w:tcPr>
            <w:tcW w:w="13849" w:type="dxa"/>
            <w:gridSpan w:val="8"/>
            <w:tcBorders>
              <w:top w:val="nil"/>
              <w:left w:val="nil"/>
              <w:bottom w:val="nil"/>
              <w:right w:val="nil"/>
            </w:tcBorders>
            <w:noWrap w:val="0"/>
            <w:vAlign w:val="center"/>
          </w:tcPr>
          <w:p>
            <w:pPr>
              <w:jc w:val="center"/>
              <w:rPr>
                <w:rFonts w:hint="eastAsia" w:ascii="黑体" w:hAnsi="黑体" w:eastAsia="黑体" w:cs="黑体"/>
                <w:sz w:val="36"/>
                <w:szCs w:val="32"/>
              </w:rPr>
            </w:pPr>
            <w:r>
              <w:rPr>
                <w:rFonts w:hint="eastAsia" w:ascii="黑体" w:hAnsi="黑体" w:eastAsia="黑体" w:cs="黑体"/>
                <w:sz w:val="36"/>
                <w:szCs w:val="32"/>
              </w:rPr>
              <w:t>部门收入决算表</w:t>
            </w:r>
          </w:p>
          <w:p>
            <w:pPr>
              <w:widowControl/>
              <w:jc w:val="center"/>
              <w:rPr>
                <w:rFonts w:ascii="华文中宋" w:hAnsi="华文中宋" w:eastAsia="华文中宋" w:cs="宋体"/>
                <w:kern w:val="0"/>
                <w:sz w:val="32"/>
                <w:szCs w:val="32"/>
              </w:rPr>
            </w:pPr>
          </w:p>
        </w:tc>
      </w:tr>
      <w:tr>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36"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200"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12"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38" w:type="dxa"/>
            <w:gridSpan w:val="2"/>
            <w:tcBorders>
              <w:top w:val="nil"/>
              <w:left w:val="nil"/>
              <w:bottom w:val="nil"/>
              <w:right w:val="nil"/>
            </w:tcBorders>
            <w:noWrap w:val="0"/>
            <w:vAlign w:val="center"/>
          </w:tcPr>
          <w:p>
            <w:pPr>
              <w:widowControl/>
              <w:jc w:val="right"/>
              <w:rPr>
                <w:rFonts w:hint="eastAsia" w:ascii="宋体" w:hAnsi="宋体" w:cs="宋体"/>
                <w:kern w:val="0"/>
                <w:sz w:val="20"/>
                <w:szCs w:val="20"/>
              </w:rPr>
            </w:pPr>
          </w:p>
        </w:tc>
        <w:tc>
          <w:tcPr>
            <w:tcW w:w="4800"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2表</w:t>
            </w:r>
          </w:p>
        </w:tc>
      </w:tr>
      <w:tr>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4836" w:type="dxa"/>
            <w:gridSpan w:val="2"/>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宋体" w:hAnsi="宋体" w:cs="宋体"/>
                <w:kern w:val="0"/>
                <w:sz w:val="20"/>
                <w:szCs w:val="20"/>
              </w:rPr>
              <w:t>蓝山县塔峰镇第三完全小学</w:t>
            </w:r>
          </w:p>
        </w:tc>
        <w:tc>
          <w:tcPr>
            <w:tcW w:w="240"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38"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172" w:type="dxa"/>
            <w:gridSpan w:val="2"/>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widowControl/>
        <w:ind w:firstLine="630" w:firstLineChars="300"/>
        <w:jc w:val="left"/>
        <w:rPr>
          <w:rFonts w:eastAsia="仿宋_GB2312"/>
          <w:color w:val="000000"/>
          <w:kern w:val="0"/>
          <w:szCs w:val="21"/>
        </w:rPr>
      </w:pPr>
      <w:r>
        <w:rPr>
          <w:rFonts w:eastAsia="仿宋_GB2312"/>
          <w:color w:val="000000"/>
          <w:kern w:val="0"/>
          <w:szCs w:val="21"/>
        </w:rPr>
        <w:t xml:space="preserve">                                                                                                           </w:t>
      </w:r>
    </w:p>
    <w:tbl>
      <w:tblPr>
        <w:tblStyle w:val="3"/>
        <w:tblW w:w="13813" w:type="dxa"/>
        <w:jc w:val="center"/>
        <w:tblLayout w:type="autofit"/>
        <w:tblCellMar>
          <w:top w:w="0" w:type="dxa"/>
          <w:left w:w="108" w:type="dxa"/>
          <w:bottom w:w="0" w:type="dxa"/>
          <w:right w:w="108" w:type="dxa"/>
        </w:tblCellMar>
      </w:tblPr>
      <w:tblGrid>
        <w:gridCol w:w="1197"/>
        <w:gridCol w:w="1188"/>
        <w:gridCol w:w="1676"/>
        <w:gridCol w:w="1595"/>
        <w:gridCol w:w="1676"/>
        <w:gridCol w:w="1382"/>
        <w:gridCol w:w="1412"/>
        <w:gridCol w:w="1676"/>
        <w:gridCol w:w="2011"/>
      </w:tblGrid>
      <w:tr>
        <w:tblPrEx>
          <w:tblCellMar>
            <w:top w:w="0" w:type="dxa"/>
            <w:left w:w="108" w:type="dxa"/>
            <w:bottom w:w="0" w:type="dxa"/>
            <w:right w:w="108" w:type="dxa"/>
          </w:tblCellMar>
        </w:tblPrEx>
        <w:trPr>
          <w:trHeight w:val="450" w:hRule="atLeast"/>
          <w:jc w:val="center"/>
        </w:trPr>
        <w:tc>
          <w:tcPr>
            <w:tcW w:w="2385" w:type="dxa"/>
            <w:gridSpan w:val="2"/>
            <w:tcBorders>
              <w:top w:val="single" w:color="auto" w:sz="8" w:space="0"/>
              <w:left w:val="single" w:color="auto" w:sz="8" w:space="0"/>
              <w:bottom w:val="single" w:color="auto" w:sz="4" w:space="0"/>
              <w:right w:val="nil"/>
            </w:tcBorders>
            <w:noWrap w:val="0"/>
            <w:vAlign w:val="center"/>
          </w:tcPr>
          <w:p>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1676"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本年收入合计</w:t>
            </w:r>
          </w:p>
        </w:tc>
        <w:tc>
          <w:tcPr>
            <w:tcW w:w="1595"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财政拨款收入</w:t>
            </w:r>
          </w:p>
        </w:tc>
        <w:tc>
          <w:tcPr>
            <w:tcW w:w="1676"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上级补助收入</w:t>
            </w:r>
          </w:p>
        </w:tc>
        <w:tc>
          <w:tcPr>
            <w:tcW w:w="1382"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事业收入</w:t>
            </w:r>
          </w:p>
        </w:tc>
        <w:tc>
          <w:tcPr>
            <w:tcW w:w="1412"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经营收入</w:t>
            </w:r>
          </w:p>
        </w:tc>
        <w:tc>
          <w:tcPr>
            <w:tcW w:w="1676" w:type="dxa"/>
            <w:vMerge w:val="restart"/>
            <w:tcBorders>
              <w:top w:val="single" w:color="auto" w:sz="8" w:space="0"/>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附属单位上缴收入</w:t>
            </w:r>
          </w:p>
        </w:tc>
        <w:tc>
          <w:tcPr>
            <w:tcW w:w="2011" w:type="dxa"/>
            <w:vMerge w:val="restart"/>
            <w:tcBorders>
              <w:top w:val="single" w:color="auto" w:sz="8" w:space="0"/>
              <w:left w:val="single" w:color="auto" w:sz="4" w:space="0"/>
              <w:bottom w:val="single" w:color="000000" w:sz="4"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其他收入</w:t>
            </w:r>
          </w:p>
        </w:tc>
      </w:tr>
      <w:tr>
        <w:tblPrEx>
          <w:tblCellMar>
            <w:top w:w="0" w:type="dxa"/>
            <w:left w:w="108" w:type="dxa"/>
            <w:bottom w:w="0" w:type="dxa"/>
            <w:right w:w="108" w:type="dxa"/>
          </w:tblCellMar>
        </w:tblPrEx>
        <w:trPr>
          <w:trHeight w:val="450" w:hRule="atLeast"/>
          <w:jc w:val="center"/>
        </w:trPr>
        <w:tc>
          <w:tcPr>
            <w:tcW w:w="1197" w:type="dxa"/>
            <w:vMerge w:val="restart"/>
            <w:tcBorders>
              <w:top w:val="single" w:color="auto" w:sz="4" w:space="0"/>
              <w:left w:val="single" w:color="auto" w:sz="8" w:space="0"/>
              <w:bottom w:val="single" w:color="000000" w:sz="4" w:space="0"/>
              <w:right w:val="nil"/>
            </w:tcBorders>
            <w:noWrap w:val="0"/>
            <w:vAlign w:val="center"/>
          </w:tcPr>
          <w:p>
            <w:pPr>
              <w:widowControl/>
              <w:jc w:val="center"/>
              <w:rPr>
                <w:rFonts w:eastAsia="仿宋_GB2312"/>
                <w:kern w:val="0"/>
                <w:szCs w:val="21"/>
              </w:rPr>
            </w:pPr>
            <w:r>
              <w:rPr>
                <w:rFonts w:hint="eastAsia" w:eastAsia="仿宋_GB2312"/>
                <w:kern w:val="0"/>
                <w:szCs w:val="21"/>
              </w:rPr>
              <w:t>功能分类科目编码</w:t>
            </w:r>
          </w:p>
        </w:tc>
        <w:tc>
          <w:tcPr>
            <w:tcW w:w="1188"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科目名称</w:t>
            </w: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8" w:space="0"/>
            </w:tcBorders>
            <w:noWrap w:val="0"/>
            <w:vAlign w:val="center"/>
          </w:tcPr>
          <w:p>
            <w:pPr>
              <w:widowControl/>
              <w:jc w:val="left"/>
              <w:rPr>
                <w:rFonts w:eastAsia="仿宋_GB2312"/>
                <w:kern w:val="0"/>
                <w:szCs w:val="21"/>
              </w:rPr>
            </w:pPr>
          </w:p>
        </w:tc>
      </w:tr>
      <w:tr>
        <w:tblPrEx>
          <w:tblCellMar>
            <w:top w:w="0" w:type="dxa"/>
            <w:left w:w="108" w:type="dxa"/>
            <w:bottom w:w="0" w:type="dxa"/>
            <w:right w:w="108" w:type="dxa"/>
          </w:tblCellMar>
        </w:tblPrEx>
        <w:trPr>
          <w:trHeight w:val="450" w:hRule="atLeast"/>
          <w:jc w:val="center"/>
        </w:trPr>
        <w:tc>
          <w:tcPr>
            <w:tcW w:w="0" w:type="auto"/>
            <w:vMerge w:val="continue"/>
            <w:tcBorders>
              <w:top w:val="single" w:color="auto" w:sz="4" w:space="0"/>
              <w:left w:val="single" w:color="auto" w:sz="8" w:space="0"/>
              <w:bottom w:val="single" w:color="000000" w:sz="4" w:space="0"/>
              <w:right w:val="nil"/>
            </w:tcBorders>
            <w:noWrap w:val="0"/>
            <w:vAlign w:val="center"/>
          </w:tcPr>
          <w:p>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4" w:space="0"/>
              <w:bottom w:val="single" w:color="000000" w:sz="4" w:space="0"/>
              <w:right w:val="single" w:color="auto" w:sz="8" w:space="0"/>
            </w:tcBorders>
            <w:noWrap w:val="0"/>
            <w:vAlign w:val="center"/>
          </w:tcPr>
          <w:p>
            <w:pPr>
              <w:widowControl/>
              <w:jc w:val="left"/>
              <w:rPr>
                <w:rFonts w:eastAsia="仿宋_GB2312"/>
                <w:kern w:val="0"/>
                <w:szCs w:val="21"/>
              </w:rPr>
            </w:pPr>
          </w:p>
        </w:tc>
      </w:tr>
      <w:tr>
        <w:tblPrEx>
          <w:tblCellMar>
            <w:top w:w="0" w:type="dxa"/>
            <w:left w:w="108" w:type="dxa"/>
            <w:bottom w:w="0" w:type="dxa"/>
            <w:right w:w="108" w:type="dxa"/>
          </w:tblCellMar>
        </w:tblPrEx>
        <w:trPr>
          <w:trHeight w:val="450" w:hRule="atLeast"/>
          <w:jc w:val="center"/>
        </w:trPr>
        <w:tc>
          <w:tcPr>
            <w:tcW w:w="2385" w:type="dxa"/>
            <w:gridSpan w:val="2"/>
            <w:tcBorders>
              <w:top w:val="single" w:color="auto" w:sz="4" w:space="0"/>
              <w:left w:val="single" w:color="auto" w:sz="8" w:space="0"/>
              <w:bottom w:val="single" w:color="auto" w:sz="4" w:space="0"/>
              <w:right w:val="single" w:color="000000" w:sz="4" w:space="0"/>
            </w:tcBorders>
            <w:noWrap/>
            <w:vAlign w:val="center"/>
          </w:tcPr>
          <w:p>
            <w:pPr>
              <w:widowControl/>
              <w:jc w:val="center"/>
              <w:rPr>
                <w:rFonts w:eastAsia="仿宋_GB2312"/>
                <w:kern w:val="0"/>
                <w:szCs w:val="21"/>
              </w:rPr>
            </w:pPr>
            <w:r>
              <w:rPr>
                <w:rFonts w:hint="eastAsia" w:eastAsia="仿宋_GB2312"/>
                <w:kern w:val="0"/>
                <w:szCs w:val="21"/>
              </w:rPr>
              <w:t>栏次</w:t>
            </w:r>
          </w:p>
        </w:tc>
        <w:tc>
          <w:tcPr>
            <w:tcW w:w="1676"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1</w:t>
            </w:r>
          </w:p>
        </w:tc>
        <w:tc>
          <w:tcPr>
            <w:tcW w:w="1595"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2</w:t>
            </w:r>
          </w:p>
        </w:tc>
        <w:tc>
          <w:tcPr>
            <w:tcW w:w="1676"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3</w:t>
            </w:r>
          </w:p>
        </w:tc>
        <w:tc>
          <w:tcPr>
            <w:tcW w:w="138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4</w:t>
            </w:r>
          </w:p>
        </w:tc>
        <w:tc>
          <w:tcPr>
            <w:tcW w:w="1412"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5</w:t>
            </w:r>
          </w:p>
        </w:tc>
        <w:tc>
          <w:tcPr>
            <w:tcW w:w="1676" w:type="dxa"/>
            <w:tcBorders>
              <w:top w:val="nil"/>
              <w:left w:val="nil"/>
              <w:bottom w:val="single" w:color="auto" w:sz="4" w:space="0"/>
              <w:right w:val="single" w:color="auto" w:sz="4" w:space="0"/>
            </w:tcBorders>
            <w:noWrap/>
            <w:vAlign w:val="center"/>
          </w:tcPr>
          <w:p>
            <w:pPr>
              <w:widowControl/>
              <w:jc w:val="center"/>
              <w:rPr>
                <w:rFonts w:eastAsia="仿宋_GB2312"/>
                <w:kern w:val="0"/>
                <w:szCs w:val="21"/>
              </w:rPr>
            </w:pPr>
            <w:r>
              <w:rPr>
                <w:rFonts w:eastAsia="仿宋_GB2312"/>
                <w:kern w:val="0"/>
                <w:szCs w:val="21"/>
              </w:rPr>
              <w:t>6</w:t>
            </w:r>
          </w:p>
        </w:tc>
        <w:tc>
          <w:tcPr>
            <w:tcW w:w="2011" w:type="dxa"/>
            <w:tcBorders>
              <w:top w:val="nil"/>
              <w:left w:val="nil"/>
              <w:bottom w:val="single" w:color="auto" w:sz="4" w:space="0"/>
              <w:right w:val="single" w:color="auto" w:sz="8" w:space="0"/>
            </w:tcBorders>
            <w:noWrap/>
            <w:vAlign w:val="center"/>
          </w:tcPr>
          <w:p>
            <w:pPr>
              <w:widowControl/>
              <w:jc w:val="center"/>
              <w:rPr>
                <w:rFonts w:eastAsia="仿宋_GB2312"/>
                <w:kern w:val="0"/>
                <w:szCs w:val="21"/>
              </w:rPr>
            </w:pPr>
            <w:r>
              <w:rPr>
                <w:rFonts w:eastAsia="仿宋_GB2312"/>
                <w:kern w:val="0"/>
                <w:szCs w:val="21"/>
              </w:rPr>
              <w:t>7</w:t>
            </w:r>
          </w:p>
        </w:tc>
      </w:tr>
      <w:tr>
        <w:tblPrEx>
          <w:tblCellMar>
            <w:top w:w="0" w:type="dxa"/>
            <w:left w:w="108" w:type="dxa"/>
            <w:bottom w:w="0" w:type="dxa"/>
            <w:right w:w="108" w:type="dxa"/>
          </w:tblCellMar>
        </w:tblPrEx>
        <w:trPr>
          <w:trHeight w:val="450" w:hRule="atLeast"/>
          <w:jc w:val="center"/>
        </w:trPr>
        <w:tc>
          <w:tcPr>
            <w:tcW w:w="2385" w:type="dxa"/>
            <w:gridSpan w:val="2"/>
            <w:tcBorders>
              <w:top w:val="nil"/>
              <w:left w:val="single" w:color="auto" w:sz="8" w:space="0"/>
              <w:bottom w:val="single" w:color="auto" w:sz="4" w:space="0"/>
              <w:right w:val="single" w:color="000000" w:sz="4" w:space="0"/>
            </w:tcBorders>
            <w:noWrap/>
            <w:vAlign w:val="center"/>
          </w:tcPr>
          <w:p>
            <w:pPr>
              <w:widowControl/>
              <w:jc w:val="center"/>
              <w:rPr>
                <w:rFonts w:eastAsia="仿宋_GB2312"/>
                <w:kern w:val="0"/>
                <w:szCs w:val="21"/>
              </w:rPr>
            </w:pPr>
            <w:r>
              <w:rPr>
                <w:rFonts w:hint="eastAsia" w:eastAsia="仿宋_GB2312"/>
                <w:kern w:val="0"/>
                <w:szCs w:val="21"/>
              </w:rPr>
              <w:t>合计</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59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38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41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pPr>
              <w:widowControl/>
              <w:jc w:val="right"/>
              <w:rPr>
                <w:rFonts w:eastAsia="仿宋_GB2312"/>
                <w:kern w:val="0"/>
                <w:szCs w:val="21"/>
              </w:rPr>
            </w:pPr>
            <w:r>
              <w:rPr>
                <w:rFonts w:eastAsia="仿宋_GB2312"/>
                <w:kern w:val="0"/>
                <w:szCs w:val="21"/>
              </w:rPr>
              <w:t>　</w:t>
            </w:r>
            <w:r>
              <w:rPr>
                <w:rFonts w:hint="eastAsia" w:eastAsia="仿宋_GB2312"/>
                <w:kern w:val="0"/>
                <w:szCs w:val="21"/>
              </w:rPr>
              <w:t>205</w:t>
            </w:r>
          </w:p>
        </w:tc>
        <w:tc>
          <w:tcPr>
            <w:tcW w:w="1188" w:type="dxa"/>
            <w:tcBorders>
              <w:top w:val="nil"/>
              <w:left w:val="nil"/>
              <w:bottom w:val="single" w:color="auto" w:sz="4" w:space="0"/>
              <w:right w:val="single" w:color="auto" w:sz="4" w:space="0"/>
            </w:tcBorders>
            <w:noWrap/>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教育支出</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59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38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41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pPr>
              <w:widowControl/>
              <w:jc w:val="right"/>
              <w:rPr>
                <w:rFonts w:eastAsia="仿宋_GB2312"/>
                <w:kern w:val="0"/>
                <w:szCs w:val="21"/>
              </w:rPr>
            </w:pPr>
            <w:r>
              <w:rPr>
                <w:rFonts w:eastAsia="仿宋_GB2312"/>
                <w:kern w:val="0"/>
                <w:szCs w:val="21"/>
              </w:rPr>
              <w:t>　</w:t>
            </w:r>
            <w:r>
              <w:rPr>
                <w:rFonts w:hint="eastAsia" w:eastAsia="仿宋_GB2312"/>
                <w:kern w:val="0"/>
                <w:szCs w:val="21"/>
              </w:rPr>
              <w:t>20502</w:t>
            </w:r>
          </w:p>
        </w:tc>
        <w:tc>
          <w:tcPr>
            <w:tcW w:w="1188" w:type="dxa"/>
            <w:tcBorders>
              <w:top w:val="nil"/>
              <w:left w:val="nil"/>
              <w:bottom w:val="single" w:color="auto" w:sz="4" w:space="0"/>
              <w:right w:val="single" w:color="auto" w:sz="4" w:space="0"/>
            </w:tcBorders>
            <w:noWrap/>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普通教育</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59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38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41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2050202</w:t>
            </w:r>
          </w:p>
        </w:tc>
        <w:tc>
          <w:tcPr>
            <w:tcW w:w="1188" w:type="dxa"/>
            <w:tcBorders>
              <w:top w:val="nil"/>
              <w:left w:val="nil"/>
              <w:bottom w:val="single" w:color="auto" w:sz="4" w:space="0"/>
              <w:right w:val="single" w:color="auto" w:sz="4" w:space="0"/>
            </w:tcBorders>
            <w:noWrap/>
            <w:vAlign w:val="center"/>
          </w:tcPr>
          <w:p>
            <w:pPr>
              <w:widowControl/>
              <w:rPr>
                <w:rFonts w:hint="eastAsia" w:ascii="宋体" w:hAnsi="宋体" w:cs="宋体"/>
                <w:color w:val="000000"/>
                <w:sz w:val="22"/>
                <w:szCs w:val="22"/>
              </w:rPr>
            </w:pPr>
            <w:r>
              <w:rPr>
                <w:rFonts w:hint="eastAsia" w:ascii="宋体" w:hAnsi="宋体" w:cs="宋体"/>
                <w:color w:val="000000"/>
                <w:kern w:val="0"/>
                <w:sz w:val="22"/>
                <w:szCs w:val="22"/>
                <w:lang w:bidi="ar"/>
              </w:rPr>
              <w:t>小学教育</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59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38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41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1188"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59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38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41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1188" w:type="dxa"/>
            <w:tcBorders>
              <w:top w:val="nil"/>
              <w:left w:val="nil"/>
              <w:bottom w:val="single" w:color="auto" w:sz="4"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595"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38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412"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4"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4"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1188" w:type="dxa"/>
            <w:tcBorders>
              <w:top w:val="nil"/>
              <w:left w:val="nil"/>
              <w:bottom w:val="single" w:color="auto" w:sz="8" w:space="0"/>
              <w:right w:val="single" w:color="auto" w:sz="4" w:space="0"/>
            </w:tcBorders>
            <w:noWrap/>
            <w:vAlign w:val="center"/>
          </w:tcPr>
          <w:p>
            <w:pPr>
              <w:widowControl/>
              <w:jc w:val="left"/>
              <w:rPr>
                <w:rFonts w:eastAsia="仿宋_GB2312"/>
                <w:kern w:val="0"/>
                <w:szCs w:val="21"/>
              </w:rPr>
            </w:pPr>
            <w:r>
              <w:rPr>
                <w:rFonts w:hint="eastAsia" w:eastAsia="仿宋_GB2312"/>
                <w:kern w:val="0"/>
                <w:szCs w:val="21"/>
              </w:rPr>
              <w:t>　</w:t>
            </w:r>
          </w:p>
        </w:tc>
        <w:tc>
          <w:tcPr>
            <w:tcW w:w="1676"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595"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382"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412"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1676" w:type="dxa"/>
            <w:tcBorders>
              <w:top w:val="nil"/>
              <w:left w:val="nil"/>
              <w:bottom w:val="single" w:color="auto" w:sz="8" w:space="0"/>
              <w:right w:val="single" w:color="auto" w:sz="4" w:space="0"/>
            </w:tcBorders>
            <w:noWrap/>
            <w:vAlign w:val="center"/>
          </w:tcPr>
          <w:p>
            <w:pPr>
              <w:widowControl/>
              <w:jc w:val="right"/>
              <w:rPr>
                <w:rFonts w:eastAsia="仿宋_GB2312"/>
                <w:kern w:val="0"/>
                <w:szCs w:val="21"/>
              </w:rPr>
            </w:pPr>
            <w:r>
              <w:rPr>
                <w:rFonts w:hint="eastAsia" w:eastAsia="仿宋_GB2312"/>
                <w:kern w:val="0"/>
                <w:szCs w:val="21"/>
              </w:rPr>
              <w:t>　</w:t>
            </w:r>
          </w:p>
        </w:tc>
        <w:tc>
          <w:tcPr>
            <w:tcW w:w="2011" w:type="dxa"/>
            <w:tcBorders>
              <w:top w:val="nil"/>
              <w:left w:val="nil"/>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nil"/>
              <w:right w:val="nil"/>
            </w:tcBorders>
            <w:noWrap w:val="0"/>
            <w:vAlign w:val="center"/>
          </w:tcPr>
          <w:p>
            <w:pPr>
              <w:widowControl/>
              <w:jc w:val="left"/>
              <w:rPr>
                <w:rFonts w:eastAsia="仿宋_GB2312"/>
                <w:kern w:val="0"/>
                <w:szCs w:val="21"/>
              </w:rPr>
            </w:pPr>
            <w:r>
              <w:rPr>
                <w:rFonts w:hint="eastAsia" w:eastAsia="仿宋_GB2312"/>
                <w:kern w:val="0"/>
                <w:szCs w:val="21"/>
              </w:rPr>
              <w:t>注：本表反映部门本年度取得的各项收入情况。</w:t>
            </w:r>
          </w:p>
        </w:tc>
      </w:tr>
    </w:tbl>
    <w:p>
      <w:pPr>
        <w:widowControl/>
        <w:jc w:val="left"/>
        <w:rPr>
          <w:rFonts w:eastAsia="黑体"/>
          <w:bCs/>
          <w:kern w:val="0"/>
          <w:sz w:val="32"/>
          <w:szCs w:val="32"/>
        </w:rPr>
      </w:pPr>
    </w:p>
    <w:p>
      <w:pPr>
        <w:widowControl/>
        <w:jc w:val="left"/>
        <w:rPr>
          <w:rFonts w:eastAsia="黑体"/>
          <w:bCs/>
          <w:kern w:val="0"/>
          <w:sz w:val="32"/>
          <w:szCs w:val="32"/>
        </w:rPr>
      </w:pPr>
      <w:r>
        <w:rPr>
          <w:rFonts w:eastAsia="黑体"/>
          <w:bCs/>
          <w:kern w:val="0"/>
          <w:sz w:val="32"/>
          <w:szCs w:val="32"/>
        </w:rPr>
        <w:br w:type="page"/>
      </w:r>
    </w:p>
    <w:p>
      <w:pPr>
        <w:widowControl/>
        <w:rPr>
          <w:rFonts w:eastAsia="方正小标宋_GBK"/>
          <w:color w:val="000000"/>
          <w:kern w:val="0"/>
          <w:sz w:val="36"/>
          <w:szCs w:val="36"/>
        </w:rPr>
      </w:pPr>
    </w:p>
    <w:tbl>
      <w:tblPr>
        <w:tblStyle w:val="3"/>
        <w:tblpPr w:leftFromText="180" w:rightFromText="180" w:vertAnchor="text" w:horzAnchor="page" w:tblpX="1491" w:tblpY="555"/>
        <w:tblOverlap w:val="never"/>
        <w:tblW w:w="14091" w:type="dxa"/>
        <w:tblInd w:w="0" w:type="dxa"/>
        <w:tblLayout w:type="fixed"/>
        <w:tblCellMar>
          <w:top w:w="0" w:type="dxa"/>
          <w:left w:w="108" w:type="dxa"/>
          <w:bottom w:w="0" w:type="dxa"/>
          <w:right w:w="108" w:type="dxa"/>
        </w:tblCellMar>
      </w:tblPr>
      <w:tblGrid>
        <w:gridCol w:w="975"/>
        <w:gridCol w:w="336"/>
        <w:gridCol w:w="3518"/>
        <w:gridCol w:w="459"/>
        <w:gridCol w:w="708"/>
        <w:gridCol w:w="173"/>
        <w:gridCol w:w="2692"/>
        <w:gridCol w:w="173"/>
        <w:gridCol w:w="5057"/>
      </w:tblGrid>
      <w:tr>
        <w:tblPrEx>
          <w:tblCellMar>
            <w:top w:w="0" w:type="dxa"/>
            <w:left w:w="108" w:type="dxa"/>
            <w:bottom w:w="0" w:type="dxa"/>
            <w:right w:w="108" w:type="dxa"/>
          </w:tblCellMar>
        </w:tblPrEx>
        <w:trPr>
          <w:trHeight w:val="1414" w:hRule="atLeast"/>
        </w:trPr>
        <w:tc>
          <w:tcPr>
            <w:tcW w:w="14091" w:type="dxa"/>
            <w:gridSpan w:val="9"/>
            <w:tcBorders>
              <w:top w:val="nil"/>
              <w:left w:val="nil"/>
              <w:bottom w:val="nil"/>
              <w:right w:val="nil"/>
            </w:tcBorders>
            <w:noWrap w:val="0"/>
            <w:vAlign w:val="center"/>
          </w:tcPr>
          <w:p>
            <w:pPr>
              <w:widowControl/>
              <w:jc w:val="center"/>
              <w:rPr>
                <w:rFonts w:hint="eastAsia" w:ascii="黑体" w:hAnsi="黑体" w:eastAsia="黑体" w:cs="黑体"/>
                <w:color w:val="000000"/>
                <w:kern w:val="0"/>
                <w:sz w:val="36"/>
                <w:szCs w:val="36"/>
              </w:rPr>
            </w:pPr>
            <w:r>
              <w:rPr>
                <w:rFonts w:hint="eastAsia" w:ascii="黑体" w:hAnsi="黑体" w:eastAsia="黑体" w:cs="黑体"/>
                <w:color w:val="000000"/>
                <w:kern w:val="0"/>
                <w:sz w:val="36"/>
                <w:szCs w:val="36"/>
              </w:rPr>
              <w:t>部门支出决算表</w:t>
            </w:r>
          </w:p>
          <w:p>
            <w:pPr>
              <w:widowControl/>
              <w:jc w:val="center"/>
              <w:rPr>
                <w:rFonts w:ascii="华文中宋" w:hAnsi="华文中宋" w:eastAsia="华文中宋" w:cs="宋体"/>
                <w:kern w:val="0"/>
                <w:sz w:val="32"/>
                <w:szCs w:val="32"/>
              </w:rPr>
            </w:pPr>
          </w:p>
        </w:tc>
      </w:tr>
      <w:tr>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36"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18"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40" w:type="dxa"/>
            <w:gridSpan w:val="3"/>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5" w:type="dxa"/>
            <w:gridSpan w:val="2"/>
            <w:tcBorders>
              <w:top w:val="nil"/>
              <w:left w:val="nil"/>
              <w:bottom w:val="nil"/>
              <w:right w:val="nil"/>
            </w:tcBorders>
            <w:noWrap w:val="0"/>
            <w:vAlign w:val="center"/>
          </w:tcPr>
          <w:p>
            <w:pPr>
              <w:widowControl/>
              <w:jc w:val="right"/>
              <w:rPr>
                <w:rFonts w:hint="eastAsia" w:ascii="宋体" w:hAnsi="宋体" w:cs="宋体"/>
                <w:kern w:val="0"/>
                <w:sz w:val="20"/>
                <w:szCs w:val="20"/>
              </w:rPr>
            </w:pPr>
          </w:p>
        </w:tc>
        <w:tc>
          <w:tcPr>
            <w:tcW w:w="5057"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3表</w:t>
            </w:r>
          </w:p>
        </w:tc>
      </w:tr>
      <w:tr>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4313" w:type="dxa"/>
            <w:gridSpan w:val="3"/>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宋体" w:hAnsi="宋体" w:cs="宋体"/>
                <w:kern w:val="0"/>
                <w:sz w:val="20"/>
                <w:szCs w:val="20"/>
              </w:rPr>
              <w:t>蓝山县塔峰镇第三完全小学</w:t>
            </w:r>
          </w:p>
        </w:tc>
        <w:tc>
          <w:tcPr>
            <w:tcW w:w="708"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65"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30" w:type="dxa"/>
            <w:gridSpan w:val="2"/>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widowControl/>
        <w:spacing w:line="400" w:lineRule="exact"/>
        <w:jc w:val="left"/>
        <w:rPr>
          <w:rFonts w:eastAsia="仿宋_GB2312"/>
          <w:color w:val="000000"/>
          <w:kern w:val="0"/>
          <w:sz w:val="20"/>
          <w:szCs w:val="20"/>
        </w:rPr>
      </w:pPr>
      <w:r>
        <w:rPr>
          <w:rFonts w:eastAsia="仿宋_GB2312"/>
          <w:color w:val="000000"/>
          <w:kern w:val="0"/>
          <w:sz w:val="20"/>
          <w:szCs w:val="20"/>
        </w:rPr>
        <w:t xml:space="preserve">                                                                                                                </w:t>
      </w:r>
    </w:p>
    <w:tbl>
      <w:tblPr>
        <w:tblStyle w:val="3"/>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02"/>
        <w:gridCol w:w="1249"/>
        <w:gridCol w:w="1775"/>
        <w:gridCol w:w="1883"/>
        <w:gridCol w:w="1944"/>
        <w:gridCol w:w="1843"/>
        <w:gridCol w:w="1985"/>
        <w:gridCol w:w="230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项</w:t>
            </w:r>
            <w:r>
              <w:rPr>
                <w:rFonts w:eastAsia="仿宋_GB2312"/>
                <w:kern w:val="0"/>
                <w:szCs w:val="21"/>
              </w:rPr>
              <w:t xml:space="preserve">    </w:t>
            </w:r>
            <w:r>
              <w:rPr>
                <w:rFonts w:hint="eastAsia" w:eastAsia="仿宋_GB2312"/>
                <w:kern w:val="0"/>
                <w:szCs w:val="21"/>
              </w:rPr>
              <w:t>目</w:t>
            </w:r>
          </w:p>
        </w:tc>
        <w:tc>
          <w:tcPr>
            <w:tcW w:w="1775"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本年支出合计</w:t>
            </w:r>
          </w:p>
        </w:tc>
        <w:tc>
          <w:tcPr>
            <w:tcW w:w="1883"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基本支出</w:t>
            </w:r>
          </w:p>
        </w:tc>
        <w:tc>
          <w:tcPr>
            <w:tcW w:w="1944"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项目支出</w:t>
            </w:r>
          </w:p>
        </w:tc>
        <w:tc>
          <w:tcPr>
            <w:tcW w:w="1843"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上缴上级支出</w:t>
            </w:r>
          </w:p>
        </w:tc>
        <w:tc>
          <w:tcPr>
            <w:tcW w:w="1985"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经营支出</w:t>
            </w:r>
          </w:p>
        </w:tc>
        <w:tc>
          <w:tcPr>
            <w:tcW w:w="2308"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对附属单位补助支出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功能分类科目编码</w:t>
            </w:r>
          </w:p>
        </w:tc>
        <w:tc>
          <w:tcPr>
            <w:tcW w:w="1249"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科目名称</w:t>
            </w: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1883"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1944"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1883"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1944"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栏次</w:t>
            </w:r>
          </w:p>
        </w:tc>
        <w:tc>
          <w:tcPr>
            <w:tcW w:w="1775"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w:t>
            </w:r>
          </w:p>
        </w:tc>
        <w:tc>
          <w:tcPr>
            <w:tcW w:w="1883"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w:t>
            </w:r>
          </w:p>
        </w:tc>
        <w:tc>
          <w:tcPr>
            <w:tcW w:w="194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3</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4</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5</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合计</w:t>
            </w:r>
          </w:p>
        </w:tc>
        <w:tc>
          <w:tcPr>
            <w:tcW w:w="177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88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944"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　</w:t>
            </w:r>
            <w:r>
              <w:rPr>
                <w:rFonts w:hint="eastAsia" w:eastAsia="仿宋_GB2312"/>
                <w:kern w:val="0"/>
                <w:szCs w:val="21"/>
              </w:rPr>
              <w:t>205</w:t>
            </w:r>
          </w:p>
        </w:tc>
        <w:tc>
          <w:tcPr>
            <w:tcW w:w="1249" w:type="dxa"/>
            <w:tcBorders>
              <w:top w:val="single" w:color="auto" w:sz="8" w:space="0"/>
              <w:left w:val="single" w:color="auto" w:sz="8" w:space="0"/>
              <w:bottom w:val="single" w:color="auto" w:sz="8" w:space="0"/>
              <w:right w:val="single" w:color="auto" w:sz="8" w:space="0"/>
            </w:tcBorders>
            <w:noWrap/>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教育支出</w:t>
            </w:r>
          </w:p>
        </w:tc>
        <w:tc>
          <w:tcPr>
            <w:tcW w:w="177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88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944"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eastAsia="仿宋_GB2312"/>
                <w:kern w:val="0"/>
                <w:szCs w:val="21"/>
              </w:rPr>
              <w:t>　</w:t>
            </w:r>
            <w:r>
              <w:rPr>
                <w:rFonts w:hint="eastAsia" w:eastAsia="仿宋_GB2312"/>
                <w:kern w:val="0"/>
                <w:szCs w:val="21"/>
              </w:rPr>
              <w:t>20502</w:t>
            </w:r>
          </w:p>
        </w:tc>
        <w:tc>
          <w:tcPr>
            <w:tcW w:w="1249" w:type="dxa"/>
            <w:tcBorders>
              <w:top w:val="single" w:color="auto" w:sz="8" w:space="0"/>
              <w:left w:val="single" w:color="auto" w:sz="8" w:space="0"/>
              <w:bottom w:val="single" w:color="auto" w:sz="8" w:space="0"/>
              <w:right w:val="single" w:color="auto" w:sz="8" w:space="0"/>
            </w:tcBorders>
            <w:noWrap/>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普通教育</w:t>
            </w:r>
          </w:p>
        </w:tc>
        <w:tc>
          <w:tcPr>
            <w:tcW w:w="177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88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944"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2050202</w:t>
            </w:r>
          </w:p>
        </w:tc>
        <w:tc>
          <w:tcPr>
            <w:tcW w:w="1249" w:type="dxa"/>
            <w:tcBorders>
              <w:top w:val="single" w:color="auto" w:sz="8" w:space="0"/>
              <w:left w:val="single" w:color="auto" w:sz="8" w:space="0"/>
              <w:bottom w:val="single" w:color="auto" w:sz="8" w:space="0"/>
              <w:right w:val="single" w:color="auto" w:sz="8" w:space="0"/>
            </w:tcBorders>
            <w:noWrap/>
            <w:vAlign w:val="center"/>
          </w:tcPr>
          <w:p>
            <w:pPr>
              <w:widowControl/>
              <w:rPr>
                <w:rFonts w:hint="eastAsia" w:ascii="宋体" w:hAnsi="宋体" w:cs="宋体"/>
                <w:color w:val="000000"/>
                <w:sz w:val="22"/>
                <w:szCs w:val="22"/>
              </w:rPr>
            </w:pPr>
            <w:r>
              <w:rPr>
                <w:rFonts w:hint="eastAsia" w:ascii="宋体" w:hAnsi="宋体" w:cs="宋体"/>
                <w:color w:val="000000"/>
                <w:kern w:val="0"/>
                <w:sz w:val="22"/>
                <w:szCs w:val="22"/>
                <w:lang w:bidi="ar"/>
              </w:rPr>
              <w:t>小学教育</w:t>
            </w:r>
          </w:p>
        </w:tc>
        <w:tc>
          <w:tcPr>
            <w:tcW w:w="177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88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1944"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1249"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177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88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44"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1249"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177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88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44"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1249"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177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88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44"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843"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1985"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2308"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bl>
    <w:p>
      <w:pPr>
        <w:widowControl/>
        <w:ind w:firstLine="630" w:firstLineChars="300"/>
        <w:jc w:val="left"/>
        <w:rPr>
          <w:rFonts w:eastAsia="仿宋_GB2312"/>
          <w:kern w:val="0"/>
          <w:szCs w:val="21"/>
        </w:rPr>
      </w:pPr>
      <w:r>
        <w:rPr>
          <w:rFonts w:hint="eastAsia" w:eastAsia="仿宋_GB2312"/>
          <w:kern w:val="0"/>
          <w:szCs w:val="21"/>
        </w:rPr>
        <w:t>注：本表反映部门本年度各项支出情况。</w:t>
      </w:r>
    </w:p>
    <w:p>
      <w:pPr>
        <w:widowControl/>
        <w:jc w:val="left"/>
        <w:rPr>
          <w:rFonts w:eastAsia="仿宋_GB2312"/>
          <w:bCs/>
          <w:kern w:val="0"/>
          <w:szCs w:val="21"/>
        </w:rPr>
      </w:pPr>
      <w:r>
        <w:rPr>
          <w:rFonts w:eastAsia="仿宋_GB2312"/>
          <w:bCs/>
          <w:kern w:val="0"/>
          <w:szCs w:val="21"/>
        </w:rPr>
        <w:br w:type="page"/>
      </w:r>
    </w:p>
    <w:p>
      <w:pPr>
        <w:widowControl/>
        <w:ind w:left="93"/>
        <w:jc w:val="center"/>
        <w:outlineLvl w:val="1"/>
        <w:rPr>
          <w:rFonts w:hint="eastAsia" w:ascii="黑体" w:hAnsi="黑体" w:eastAsia="黑体" w:cs="黑体"/>
          <w:color w:val="000000"/>
          <w:kern w:val="0"/>
          <w:sz w:val="36"/>
          <w:szCs w:val="21"/>
        </w:rPr>
      </w:pPr>
      <w:r>
        <w:rPr>
          <w:rFonts w:hint="eastAsia" w:ascii="黑体" w:hAnsi="黑体" w:eastAsia="黑体" w:cs="黑体"/>
          <w:color w:val="000000"/>
          <w:kern w:val="0"/>
          <w:sz w:val="36"/>
          <w:szCs w:val="21"/>
        </w:rPr>
        <w:t>财政拨款收支决算总表</w:t>
      </w:r>
    </w:p>
    <w:p>
      <w:pPr>
        <w:widowControl/>
        <w:tabs>
          <w:tab w:val="left" w:pos="4453"/>
          <w:tab w:val="left" w:pos="4933"/>
          <w:tab w:val="left" w:pos="6813"/>
          <w:tab w:val="left" w:pos="11113"/>
          <w:tab w:val="left" w:pos="11549"/>
          <w:tab w:val="left" w:pos="13429"/>
          <w:tab w:val="left" w:pos="15089"/>
        </w:tabs>
        <w:spacing w:line="240" w:lineRule="exact"/>
        <w:ind w:left="91" w:right="630"/>
        <w:jc w:val="right"/>
        <w:rPr>
          <w:color w:val="000000"/>
          <w:kern w:val="0"/>
          <w:szCs w:val="21"/>
        </w:rPr>
      </w:pPr>
      <w:r>
        <w:rPr>
          <w:rFonts w:hint="eastAsia"/>
          <w:color w:val="000000"/>
          <w:kern w:val="0"/>
          <w:szCs w:val="21"/>
        </w:rPr>
        <w:t>公开</w:t>
      </w:r>
      <w:r>
        <w:rPr>
          <w:color w:val="000000"/>
          <w:kern w:val="0"/>
          <w:szCs w:val="21"/>
        </w:rPr>
        <w:t>04</w:t>
      </w:r>
      <w:r>
        <w:rPr>
          <w:rFonts w:hint="eastAsia"/>
          <w:color w:val="000000"/>
          <w:kern w:val="0"/>
          <w:szCs w:val="21"/>
        </w:rPr>
        <w:t>表</w:t>
      </w:r>
    </w:p>
    <w:p>
      <w:pPr>
        <w:widowControl/>
        <w:tabs>
          <w:tab w:val="left" w:pos="13725"/>
          <w:tab w:val="left" w:pos="13755"/>
          <w:tab w:val="left" w:pos="13800"/>
        </w:tabs>
        <w:spacing w:line="240" w:lineRule="exact"/>
        <w:ind w:left="91" w:firstLine="315" w:firstLineChars="150"/>
        <w:jc w:val="left"/>
        <w:rPr>
          <w:rFonts w:eastAsia="仿宋_GB2312"/>
          <w:color w:val="000000"/>
          <w:kern w:val="0"/>
          <w:szCs w:val="21"/>
        </w:rPr>
      </w:pPr>
      <w:r>
        <w:rPr>
          <w:rFonts w:hint="eastAsia" w:eastAsia="仿宋_GB2312"/>
          <w:color w:val="000000"/>
          <w:kern w:val="0"/>
          <w:szCs w:val="21"/>
        </w:rPr>
        <w:t>部门：</w:t>
      </w:r>
      <w:r>
        <w:rPr>
          <w:rFonts w:hint="eastAsia" w:ascii="宋体" w:hAnsi="宋体" w:cs="宋体"/>
          <w:kern w:val="0"/>
          <w:sz w:val="20"/>
          <w:szCs w:val="20"/>
        </w:rPr>
        <w:t>蓝山县塔峰镇第三完全小学</w:t>
      </w:r>
      <w:r>
        <w:rPr>
          <w:rFonts w:eastAsia="仿宋_GB2312"/>
          <w:color w:val="000000"/>
          <w:kern w:val="0"/>
          <w:szCs w:val="21"/>
        </w:rPr>
        <w:t xml:space="preserve"> </w:t>
      </w:r>
      <w:r>
        <w:rPr>
          <w:rFonts w:eastAsia="仿宋_GB2312"/>
          <w:color w:val="000000"/>
          <w:kern w:val="0"/>
          <w:sz w:val="20"/>
          <w:szCs w:val="20"/>
        </w:rPr>
        <w:t xml:space="preserve"> </w:t>
      </w:r>
      <w:r>
        <w:rPr>
          <w:rFonts w:eastAsia="仿宋_GB2312"/>
          <w:color w:val="000000"/>
          <w:kern w:val="0"/>
          <w:szCs w:val="21"/>
        </w:rPr>
        <w:tab/>
      </w:r>
      <w:r>
        <w:rPr>
          <w:rFonts w:hint="eastAsia" w:eastAsia="仿宋_GB2312"/>
          <w:color w:val="000000"/>
          <w:kern w:val="0"/>
          <w:szCs w:val="21"/>
        </w:rPr>
        <w:t>单位：万元</w:t>
      </w:r>
    </w:p>
    <w:tbl>
      <w:tblPr>
        <w:tblStyle w:val="3"/>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2994"/>
        <w:gridCol w:w="480"/>
        <w:gridCol w:w="1880"/>
        <w:gridCol w:w="3761"/>
        <w:gridCol w:w="430"/>
        <w:gridCol w:w="1880"/>
        <w:gridCol w:w="1660"/>
        <w:gridCol w:w="157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收入</w:t>
            </w:r>
          </w:p>
        </w:tc>
        <w:tc>
          <w:tcPr>
            <w:tcW w:w="9303" w:type="dxa"/>
            <w:gridSpan w:val="5"/>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hint="eastAsia" w:eastAsia="仿宋_GB2312"/>
                <w:b/>
                <w:kern w:val="0"/>
                <w:szCs w:val="21"/>
              </w:rPr>
              <w:t>目</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行次</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金额</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hint="eastAsia" w:eastAsia="仿宋_GB2312"/>
                <w:b/>
                <w:kern w:val="0"/>
                <w:szCs w:val="21"/>
              </w:rPr>
              <w:t>目</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行次</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kern w:val="0"/>
                <w:szCs w:val="21"/>
              </w:rPr>
            </w:pPr>
            <w:r>
              <w:rPr>
                <w:rFonts w:hint="eastAsia" w:eastAsia="仿宋_GB2312"/>
                <w:b/>
                <w:kern w:val="0"/>
                <w:szCs w:val="21"/>
              </w:rPr>
              <w:t>合计</w:t>
            </w:r>
          </w:p>
        </w:tc>
        <w:tc>
          <w:tcPr>
            <w:tcW w:w="166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一般公共预算财政拨款</w:t>
            </w:r>
          </w:p>
        </w:tc>
        <w:tc>
          <w:tcPr>
            <w:tcW w:w="1572"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政府性基金预算财政拨款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栏</w:t>
            </w:r>
            <w:r>
              <w:rPr>
                <w:rFonts w:eastAsia="仿宋_GB2312"/>
                <w:kern w:val="0"/>
                <w:szCs w:val="21"/>
              </w:rPr>
              <w:t xml:space="preserve">    </w:t>
            </w:r>
            <w:r>
              <w:rPr>
                <w:rFonts w:hint="eastAsia" w:eastAsia="仿宋_GB2312"/>
                <w:kern w:val="0"/>
                <w:szCs w:val="21"/>
              </w:rPr>
              <w:t>次</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3</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4</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一、一般公共预算财政拨款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一、一般公共服务支出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15</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二、政府性基金预算财政拨款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二、外交支出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16</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3</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三、国防支出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17</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4</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四、公共安全支出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18</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5</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五、教育支出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19</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1150.33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1150.33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6</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六、科学技术支出</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20</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7</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七、</w:t>
            </w:r>
            <w:r>
              <w:rPr>
                <w:rFonts w:eastAsia="仿宋_GB2312"/>
                <w:kern w:val="0"/>
                <w:szCs w:val="21"/>
              </w:rPr>
              <w:t>…</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21</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8</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22</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bCs/>
                <w:kern w:val="0"/>
                <w:szCs w:val="21"/>
              </w:rPr>
            </w:pPr>
            <w:r>
              <w:rPr>
                <w:rFonts w:hint="eastAsia" w:eastAsia="仿宋_GB2312"/>
                <w:b/>
                <w:bCs/>
                <w:kern w:val="0"/>
                <w:szCs w:val="21"/>
              </w:rPr>
              <w:t>本年收入合计</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9</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bCs/>
                <w:kern w:val="0"/>
                <w:szCs w:val="21"/>
              </w:rPr>
            </w:pPr>
            <w:r>
              <w:rPr>
                <w:rFonts w:hint="eastAsia" w:eastAsia="仿宋_GB2312"/>
                <w:b/>
                <w:bCs/>
                <w:kern w:val="0"/>
                <w:szCs w:val="21"/>
              </w:rPr>
              <w:t>本年支出合计</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23</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1150.33</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1150.33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b/>
                <w:bCs/>
                <w:kern w:val="0"/>
                <w:szCs w:val="21"/>
              </w:rPr>
            </w:pPr>
            <w:r>
              <w:rPr>
                <w:rFonts w:hint="eastAsia" w:eastAsia="仿宋_GB2312"/>
                <w:b/>
                <w:bCs/>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年初财政拨款结转和结余</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10</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年末财政拨款结转和结余</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24</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一、一般公共预算财政拨款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11</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25</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二、政府性基金预算财政拨款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12</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26</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13</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27</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bCs/>
                <w:kern w:val="0"/>
                <w:szCs w:val="21"/>
              </w:rPr>
            </w:pPr>
            <w:r>
              <w:rPr>
                <w:rFonts w:hint="eastAsia" w:eastAsia="仿宋_GB2312"/>
                <w:b/>
                <w:bCs/>
                <w:kern w:val="0"/>
                <w:szCs w:val="21"/>
              </w:rPr>
              <w:t>总计</w:t>
            </w:r>
          </w:p>
        </w:tc>
        <w:tc>
          <w:tcPr>
            <w:tcW w:w="4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14</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right"/>
              <w:rPr>
                <w:rFonts w:eastAsia="仿宋_GB2312"/>
                <w:kern w:val="0"/>
                <w:szCs w:val="21"/>
              </w:rPr>
            </w:pPr>
            <w:r>
              <w:rPr>
                <w:rFonts w:hint="eastAsia" w:eastAsia="仿宋_GB2312"/>
                <w:kern w:val="0"/>
                <w:szCs w:val="21"/>
              </w:rPr>
              <w:t>1150.33　</w:t>
            </w:r>
          </w:p>
        </w:tc>
        <w:tc>
          <w:tcPr>
            <w:tcW w:w="3761"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b/>
                <w:bCs/>
                <w:kern w:val="0"/>
                <w:szCs w:val="21"/>
              </w:rPr>
            </w:pPr>
            <w:r>
              <w:rPr>
                <w:rFonts w:hint="eastAsia" w:eastAsia="仿宋_GB2312"/>
                <w:b/>
                <w:bCs/>
                <w:kern w:val="0"/>
                <w:szCs w:val="21"/>
              </w:rPr>
              <w:t>总计</w:t>
            </w:r>
          </w:p>
        </w:tc>
        <w:tc>
          <w:tcPr>
            <w:tcW w:w="43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eastAsia="仿宋_GB2312"/>
                <w:kern w:val="0"/>
                <w:szCs w:val="21"/>
              </w:rPr>
              <w:t>28</w:t>
            </w:r>
          </w:p>
        </w:tc>
        <w:tc>
          <w:tcPr>
            <w:tcW w:w="188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1150.33　</w:t>
            </w:r>
          </w:p>
        </w:tc>
        <w:tc>
          <w:tcPr>
            <w:tcW w:w="1660" w:type="dxa"/>
            <w:tcBorders>
              <w:top w:val="single" w:color="auto" w:sz="8" w:space="0"/>
              <w:left w:val="single" w:color="auto" w:sz="8" w:space="0"/>
              <w:bottom w:val="single" w:color="auto" w:sz="8" w:space="0"/>
              <w:right w:val="single" w:color="auto" w:sz="8" w:space="0"/>
            </w:tcBorders>
            <w:noWrap/>
            <w:vAlign w:val="center"/>
          </w:tcPr>
          <w:p>
            <w:pPr>
              <w:widowControl/>
              <w:jc w:val="center"/>
              <w:rPr>
                <w:rFonts w:eastAsia="仿宋_GB2312"/>
                <w:kern w:val="0"/>
                <w:szCs w:val="21"/>
              </w:rPr>
            </w:pPr>
            <w:r>
              <w:rPr>
                <w:rFonts w:hint="eastAsia" w:eastAsia="仿宋_GB2312"/>
                <w:kern w:val="0"/>
                <w:szCs w:val="21"/>
              </w:rPr>
              <w:t>1150.33　</w:t>
            </w:r>
          </w:p>
        </w:tc>
        <w:tc>
          <w:tcPr>
            <w:tcW w:w="1572" w:type="dxa"/>
            <w:tcBorders>
              <w:top w:val="single" w:color="auto" w:sz="8" w:space="0"/>
              <w:left w:val="single" w:color="auto" w:sz="8" w:space="0"/>
              <w:bottom w:val="single" w:color="auto" w:sz="8" w:space="0"/>
              <w:right w:val="single" w:color="auto" w:sz="8" w:space="0"/>
            </w:tcBorders>
            <w:noWrap/>
            <w:vAlign w:val="center"/>
          </w:tcPr>
          <w:p>
            <w:pPr>
              <w:widowControl/>
              <w:jc w:val="left"/>
              <w:rPr>
                <w:rFonts w:eastAsia="仿宋_GB2312"/>
                <w:b/>
                <w:bCs/>
                <w:kern w:val="0"/>
                <w:szCs w:val="21"/>
              </w:rPr>
            </w:pPr>
            <w:r>
              <w:rPr>
                <w:rFonts w:hint="eastAsia" w:eastAsia="仿宋_GB2312"/>
                <w:b/>
                <w:bCs/>
                <w:kern w:val="0"/>
                <w:szCs w:val="21"/>
              </w:rPr>
              <w:t>　</w:t>
            </w:r>
          </w:p>
        </w:tc>
      </w:tr>
    </w:tbl>
    <w:p>
      <w:pPr>
        <w:widowControl/>
        <w:jc w:val="left"/>
        <w:rPr>
          <w:rFonts w:eastAsia="仿宋_GB2312"/>
          <w:kern w:val="0"/>
          <w:szCs w:val="21"/>
        </w:rPr>
      </w:pPr>
      <w:r>
        <w:rPr>
          <w:rFonts w:hint="eastAsia" w:eastAsia="仿宋_GB2312"/>
          <w:kern w:val="0"/>
          <w:szCs w:val="21"/>
        </w:rPr>
        <w:t>注：本表反映部门本年度一般公共预算财政拨款和政府性基金预算财政拨款的总收支和年末结转结余情况。</w:t>
      </w:r>
    </w:p>
    <w:p>
      <w:pPr>
        <w:widowControl/>
        <w:jc w:val="left"/>
        <w:rPr>
          <w:rFonts w:eastAsia="仿宋_GB2312"/>
          <w:kern w:val="0"/>
          <w:szCs w:val="21"/>
        </w:rPr>
      </w:pPr>
      <w:r>
        <w:rPr>
          <w:rFonts w:eastAsia="仿宋_GB2312"/>
          <w:kern w:val="0"/>
          <w:szCs w:val="21"/>
        </w:rPr>
        <w:br w:type="page"/>
      </w:r>
    </w:p>
    <w:tbl>
      <w:tblPr>
        <w:tblStyle w:val="3"/>
        <w:tblpPr w:leftFromText="180" w:rightFromText="180" w:vertAnchor="text" w:horzAnchor="page" w:tblpX="1429" w:tblpY="555"/>
        <w:tblOverlap w:val="never"/>
        <w:tblW w:w="14191" w:type="dxa"/>
        <w:tblInd w:w="0" w:type="dxa"/>
        <w:tblLayout w:type="fixed"/>
        <w:tblCellMar>
          <w:top w:w="0" w:type="dxa"/>
          <w:left w:w="108" w:type="dxa"/>
          <w:bottom w:w="0" w:type="dxa"/>
          <w:right w:w="108" w:type="dxa"/>
        </w:tblCellMar>
      </w:tblPr>
      <w:tblGrid>
        <w:gridCol w:w="796"/>
        <w:gridCol w:w="411"/>
        <w:gridCol w:w="3529"/>
        <w:gridCol w:w="1345"/>
        <w:gridCol w:w="2875"/>
        <w:gridCol w:w="5235"/>
      </w:tblGrid>
      <w:tr>
        <w:tblPrEx>
          <w:tblCellMar>
            <w:top w:w="0" w:type="dxa"/>
            <w:left w:w="108" w:type="dxa"/>
            <w:bottom w:w="0" w:type="dxa"/>
            <w:right w:w="108" w:type="dxa"/>
          </w:tblCellMar>
        </w:tblPrEx>
        <w:trPr>
          <w:trHeight w:val="1431" w:hRule="atLeast"/>
        </w:trPr>
        <w:tc>
          <w:tcPr>
            <w:tcW w:w="14191" w:type="dxa"/>
            <w:gridSpan w:val="6"/>
            <w:tcBorders>
              <w:top w:val="nil"/>
              <w:left w:val="nil"/>
              <w:bottom w:val="nil"/>
              <w:right w:val="nil"/>
            </w:tcBorders>
            <w:noWrap w:val="0"/>
            <w:vAlign w:val="center"/>
          </w:tcPr>
          <w:p>
            <w:pPr>
              <w:widowControl/>
              <w:jc w:val="center"/>
              <w:rPr>
                <w:rFonts w:hint="eastAsia" w:ascii="黑体" w:hAnsi="黑体" w:eastAsia="黑体" w:cs="黑体"/>
                <w:kern w:val="0"/>
                <w:sz w:val="36"/>
                <w:szCs w:val="36"/>
              </w:rPr>
            </w:pPr>
            <w:r>
              <w:rPr>
                <w:rFonts w:hint="eastAsia" w:ascii="黑体" w:hAnsi="黑体" w:eastAsia="黑体" w:cs="黑体"/>
                <w:kern w:val="0"/>
                <w:sz w:val="36"/>
                <w:szCs w:val="36"/>
              </w:rPr>
              <w:t>一般公共预算财政拨款支出决算表</w:t>
            </w:r>
            <w:bookmarkStart w:id="0" w:name="RANGE!A1:F16"/>
            <w:bookmarkEnd w:id="0"/>
          </w:p>
          <w:p>
            <w:pPr>
              <w:widowControl/>
              <w:jc w:val="center"/>
              <w:rPr>
                <w:rFonts w:ascii="华文中宋" w:hAnsi="华文中宋" w:eastAsia="华文中宋" w:cs="宋体"/>
                <w:kern w:val="0"/>
                <w:sz w:val="32"/>
                <w:szCs w:val="32"/>
              </w:rPr>
            </w:pPr>
          </w:p>
        </w:tc>
      </w:tr>
      <w:tr>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11"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29"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45"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75" w:type="dxa"/>
            <w:tcBorders>
              <w:top w:val="nil"/>
              <w:left w:val="nil"/>
              <w:bottom w:val="nil"/>
              <w:right w:val="nil"/>
            </w:tcBorders>
            <w:noWrap w:val="0"/>
            <w:vAlign w:val="center"/>
          </w:tcPr>
          <w:p>
            <w:pPr>
              <w:widowControl/>
              <w:jc w:val="right"/>
              <w:rPr>
                <w:rFonts w:hint="eastAsia" w:ascii="宋体" w:hAnsi="宋体" w:cs="宋体"/>
                <w:kern w:val="0"/>
                <w:sz w:val="20"/>
                <w:szCs w:val="20"/>
              </w:rPr>
            </w:pPr>
          </w:p>
        </w:tc>
        <w:tc>
          <w:tcPr>
            <w:tcW w:w="5235"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5表</w:t>
            </w:r>
          </w:p>
        </w:tc>
      </w:tr>
      <w:tr>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3940" w:type="dxa"/>
            <w:gridSpan w:val="2"/>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宋体" w:hAnsi="宋体" w:cs="宋体"/>
                <w:kern w:val="0"/>
                <w:sz w:val="20"/>
                <w:szCs w:val="20"/>
              </w:rPr>
              <w:t>蓝山县塔峰镇第三完全小学</w:t>
            </w:r>
          </w:p>
        </w:tc>
        <w:tc>
          <w:tcPr>
            <w:tcW w:w="1345"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875"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35"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widowControl/>
        <w:spacing w:before="156" w:beforeLines="50"/>
        <w:jc w:val="left"/>
        <w:rPr>
          <w:color w:val="000000"/>
          <w:kern w:val="0"/>
          <w:sz w:val="20"/>
          <w:szCs w:val="20"/>
        </w:rPr>
      </w:pPr>
      <w:r>
        <w:rPr>
          <w:rFonts w:eastAsia="仿宋_GB2312"/>
          <w:color w:val="000000"/>
          <w:kern w:val="0"/>
          <w:szCs w:val="21"/>
        </w:rPr>
        <w:t xml:space="preserve">                                                                                                                  </w:t>
      </w:r>
    </w:p>
    <w:tbl>
      <w:tblPr>
        <w:tblStyle w:val="3"/>
        <w:tblW w:w="14219" w:type="dxa"/>
        <w:jc w:val="center"/>
        <w:tblLayout w:type="autofit"/>
        <w:tblCellMar>
          <w:top w:w="0" w:type="dxa"/>
          <w:left w:w="108" w:type="dxa"/>
          <w:bottom w:w="0" w:type="dxa"/>
          <w:right w:w="108" w:type="dxa"/>
        </w:tblCellMar>
      </w:tblPr>
      <w:tblGrid>
        <w:gridCol w:w="1200"/>
        <w:gridCol w:w="3527"/>
        <w:gridCol w:w="3000"/>
        <w:gridCol w:w="3492"/>
        <w:gridCol w:w="3000"/>
      </w:tblGrid>
      <w:tr>
        <w:tblPrEx>
          <w:tblCellMar>
            <w:top w:w="0" w:type="dxa"/>
            <w:left w:w="108" w:type="dxa"/>
            <w:bottom w:w="0" w:type="dxa"/>
            <w:right w:w="108" w:type="dxa"/>
          </w:tblCellMar>
        </w:tblPrEx>
        <w:trPr>
          <w:trHeight w:val="405" w:hRule="atLeast"/>
          <w:jc w:val="center"/>
        </w:trPr>
        <w:tc>
          <w:tcPr>
            <w:tcW w:w="4727" w:type="dxa"/>
            <w:gridSpan w:val="2"/>
            <w:tcBorders>
              <w:top w:val="single" w:color="auto" w:sz="8" w:space="0"/>
              <w:left w:val="single" w:color="auto" w:sz="8" w:space="0"/>
              <w:bottom w:val="single" w:color="auto" w:sz="4" w:space="0"/>
              <w:right w:val="single" w:color="auto" w:sz="4" w:space="0"/>
            </w:tcBorders>
            <w:noWrap w:val="0"/>
            <w:vAlign w:val="center"/>
          </w:tcPr>
          <w:p>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eastAsia="仿宋_GB2312"/>
                <w:b/>
                <w:color w:val="000000"/>
                <w:kern w:val="0"/>
                <w:szCs w:val="21"/>
              </w:rPr>
              <w:t xml:space="preserve">   </w:t>
            </w:r>
            <w:r>
              <w:rPr>
                <w:rFonts w:hint="eastAsia" w:eastAsia="仿宋_GB2312"/>
                <w:b/>
                <w:kern w:val="0"/>
                <w:szCs w:val="21"/>
              </w:rPr>
              <w:t>目</w:t>
            </w:r>
          </w:p>
        </w:tc>
        <w:tc>
          <w:tcPr>
            <w:tcW w:w="9492" w:type="dxa"/>
            <w:gridSpan w:val="3"/>
            <w:tcBorders>
              <w:top w:val="single" w:color="auto" w:sz="8" w:space="0"/>
              <w:left w:val="nil"/>
              <w:bottom w:val="single" w:color="auto" w:sz="4" w:space="0"/>
              <w:right w:val="single" w:color="000000" w:sz="8" w:space="0"/>
            </w:tcBorders>
            <w:noWrap w:val="0"/>
            <w:vAlign w:val="center"/>
          </w:tcPr>
          <w:p>
            <w:pPr>
              <w:widowControl/>
              <w:jc w:val="center"/>
              <w:rPr>
                <w:rFonts w:eastAsia="仿宋_GB2312"/>
                <w:b/>
                <w:kern w:val="0"/>
                <w:szCs w:val="21"/>
              </w:rPr>
            </w:pPr>
            <w:r>
              <w:rPr>
                <w:rFonts w:hint="eastAsia" w:eastAsia="仿宋_GB2312"/>
                <w:b/>
                <w:kern w:val="0"/>
                <w:szCs w:val="21"/>
              </w:rPr>
              <w:t>本年支出</w:t>
            </w:r>
          </w:p>
        </w:tc>
      </w:tr>
      <w:tr>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noWrap w:val="0"/>
            <w:vAlign w:val="center"/>
          </w:tcPr>
          <w:p>
            <w:pPr>
              <w:widowControl/>
              <w:jc w:val="center"/>
              <w:rPr>
                <w:rFonts w:eastAsia="仿宋_GB2312"/>
                <w:b/>
                <w:kern w:val="0"/>
                <w:szCs w:val="21"/>
              </w:rPr>
            </w:pPr>
            <w:r>
              <w:rPr>
                <w:rFonts w:hint="eastAsia" w:eastAsia="仿宋_GB2312"/>
                <w:b/>
                <w:kern w:val="0"/>
                <w:szCs w:val="21"/>
              </w:rPr>
              <w:t>功能分类科目编码</w:t>
            </w:r>
          </w:p>
        </w:tc>
        <w:tc>
          <w:tcPr>
            <w:tcW w:w="3527"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eastAsia="仿宋_GB2312"/>
                <w:b/>
                <w:kern w:val="0"/>
                <w:szCs w:val="21"/>
              </w:rPr>
            </w:pPr>
            <w:r>
              <w:rPr>
                <w:rFonts w:hint="eastAsia" w:eastAsia="仿宋_GB2312"/>
                <w:b/>
                <w:kern w:val="0"/>
                <w:szCs w:val="21"/>
              </w:rPr>
              <w:t>科目名称</w:t>
            </w:r>
          </w:p>
        </w:tc>
        <w:tc>
          <w:tcPr>
            <w:tcW w:w="3000"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b/>
                <w:kern w:val="0"/>
                <w:szCs w:val="21"/>
              </w:rPr>
            </w:pPr>
            <w:r>
              <w:rPr>
                <w:rFonts w:hint="eastAsia" w:eastAsia="仿宋_GB2312"/>
                <w:b/>
                <w:kern w:val="0"/>
                <w:szCs w:val="21"/>
              </w:rPr>
              <w:t>小计</w:t>
            </w:r>
          </w:p>
        </w:tc>
        <w:tc>
          <w:tcPr>
            <w:tcW w:w="3492"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b/>
                <w:kern w:val="0"/>
                <w:szCs w:val="21"/>
              </w:rPr>
            </w:pPr>
            <w:r>
              <w:rPr>
                <w:rFonts w:hint="eastAsia" w:eastAsia="仿宋_GB2312"/>
                <w:b/>
                <w:kern w:val="0"/>
                <w:szCs w:val="21"/>
              </w:rPr>
              <w:t>基本支出</w:t>
            </w:r>
          </w:p>
        </w:tc>
        <w:tc>
          <w:tcPr>
            <w:tcW w:w="3000" w:type="dxa"/>
            <w:vMerge w:val="restart"/>
            <w:tcBorders>
              <w:top w:val="nil"/>
              <w:left w:val="single" w:color="auto" w:sz="4" w:space="0"/>
              <w:bottom w:val="single" w:color="000000" w:sz="4"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项目支出</w:t>
            </w:r>
          </w:p>
        </w:tc>
      </w:tr>
      <w:tr>
        <w:tblPrEx>
          <w:tblCellMar>
            <w:top w:w="0" w:type="dxa"/>
            <w:left w:w="108" w:type="dxa"/>
            <w:bottom w:w="0" w:type="dxa"/>
            <w:right w:w="108" w:type="dxa"/>
          </w:tblCellMar>
        </w:tblPrEx>
        <w:trPr>
          <w:trHeight w:val="360" w:hRule="atLeast"/>
          <w:jc w:val="center"/>
        </w:trPr>
        <w:tc>
          <w:tcPr>
            <w:tcW w:w="0" w:type="auto"/>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8" w:space="0"/>
            </w:tcBorders>
            <w:noWrap w:val="0"/>
            <w:vAlign w:val="center"/>
          </w:tcPr>
          <w:p>
            <w:pPr>
              <w:widowControl/>
              <w:jc w:val="left"/>
              <w:rPr>
                <w:rFonts w:eastAsia="仿宋_GB2312"/>
                <w:b/>
                <w:kern w:val="0"/>
                <w:szCs w:val="21"/>
              </w:rPr>
            </w:pPr>
          </w:p>
        </w:tc>
      </w:tr>
      <w:tr>
        <w:tblPrEx>
          <w:tblCellMar>
            <w:top w:w="0" w:type="dxa"/>
            <w:left w:w="108" w:type="dxa"/>
            <w:bottom w:w="0" w:type="dxa"/>
            <w:right w:w="108" w:type="dxa"/>
          </w:tblCellMar>
        </w:tblPrEx>
        <w:trPr>
          <w:trHeight w:val="450" w:hRule="atLeast"/>
          <w:jc w:val="center"/>
        </w:trPr>
        <w:tc>
          <w:tcPr>
            <w:tcW w:w="0" w:type="auto"/>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b/>
                <w:kern w:val="0"/>
                <w:szCs w:val="21"/>
              </w:rPr>
            </w:pPr>
          </w:p>
        </w:tc>
        <w:tc>
          <w:tcPr>
            <w:tcW w:w="0" w:type="auto"/>
            <w:vMerge w:val="continue"/>
            <w:tcBorders>
              <w:top w:val="nil"/>
              <w:left w:val="single" w:color="auto" w:sz="4" w:space="0"/>
              <w:bottom w:val="single" w:color="000000" w:sz="4" w:space="0"/>
              <w:right w:val="single" w:color="auto" w:sz="8" w:space="0"/>
            </w:tcBorders>
            <w:noWrap w:val="0"/>
            <w:vAlign w:val="center"/>
          </w:tcPr>
          <w:p>
            <w:pPr>
              <w:widowControl/>
              <w:jc w:val="left"/>
              <w:rPr>
                <w:rFonts w:eastAsia="仿宋_GB2312"/>
                <w:b/>
                <w:kern w:val="0"/>
                <w:szCs w:val="21"/>
              </w:rPr>
            </w:pPr>
          </w:p>
        </w:tc>
      </w:tr>
      <w:tr>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栏次</w:t>
            </w:r>
          </w:p>
        </w:tc>
        <w:tc>
          <w:tcPr>
            <w:tcW w:w="300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1</w:t>
            </w:r>
          </w:p>
        </w:tc>
        <w:tc>
          <w:tcPr>
            <w:tcW w:w="3492"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2</w:t>
            </w:r>
          </w:p>
        </w:tc>
        <w:tc>
          <w:tcPr>
            <w:tcW w:w="3000" w:type="dxa"/>
            <w:tcBorders>
              <w:top w:val="nil"/>
              <w:left w:val="nil"/>
              <w:bottom w:val="single" w:color="auto" w:sz="4"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3</w:t>
            </w:r>
          </w:p>
        </w:tc>
      </w:tr>
      <w:tr>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合计</w:t>
            </w:r>
          </w:p>
        </w:tc>
        <w:tc>
          <w:tcPr>
            <w:tcW w:w="300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1150.33　</w:t>
            </w:r>
          </w:p>
        </w:tc>
        <w:tc>
          <w:tcPr>
            <w:tcW w:w="3492"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1150.33　</w:t>
            </w:r>
          </w:p>
        </w:tc>
        <w:tc>
          <w:tcPr>
            <w:tcW w:w="3000" w:type="dxa"/>
            <w:tcBorders>
              <w:top w:val="nil"/>
              <w:left w:val="nil"/>
              <w:bottom w:val="single" w:color="auto" w:sz="4"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right"/>
              <w:rPr>
                <w:rFonts w:eastAsia="仿宋_GB2312"/>
                <w:kern w:val="0"/>
                <w:szCs w:val="21"/>
              </w:rPr>
            </w:pPr>
            <w:r>
              <w:rPr>
                <w:rFonts w:eastAsia="仿宋_GB2312"/>
                <w:kern w:val="0"/>
                <w:szCs w:val="21"/>
              </w:rPr>
              <w:t>　</w:t>
            </w:r>
            <w:r>
              <w:rPr>
                <w:rFonts w:hint="eastAsia" w:eastAsia="仿宋_GB2312"/>
                <w:kern w:val="0"/>
                <w:szCs w:val="21"/>
              </w:rPr>
              <w:t>205</w:t>
            </w:r>
          </w:p>
        </w:tc>
        <w:tc>
          <w:tcPr>
            <w:tcW w:w="3527" w:type="dxa"/>
            <w:tcBorders>
              <w:top w:val="nil"/>
              <w:left w:val="nil"/>
              <w:bottom w:val="single" w:color="auto" w:sz="4" w:space="0"/>
              <w:right w:val="single" w:color="auto" w:sz="4" w:space="0"/>
            </w:tcBorders>
            <w:noWrap w:val="0"/>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教育支出</w:t>
            </w:r>
          </w:p>
        </w:tc>
        <w:tc>
          <w:tcPr>
            <w:tcW w:w="3000"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1150.33</w:t>
            </w:r>
          </w:p>
        </w:tc>
        <w:tc>
          <w:tcPr>
            <w:tcW w:w="3492"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1150.33</w:t>
            </w:r>
          </w:p>
        </w:tc>
        <w:tc>
          <w:tcPr>
            <w:tcW w:w="3000" w:type="dxa"/>
            <w:tcBorders>
              <w:top w:val="nil"/>
              <w:left w:val="nil"/>
              <w:bottom w:val="single" w:color="auto" w:sz="4"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right"/>
              <w:rPr>
                <w:rFonts w:eastAsia="仿宋_GB2312"/>
                <w:kern w:val="0"/>
                <w:szCs w:val="21"/>
              </w:rPr>
            </w:pPr>
            <w:r>
              <w:rPr>
                <w:rFonts w:eastAsia="仿宋_GB2312"/>
                <w:kern w:val="0"/>
                <w:szCs w:val="21"/>
              </w:rPr>
              <w:t>　</w:t>
            </w:r>
            <w:r>
              <w:rPr>
                <w:rFonts w:hint="eastAsia" w:eastAsia="仿宋_GB2312"/>
                <w:kern w:val="0"/>
                <w:szCs w:val="21"/>
              </w:rPr>
              <w:t>20502</w:t>
            </w:r>
          </w:p>
        </w:tc>
        <w:tc>
          <w:tcPr>
            <w:tcW w:w="3527" w:type="dxa"/>
            <w:tcBorders>
              <w:top w:val="nil"/>
              <w:left w:val="nil"/>
              <w:bottom w:val="single" w:color="auto" w:sz="4" w:space="0"/>
              <w:right w:val="single" w:color="auto" w:sz="4" w:space="0"/>
            </w:tcBorders>
            <w:noWrap w:val="0"/>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普通教育</w:t>
            </w:r>
          </w:p>
        </w:tc>
        <w:tc>
          <w:tcPr>
            <w:tcW w:w="3000"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1150.33</w:t>
            </w:r>
          </w:p>
        </w:tc>
        <w:tc>
          <w:tcPr>
            <w:tcW w:w="3492"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1150.33</w:t>
            </w:r>
          </w:p>
        </w:tc>
        <w:tc>
          <w:tcPr>
            <w:tcW w:w="3000" w:type="dxa"/>
            <w:tcBorders>
              <w:top w:val="nil"/>
              <w:left w:val="nil"/>
              <w:bottom w:val="single" w:color="auto" w:sz="4"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right"/>
              <w:rPr>
                <w:rFonts w:eastAsia="仿宋_GB2312"/>
                <w:kern w:val="0"/>
                <w:szCs w:val="21"/>
              </w:rPr>
            </w:pPr>
            <w:r>
              <w:rPr>
                <w:rFonts w:hint="eastAsia" w:eastAsia="仿宋_GB2312"/>
                <w:kern w:val="0"/>
                <w:szCs w:val="21"/>
              </w:rPr>
              <w:t>2050202</w:t>
            </w:r>
          </w:p>
        </w:tc>
        <w:tc>
          <w:tcPr>
            <w:tcW w:w="3527" w:type="dxa"/>
            <w:tcBorders>
              <w:top w:val="nil"/>
              <w:left w:val="nil"/>
              <w:bottom w:val="single" w:color="auto" w:sz="4" w:space="0"/>
              <w:right w:val="single" w:color="auto" w:sz="4" w:space="0"/>
            </w:tcBorders>
            <w:noWrap w:val="0"/>
            <w:vAlign w:val="center"/>
          </w:tcPr>
          <w:p>
            <w:pPr>
              <w:widowControl/>
              <w:rPr>
                <w:rFonts w:hint="eastAsia" w:ascii="宋体" w:hAnsi="宋体" w:cs="宋体"/>
                <w:color w:val="000000"/>
                <w:sz w:val="22"/>
                <w:szCs w:val="22"/>
              </w:rPr>
            </w:pPr>
            <w:r>
              <w:rPr>
                <w:rFonts w:hint="eastAsia" w:ascii="宋体" w:hAnsi="宋体" w:cs="宋体"/>
                <w:color w:val="000000"/>
                <w:kern w:val="0"/>
                <w:sz w:val="22"/>
                <w:szCs w:val="22"/>
                <w:lang w:bidi="ar"/>
              </w:rPr>
              <w:t>小学教育</w:t>
            </w:r>
          </w:p>
        </w:tc>
        <w:tc>
          <w:tcPr>
            <w:tcW w:w="3000"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1150.33</w:t>
            </w:r>
          </w:p>
        </w:tc>
        <w:tc>
          <w:tcPr>
            <w:tcW w:w="3492"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1150.33</w:t>
            </w:r>
          </w:p>
        </w:tc>
        <w:tc>
          <w:tcPr>
            <w:tcW w:w="3000" w:type="dxa"/>
            <w:tcBorders>
              <w:top w:val="nil"/>
              <w:left w:val="nil"/>
              <w:bottom w:val="single" w:color="auto" w:sz="4"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3527"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3492"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4"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　</w:t>
            </w:r>
          </w:p>
        </w:tc>
        <w:tc>
          <w:tcPr>
            <w:tcW w:w="3527"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3492" w:type="dxa"/>
            <w:tcBorders>
              <w:top w:val="nil"/>
              <w:left w:val="nil"/>
              <w:bottom w:val="single" w:color="auto" w:sz="4"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4"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noWrap w:val="0"/>
            <w:vAlign w:val="center"/>
          </w:tcPr>
          <w:p>
            <w:pPr>
              <w:widowControl/>
              <w:jc w:val="center"/>
              <w:rPr>
                <w:rFonts w:eastAsia="仿宋_GB2312"/>
                <w:kern w:val="0"/>
                <w:szCs w:val="21"/>
              </w:rPr>
            </w:pPr>
            <w:r>
              <w:rPr>
                <w:rFonts w:hint="eastAsia" w:eastAsia="仿宋_GB2312"/>
                <w:kern w:val="0"/>
                <w:szCs w:val="21"/>
              </w:rPr>
              <w:t>　</w:t>
            </w:r>
          </w:p>
        </w:tc>
        <w:tc>
          <w:tcPr>
            <w:tcW w:w="3527" w:type="dxa"/>
            <w:tcBorders>
              <w:top w:val="nil"/>
              <w:left w:val="nil"/>
              <w:bottom w:val="single" w:color="auto" w:sz="8"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8"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3492" w:type="dxa"/>
            <w:tcBorders>
              <w:top w:val="nil"/>
              <w:left w:val="nil"/>
              <w:bottom w:val="single" w:color="auto" w:sz="8"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3000" w:type="dxa"/>
            <w:tcBorders>
              <w:top w:val="nil"/>
              <w:left w:val="nil"/>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645" w:hRule="atLeast"/>
          <w:jc w:val="center"/>
        </w:trPr>
        <w:tc>
          <w:tcPr>
            <w:tcW w:w="14219" w:type="dxa"/>
            <w:gridSpan w:val="5"/>
            <w:noWrap w:val="0"/>
            <w:vAlign w:val="center"/>
          </w:tcPr>
          <w:p>
            <w:pPr>
              <w:widowControl/>
              <w:jc w:val="left"/>
              <w:rPr>
                <w:rFonts w:eastAsia="仿宋_GB2312"/>
                <w:kern w:val="0"/>
                <w:szCs w:val="21"/>
              </w:rPr>
            </w:pPr>
            <w:r>
              <w:rPr>
                <w:rFonts w:hint="eastAsia" w:eastAsia="仿宋_GB2312"/>
                <w:kern w:val="0"/>
                <w:szCs w:val="21"/>
              </w:rPr>
              <w:t>注：本表反映部门本年度一般公共预算财政拨款支出情况。</w:t>
            </w:r>
          </w:p>
        </w:tc>
      </w:tr>
    </w:tbl>
    <w:p>
      <w:pPr>
        <w:widowControl/>
        <w:jc w:val="left"/>
        <w:rPr>
          <w:rFonts w:eastAsia="仿宋_GB2312"/>
          <w:bCs/>
          <w:kern w:val="0"/>
          <w:szCs w:val="21"/>
        </w:rPr>
      </w:pPr>
    </w:p>
    <w:p>
      <w:pPr>
        <w:widowControl/>
        <w:jc w:val="left"/>
        <w:rPr>
          <w:rFonts w:eastAsia="仿宋_GB2312"/>
          <w:bCs/>
          <w:kern w:val="0"/>
          <w:szCs w:val="21"/>
        </w:rPr>
      </w:pPr>
      <w:r>
        <w:rPr>
          <w:rFonts w:eastAsia="仿宋_GB2312"/>
          <w:bCs/>
          <w:kern w:val="0"/>
          <w:szCs w:val="21"/>
        </w:rPr>
        <w:br w:type="page"/>
      </w:r>
    </w:p>
    <w:p>
      <w:pPr>
        <w:widowControl/>
        <w:jc w:val="center"/>
        <w:outlineLvl w:val="1"/>
        <w:rPr>
          <w:rFonts w:hint="eastAsia" w:ascii="黑体" w:hAnsi="黑体" w:eastAsia="黑体" w:cs="黑体"/>
          <w:color w:val="000000"/>
          <w:kern w:val="0"/>
          <w:sz w:val="36"/>
          <w:szCs w:val="36"/>
        </w:rPr>
      </w:pPr>
      <w:r>
        <w:rPr>
          <w:rFonts w:hint="eastAsia" w:ascii="黑体" w:hAnsi="黑体" w:eastAsia="黑体" w:cs="黑体"/>
          <w:color w:val="000000"/>
          <w:kern w:val="0"/>
          <w:sz w:val="36"/>
          <w:szCs w:val="36"/>
        </w:rPr>
        <w:t>一般公共预算财政拨款基本支出决算表</w:t>
      </w:r>
      <w:bookmarkStart w:id="1" w:name="RANGE!A1:I39"/>
      <w:bookmarkEnd w:id="1"/>
    </w:p>
    <w:p>
      <w:pPr>
        <w:widowControl/>
        <w:jc w:val="left"/>
        <w:rPr>
          <w:rFonts w:eastAsia="仿宋_GB2312"/>
          <w:color w:val="000000"/>
          <w:kern w:val="0"/>
          <w:szCs w:val="21"/>
        </w:rPr>
      </w:pPr>
      <w:r>
        <w:rPr>
          <w:rFonts w:hint="eastAsia" w:eastAsia="仿宋_GB2312"/>
          <w:color w:val="000000"/>
          <w:kern w:val="0"/>
          <w:szCs w:val="21"/>
        </w:rPr>
        <w:t>部门：</w:t>
      </w:r>
      <w:r>
        <w:rPr>
          <w:rFonts w:eastAsia="仿宋_GB2312"/>
          <w:color w:val="000000"/>
          <w:kern w:val="0"/>
          <w:szCs w:val="21"/>
        </w:rPr>
        <w:t xml:space="preserve">  </w:t>
      </w:r>
      <w:r>
        <w:rPr>
          <w:rFonts w:hint="eastAsia" w:ascii="宋体" w:hAnsi="宋体" w:cs="宋体"/>
          <w:kern w:val="0"/>
          <w:sz w:val="20"/>
          <w:szCs w:val="20"/>
        </w:rPr>
        <w:t>蓝山县塔峰镇第三完全小学</w:t>
      </w:r>
      <w:r>
        <w:rPr>
          <w:rFonts w:eastAsia="仿宋_GB2312"/>
          <w:color w:val="000000"/>
          <w:kern w:val="0"/>
          <w:szCs w:val="21"/>
        </w:rPr>
        <w:t xml:space="preserve">                                                                                                      </w:t>
      </w:r>
      <w:r>
        <w:rPr>
          <w:rFonts w:hint="eastAsia" w:eastAsia="仿宋_GB2312"/>
          <w:color w:val="000000"/>
          <w:kern w:val="0"/>
          <w:szCs w:val="21"/>
        </w:rPr>
        <w:t xml:space="preserve">  </w:t>
      </w:r>
      <w:r>
        <w:rPr>
          <w:rFonts w:eastAsia="仿宋_GB2312"/>
          <w:color w:val="000000"/>
          <w:kern w:val="0"/>
          <w:szCs w:val="21"/>
        </w:rPr>
        <w:t xml:space="preserve"> </w:t>
      </w:r>
      <w:r>
        <w:rPr>
          <w:rFonts w:hint="eastAsia" w:eastAsia="仿宋_GB2312"/>
          <w:color w:val="000000"/>
          <w:kern w:val="0"/>
          <w:szCs w:val="21"/>
        </w:rPr>
        <w:t>公开</w:t>
      </w:r>
      <w:r>
        <w:rPr>
          <w:rFonts w:eastAsia="仿宋_GB2312"/>
          <w:color w:val="000000"/>
          <w:kern w:val="0"/>
          <w:szCs w:val="21"/>
        </w:rPr>
        <w:t>06</w:t>
      </w:r>
      <w:r>
        <w:rPr>
          <w:rFonts w:hint="eastAsia" w:eastAsia="仿宋_GB2312"/>
          <w:color w:val="000000"/>
          <w:kern w:val="0"/>
          <w:szCs w:val="21"/>
        </w:rPr>
        <w:t>表</w:t>
      </w:r>
    </w:p>
    <w:p>
      <w:pPr>
        <w:widowControl/>
        <w:jc w:val="right"/>
        <w:rPr>
          <w:rFonts w:eastAsia="仿宋_GB2312"/>
          <w:color w:val="000000"/>
          <w:kern w:val="0"/>
          <w:szCs w:val="21"/>
        </w:rPr>
      </w:pPr>
      <w:r>
        <w:rPr>
          <w:rFonts w:hint="eastAsia" w:eastAsia="仿宋_GB2312"/>
          <w:color w:val="000000"/>
          <w:kern w:val="0"/>
          <w:szCs w:val="21"/>
        </w:rPr>
        <w:t xml:space="preserve">    单位：万元</w:t>
      </w:r>
    </w:p>
    <w:tbl>
      <w:tblPr>
        <w:tblStyle w:val="3"/>
        <w:tblW w:w="15737" w:type="dxa"/>
        <w:tblInd w:w="93" w:type="dxa"/>
        <w:tblLayout w:type="fixed"/>
        <w:tblCellMar>
          <w:top w:w="0" w:type="dxa"/>
          <w:left w:w="108" w:type="dxa"/>
          <w:bottom w:w="0" w:type="dxa"/>
          <w:right w:w="108" w:type="dxa"/>
        </w:tblCellMar>
      </w:tblPr>
      <w:tblGrid>
        <w:gridCol w:w="1137"/>
        <w:gridCol w:w="3273"/>
        <w:gridCol w:w="847"/>
        <w:gridCol w:w="1098"/>
        <w:gridCol w:w="2273"/>
        <w:gridCol w:w="847"/>
        <w:gridCol w:w="1065"/>
        <w:gridCol w:w="4350"/>
        <w:gridCol w:w="847"/>
      </w:tblGrid>
      <w:tr>
        <w:tblPrEx>
          <w:tblCellMar>
            <w:top w:w="0" w:type="dxa"/>
            <w:left w:w="108" w:type="dxa"/>
            <w:bottom w:w="0" w:type="dxa"/>
            <w:right w:w="108" w:type="dxa"/>
          </w:tblCellMar>
        </w:tblPrEx>
        <w:trPr>
          <w:trHeight w:val="962" w:hRule="atLeast"/>
        </w:trPr>
        <w:tc>
          <w:tcPr>
            <w:tcW w:w="1137"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3273"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847"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c>
          <w:tcPr>
            <w:tcW w:w="1098"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2273"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847"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c>
          <w:tcPr>
            <w:tcW w:w="1065"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经济分类科目编码</w:t>
            </w:r>
          </w:p>
        </w:tc>
        <w:tc>
          <w:tcPr>
            <w:tcW w:w="4350"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科目名称</w:t>
            </w:r>
          </w:p>
        </w:tc>
        <w:tc>
          <w:tcPr>
            <w:tcW w:w="847" w:type="dxa"/>
            <w:tcBorders>
              <w:top w:val="single" w:color="auto" w:sz="8" w:space="0"/>
              <w:left w:val="nil"/>
              <w:bottom w:val="single" w:color="auto" w:sz="8" w:space="0"/>
              <w:right w:val="single" w:color="auto" w:sz="8" w:space="0"/>
            </w:tcBorders>
            <w:noWrap w:val="0"/>
            <w:vAlign w:val="center"/>
          </w:tcPr>
          <w:p>
            <w:pPr>
              <w:widowControl/>
              <w:jc w:val="center"/>
              <w:rPr>
                <w:rFonts w:ascii="仿宋_GB2312" w:hAnsi="宋体" w:eastAsia="仿宋_GB2312" w:cs="宋体"/>
                <w:b/>
                <w:bCs/>
                <w:color w:val="000000"/>
                <w:kern w:val="0"/>
                <w:szCs w:val="21"/>
              </w:rPr>
            </w:pPr>
            <w:r>
              <w:rPr>
                <w:rFonts w:hint="eastAsia" w:ascii="仿宋_GB2312" w:hAnsi="宋体" w:eastAsia="仿宋_GB2312" w:cs="宋体"/>
                <w:b/>
                <w:bCs/>
                <w:color w:val="000000"/>
                <w:kern w:val="0"/>
                <w:szCs w:val="21"/>
              </w:rPr>
              <w:t>决算数</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bookmarkStart w:id="2" w:name="OLE_LINK2" w:colFirst="0" w:colLast="8"/>
            <w:bookmarkStart w:id="3" w:name="OLE_LINK1" w:colFirst="1" w:colLast="8"/>
            <w:bookmarkStart w:id="4" w:name="OLE_LINK3" w:colFirst="0" w:colLast="4"/>
            <w:r>
              <w:rPr>
                <w:color w:val="000000"/>
                <w:kern w:val="0"/>
                <w:sz w:val="18"/>
                <w:szCs w:val="18"/>
              </w:rPr>
              <w:t>301</w:t>
            </w:r>
          </w:p>
        </w:tc>
        <w:tc>
          <w:tcPr>
            <w:tcW w:w="3273"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工资福利支出</w:t>
            </w:r>
          </w:p>
        </w:tc>
        <w:tc>
          <w:tcPr>
            <w:tcW w:w="847" w:type="dxa"/>
            <w:tcBorders>
              <w:top w:val="nil"/>
              <w:left w:val="nil"/>
              <w:bottom w:val="single" w:color="auto" w:sz="8" w:space="0"/>
              <w:right w:val="single" w:color="auto" w:sz="8" w:space="0"/>
            </w:tcBorders>
            <w:noWrap/>
            <w:vAlign w:val="bottom"/>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948.07</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w:t>
            </w:r>
          </w:p>
        </w:tc>
        <w:tc>
          <w:tcPr>
            <w:tcW w:w="2273"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129</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307</w:t>
            </w:r>
          </w:p>
        </w:tc>
        <w:tc>
          <w:tcPr>
            <w:tcW w:w="4350"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30101</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基本工资</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328.54</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30201</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办公费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81.53</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30701</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国内债务付息</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30102</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津贴补贴</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12</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30202</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印刷费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3.94</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30702</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国外债务付息</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30103</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奖金</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274.9</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30203</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咨询费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w:t>
            </w:r>
          </w:p>
        </w:tc>
        <w:tc>
          <w:tcPr>
            <w:tcW w:w="4350"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34.1</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30106</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伙食补助费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4.94</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30204</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手续费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31001</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房屋建筑物购建</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30107</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绩效工资</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53.52</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30205</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水费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1.79</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31002</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办公设备购置</w:t>
            </w:r>
          </w:p>
        </w:tc>
        <w:tc>
          <w:tcPr>
            <w:tcW w:w="847" w:type="dxa"/>
            <w:tcBorders>
              <w:top w:val="nil"/>
              <w:left w:val="nil"/>
              <w:bottom w:val="single" w:color="auto" w:sz="8" w:space="0"/>
              <w:right w:val="single" w:color="auto" w:sz="8" w:space="0"/>
            </w:tcBorders>
            <w:noWrap/>
            <w:vAlign w:val="bottom"/>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34.1</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30108</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机关事业单位基本养老保险费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122.36</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30206</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电费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7.76</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31003</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专用设备购置</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30109</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职业年金缴费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20.35</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30207</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邮电费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4.31</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31005</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基础设施建设</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30110</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职工基本医疗保险缴费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55.79</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30208</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取暖费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31006</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大型修缮</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30111</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公务员医疗补助缴费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30209</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物业管理费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31007</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信息网络及软件购置更新</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30112</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其他社会保障缴费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7.64</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30211</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差旅费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ascii="仿宋_GB2312" w:hAnsi="宋体" w:eastAsia="仿宋_GB2312" w:cs="宋体"/>
                <w:color w:val="000000"/>
                <w:kern w:val="0"/>
                <w:sz w:val="18"/>
                <w:szCs w:val="18"/>
              </w:rPr>
              <w:t>0.0</w:t>
            </w:r>
            <w:r>
              <w:rPr>
                <w:rFonts w:hint="eastAsia" w:ascii="仿宋_GB2312" w:hAnsi="宋体" w:eastAsia="仿宋_GB2312" w:cs="宋体"/>
                <w:color w:val="000000"/>
                <w:kern w:val="0"/>
                <w:sz w:val="18"/>
                <w:szCs w:val="18"/>
              </w:rPr>
              <w:t>8</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31008</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物资储备</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30113</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住房公积金</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56.03</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30212</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因公出国（境）费用</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31009</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土地补偿</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30114</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医疗费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30213</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维修（护）费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7.28</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31010</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安置补助</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30199</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其他工资福利支出</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12</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30214</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租赁费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31011</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地上附着物和青苗补偿</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w:t>
            </w:r>
          </w:p>
        </w:tc>
        <w:tc>
          <w:tcPr>
            <w:tcW w:w="3273"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对个人和家庭的补助</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39.16</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30215</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会议费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0.55</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31012</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拆迁补偿</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30301</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离休费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30216</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培训费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31013</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公务用车购置</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30302</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退休费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30217</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公务接待费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31019</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其他交通工具购置</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30303</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退职（役）费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30218</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专用材料费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31021</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文物和陈列品购置</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30304</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抚恤金</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19.7</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30224</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被装购置费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31022</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无形资产购置</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30305</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生活补助</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10.71</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30225</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专用燃料费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31099</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其他资本性支出</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30306</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救济费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30226</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劳务费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1.37</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399</w:t>
            </w:r>
          </w:p>
        </w:tc>
        <w:tc>
          <w:tcPr>
            <w:tcW w:w="4350"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30307</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医疗费补助</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30227</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委托业务费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39906</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赠与</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color w:val="000000"/>
                <w:kern w:val="0"/>
                <w:sz w:val="18"/>
                <w:szCs w:val="18"/>
              </w:rPr>
            </w:pPr>
            <w:r>
              <w:rPr>
                <w:color w:val="000000"/>
                <w:kern w:val="0"/>
                <w:sz w:val="18"/>
                <w:szCs w:val="18"/>
              </w:rPr>
              <w:t>30308</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助学金</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98"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30228</w:t>
            </w:r>
          </w:p>
        </w:tc>
        <w:tc>
          <w:tcPr>
            <w:tcW w:w="2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工会经费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6.85</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39907</w:t>
            </w:r>
          </w:p>
        </w:tc>
        <w:tc>
          <w:tcPr>
            <w:tcW w:w="4350"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国家赔偿费用支出</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single" w:color="auto" w:sz="8" w:space="0"/>
              <w:left w:val="single" w:color="auto" w:sz="8" w:space="0"/>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30309</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奖励金</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3.71</w:t>
            </w:r>
          </w:p>
        </w:tc>
        <w:tc>
          <w:tcPr>
            <w:tcW w:w="1098"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30229</w:t>
            </w:r>
          </w:p>
        </w:tc>
        <w:tc>
          <w:tcPr>
            <w:tcW w:w="2273"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8.12</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39908</w:t>
            </w:r>
          </w:p>
        </w:tc>
        <w:tc>
          <w:tcPr>
            <w:tcW w:w="4350"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single" w:color="auto" w:sz="8" w:space="0"/>
              <w:left w:val="single" w:color="auto" w:sz="8" w:space="0"/>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30310</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个人农业生产补贴</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98"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30231</w:t>
            </w:r>
          </w:p>
        </w:tc>
        <w:tc>
          <w:tcPr>
            <w:tcW w:w="2273"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39999</w:t>
            </w:r>
          </w:p>
        </w:tc>
        <w:tc>
          <w:tcPr>
            <w:tcW w:w="4350"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single" w:color="auto" w:sz="8" w:space="0"/>
              <w:left w:val="single" w:color="auto" w:sz="8" w:space="0"/>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30399</w:t>
            </w:r>
          </w:p>
        </w:tc>
        <w:tc>
          <w:tcPr>
            <w:tcW w:w="3273" w:type="dxa"/>
            <w:tcBorders>
              <w:top w:val="single" w:color="auto" w:sz="8" w:space="0"/>
              <w:left w:val="nil"/>
              <w:bottom w:val="single" w:color="auto" w:sz="8" w:space="0"/>
              <w:right w:val="single" w:color="auto" w:sz="8" w:space="0"/>
            </w:tcBorders>
            <w:noWrap/>
            <w:vAlign w:val="top"/>
          </w:tcPr>
          <w:p>
            <w:pPr>
              <w:widowControl/>
              <w:rPr>
                <w:color w:val="000000"/>
                <w:kern w:val="0"/>
                <w:sz w:val="18"/>
                <w:szCs w:val="18"/>
              </w:rPr>
            </w:pPr>
            <w:r>
              <w:rPr>
                <w:color w:val="000000"/>
                <w:kern w:val="0"/>
                <w:sz w:val="18"/>
                <w:szCs w:val="18"/>
              </w:rPr>
              <w:t xml:space="preserve">  </w:t>
            </w:r>
            <w:r>
              <w:rPr>
                <w:rFonts w:hint="eastAsia" w:ascii="仿宋_GB2312" w:eastAsia="仿宋_GB2312"/>
                <w:color w:val="000000"/>
                <w:kern w:val="0"/>
                <w:sz w:val="18"/>
                <w:szCs w:val="18"/>
              </w:rPr>
              <w:t>对其他个人和家庭的补助支出</w:t>
            </w:r>
          </w:p>
        </w:tc>
        <w:tc>
          <w:tcPr>
            <w:tcW w:w="847" w:type="dxa"/>
            <w:tcBorders>
              <w:top w:val="single" w:color="auto" w:sz="8" w:space="0"/>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5.04</w:t>
            </w:r>
          </w:p>
        </w:tc>
        <w:tc>
          <w:tcPr>
            <w:tcW w:w="1098" w:type="dxa"/>
            <w:tcBorders>
              <w:top w:val="single" w:color="auto" w:sz="8" w:space="0"/>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30239</w:t>
            </w:r>
          </w:p>
        </w:tc>
        <w:tc>
          <w:tcPr>
            <w:tcW w:w="2273" w:type="dxa"/>
            <w:tcBorders>
              <w:top w:val="single" w:color="auto" w:sz="8" w:space="0"/>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847" w:type="dxa"/>
            <w:tcBorders>
              <w:top w:val="single" w:color="auto" w:sz="8" w:space="0"/>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single" w:color="auto" w:sz="8" w:space="0"/>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4350" w:type="dxa"/>
            <w:tcBorders>
              <w:top w:val="single" w:color="auto" w:sz="8" w:space="0"/>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47" w:type="dxa"/>
            <w:tcBorders>
              <w:top w:val="single" w:color="auto" w:sz="8" w:space="0"/>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98"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30240</w:t>
            </w:r>
          </w:p>
        </w:tc>
        <w:tc>
          <w:tcPr>
            <w:tcW w:w="2273"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847" w:type="dxa"/>
            <w:tcBorders>
              <w:top w:val="nil"/>
              <w:left w:val="nil"/>
              <w:bottom w:val="single" w:color="auto" w:sz="8" w:space="0"/>
              <w:right w:val="single" w:color="auto" w:sz="8" w:space="0"/>
            </w:tcBorders>
            <w:noWrap/>
            <w:vAlign w:val="top"/>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4350"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6" w:hRule="exact"/>
        </w:trPr>
        <w:tc>
          <w:tcPr>
            <w:tcW w:w="1137" w:type="dxa"/>
            <w:tcBorders>
              <w:top w:val="nil"/>
              <w:left w:val="single" w:color="auto" w:sz="8" w:space="0"/>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3273"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847"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98"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30299</w:t>
            </w:r>
          </w:p>
        </w:tc>
        <w:tc>
          <w:tcPr>
            <w:tcW w:w="2273"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847" w:type="dxa"/>
            <w:tcBorders>
              <w:top w:val="nil"/>
              <w:left w:val="nil"/>
              <w:bottom w:val="single" w:color="auto" w:sz="8" w:space="0"/>
              <w:right w:val="single" w:color="auto" w:sz="8" w:space="0"/>
            </w:tcBorders>
            <w:noWrap/>
            <w:vAlign w:val="bottom"/>
          </w:tcPr>
          <w:p>
            <w:pPr>
              <w:widowControl/>
              <w:rPr>
                <w:rFonts w:hint="eastAsia"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2.4</w:t>
            </w:r>
          </w:p>
        </w:tc>
        <w:tc>
          <w:tcPr>
            <w:tcW w:w="1065" w:type="dxa"/>
            <w:tcBorders>
              <w:top w:val="nil"/>
              <w:left w:val="nil"/>
              <w:bottom w:val="single" w:color="auto" w:sz="8" w:space="0"/>
              <w:right w:val="single" w:color="auto" w:sz="8" w:space="0"/>
            </w:tcBorders>
            <w:noWrap/>
            <w:vAlign w:val="top"/>
          </w:tcPr>
          <w:p>
            <w:pPr>
              <w:widowControl/>
              <w:rPr>
                <w:color w:val="000000"/>
                <w:kern w:val="0"/>
                <w:sz w:val="18"/>
                <w:szCs w:val="18"/>
              </w:rPr>
            </w:pPr>
            <w:r>
              <w:rPr>
                <w:rFonts w:hint="eastAsia"/>
                <w:color w:val="000000"/>
                <w:kern w:val="0"/>
                <w:sz w:val="18"/>
                <w:szCs w:val="18"/>
              </w:rPr>
              <w:t>　</w:t>
            </w:r>
          </w:p>
        </w:tc>
        <w:tc>
          <w:tcPr>
            <w:tcW w:w="4350" w:type="dxa"/>
            <w:tcBorders>
              <w:top w:val="nil"/>
              <w:left w:val="nil"/>
              <w:bottom w:val="single" w:color="auto" w:sz="8" w:space="0"/>
              <w:right w:val="single" w:color="auto" w:sz="8" w:space="0"/>
            </w:tcBorders>
            <w:noWrap/>
            <w:vAlign w:val="to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bookmarkEnd w:id="2"/>
      <w:bookmarkEnd w:id="3"/>
      <w:tr>
        <w:tblPrEx>
          <w:tblCellMar>
            <w:top w:w="0" w:type="dxa"/>
            <w:left w:w="108" w:type="dxa"/>
            <w:bottom w:w="0" w:type="dxa"/>
            <w:right w:w="108" w:type="dxa"/>
          </w:tblCellMar>
        </w:tblPrEx>
        <w:trPr>
          <w:trHeight w:val="276" w:hRule="exact"/>
        </w:trPr>
        <w:tc>
          <w:tcPr>
            <w:tcW w:w="4410" w:type="dxa"/>
            <w:gridSpan w:val="2"/>
            <w:tcBorders>
              <w:top w:val="nil"/>
              <w:left w:val="single" w:color="auto" w:sz="8" w:space="0"/>
              <w:bottom w:val="single" w:color="auto" w:sz="8" w:space="0"/>
              <w:right w:val="single" w:color="auto" w:sz="8" w:space="0"/>
            </w:tcBorders>
            <w:noWrap/>
            <w:vAlign w:val="top"/>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847" w:type="dxa"/>
            <w:tcBorders>
              <w:top w:val="nil"/>
              <w:left w:val="nil"/>
              <w:bottom w:val="single" w:color="auto" w:sz="8" w:space="0"/>
              <w:right w:val="single" w:color="auto" w:sz="8" w:space="0"/>
            </w:tcBorders>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987.23　</w:t>
            </w:r>
          </w:p>
        </w:tc>
        <w:tc>
          <w:tcPr>
            <w:tcW w:w="9633" w:type="dxa"/>
            <w:gridSpan w:val="5"/>
            <w:tcBorders>
              <w:top w:val="nil"/>
              <w:left w:val="nil"/>
              <w:bottom w:val="single" w:color="auto" w:sz="8" w:space="0"/>
              <w:right w:val="single" w:color="auto" w:sz="8" w:space="0"/>
            </w:tcBorders>
            <w:noWrap/>
            <w:vAlign w:val="top"/>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847" w:type="dxa"/>
            <w:tcBorders>
              <w:top w:val="nil"/>
              <w:left w:val="nil"/>
              <w:bottom w:val="single" w:color="auto" w:sz="8" w:space="0"/>
              <w:right w:val="single" w:color="auto" w:sz="8" w:space="0"/>
            </w:tcBorders>
            <w:noWrap w:val="0"/>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163.1</w:t>
            </w:r>
          </w:p>
        </w:tc>
      </w:tr>
      <w:bookmarkEnd w:id="4"/>
    </w:tbl>
    <w:p>
      <w:pPr>
        <w:widowControl/>
        <w:jc w:val="left"/>
        <w:rPr>
          <w:rFonts w:hint="eastAsia" w:ascii="楷体_GB2312" w:hAnsi="黑体" w:eastAsia="楷体_GB2312"/>
          <w:szCs w:val="21"/>
        </w:rPr>
      </w:pPr>
      <w:r>
        <w:rPr>
          <w:rFonts w:hint="eastAsia" w:eastAsia="仿宋_GB2312"/>
          <w:kern w:val="0"/>
          <w:szCs w:val="21"/>
        </w:rPr>
        <w:t>注：本表反映部门年度一般公共预算财政拨款基本支出明细情况。</w:t>
      </w:r>
      <w:r>
        <w:rPr>
          <w:rFonts w:hint="eastAsia" w:ascii="楷体_GB2312" w:hAnsi="黑体" w:eastAsia="楷体_GB2312"/>
          <w:szCs w:val="21"/>
        </w:rPr>
        <w:br w:type="page"/>
      </w:r>
    </w:p>
    <w:tbl>
      <w:tblPr>
        <w:tblStyle w:val="3"/>
        <w:tblpPr w:leftFromText="180" w:rightFromText="180" w:vertAnchor="text" w:horzAnchor="page" w:tblpX="1216" w:tblpY="555"/>
        <w:tblOverlap w:val="never"/>
        <w:tblW w:w="14584" w:type="dxa"/>
        <w:tblInd w:w="0" w:type="dxa"/>
        <w:tblLayout w:type="fixed"/>
        <w:tblCellMar>
          <w:top w:w="0" w:type="dxa"/>
          <w:left w:w="108" w:type="dxa"/>
          <w:bottom w:w="0" w:type="dxa"/>
          <w:right w:w="108" w:type="dxa"/>
        </w:tblCellMar>
      </w:tblPr>
      <w:tblGrid>
        <w:gridCol w:w="788"/>
        <w:gridCol w:w="650"/>
        <w:gridCol w:w="3574"/>
        <w:gridCol w:w="1362"/>
        <w:gridCol w:w="2912"/>
        <w:gridCol w:w="5298"/>
      </w:tblGrid>
      <w:tr>
        <w:tblPrEx>
          <w:tblCellMar>
            <w:top w:w="0" w:type="dxa"/>
            <w:left w:w="108" w:type="dxa"/>
            <w:bottom w:w="0" w:type="dxa"/>
            <w:right w:w="108" w:type="dxa"/>
          </w:tblCellMar>
        </w:tblPrEx>
        <w:trPr>
          <w:trHeight w:val="1431" w:hRule="atLeast"/>
        </w:trPr>
        <w:tc>
          <w:tcPr>
            <w:tcW w:w="14584" w:type="dxa"/>
            <w:gridSpan w:val="6"/>
            <w:tcBorders>
              <w:top w:val="nil"/>
              <w:left w:val="nil"/>
              <w:bottom w:val="nil"/>
              <w:right w:val="nil"/>
            </w:tcBorders>
            <w:noWrap w:val="0"/>
            <w:vAlign w:val="center"/>
          </w:tcPr>
          <w:p>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财政拨款“三公”经费支出决算表</w:t>
            </w:r>
          </w:p>
        </w:tc>
      </w:tr>
      <w:tr>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650"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74"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62"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12" w:type="dxa"/>
            <w:tcBorders>
              <w:top w:val="nil"/>
              <w:left w:val="nil"/>
              <w:bottom w:val="nil"/>
              <w:right w:val="nil"/>
            </w:tcBorders>
            <w:noWrap w:val="0"/>
            <w:vAlign w:val="center"/>
          </w:tcPr>
          <w:p>
            <w:pPr>
              <w:widowControl/>
              <w:jc w:val="right"/>
              <w:rPr>
                <w:rFonts w:hint="eastAsia" w:ascii="宋体" w:hAnsi="宋体" w:cs="宋体"/>
                <w:kern w:val="0"/>
                <w:sz w:val="20"/>
                <w:szCs w:val="20"/>
              </w:rPr>
            </w:pPr>
          </w:p>
        </w:tc>
        <w:tc>
          <w:tcPr>
            <w:tcW w:w="5298"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07</w:t>
            </w:r>
            <w:r>
              <w:rPr>
                <w:rFonts w:hint="eastAsia" w:eastAsia="仿宋_GB2312"/>
                <w:color w:val="000000"/>
                <w:kern w:val="0"/>
                <w:szCs w:val="21"/>
              </w:rPr>
              <w:t>表</w:t>
            </w:r>
          </w:p>
        </w:tc>
      </w:tr>
      <w:tr>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4224" w:type="dxa"/>
            <w:gridSpan w:val="2"/>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宋体" w:hAnsi="宋体" w:cs="宋体"/>
                <w:kern w:val="0"/>
                <w:sz w:val="20"/>
                <w:szCs w:val="20"/>
              </w:rPr>
              <w:t>蓝山县塔峰镇第三完全小学</w:t>
            </w:r>
          </w:p>
        </w:tc>
        <w:tc>
          <w:tcPr>
            <w:tcW w:w="1362"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12"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98"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widowControl/>
        <w:jc w:val="left"/>
        <w:rPr>
          <w:rFonts w:eastAsia="仿宋_GB2312"/>
          <w:color w:val="000000"/>
          <w:kern w:val="0"/>
          <w:szCs w:val="21"/>
        </w:rPr>
      </w:pPr>
      <w:r>
        <w:rPr>
          <w:rFonts w:eastAsia="仿宋_GB2312"/>
          <w:color w:val="000000"/>
          <w:kern w:val="0"/>
          <w:szCs w:val="21"/>
        </w:rPr>
        <w:t xml:space="preserve">                                                                                                                             </w:t>
      </w:r>
    </w:p>
    <w:tbl>
      <w:tblPr>
        <w:tblStyle w:val="3"/>
        <w:tblW w:w="14640" w:type="dxa"/>
        <w:jc w:val="center"/>
        <w:tblLayout w:type="autofit"/>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noWrap w:val="0"/>
            <w:vAlign w:val="center"/>
          </w:tcPr>
          <w:p>
            <w:pPr>
              <w:widowControl/>
              <w:jc w:val="center"/>
              <w:rPr>
                <w:rFonts w:eastAsia="仿宋_GB2312"/>
                <w:b/>
                <w:bCs/>
                <w:kern w:val="0"/>
                <w:szCs w:val="21"/>
              </w:rPr>
            </w:pPr>
            <w:r>
              <w:rPr>
                <w:rFonts w:hint="eastAsia" w:eastAsia="仿宋_GB2312"/>
                <w:b/>
                <w:bCs/>
                <w:kern w:val="0"/>
                <w:szCs w:val="21"/>
              </w:rPr>
              <w:t>预算数</w:t>
            </w:r>
          </w:p>
        </w:tc>
        <w:tc>
          <w:tcPr>
            <w:tcW w:w="7320" w:type="dxa"/>
            <w:gridSpan w:val="6"/>
            <w:tcBorders>
              <w:top w:val="single" w:color="auto" w:sz="8" w:space="0"/>
              <w:left w:val="nil"/>
              <w:bottom w:val="single" w:color="auto" w:sz="4" w:space="0"/>
              <w:right w:val="single" w:color="000000" w:sz="8" w:space="0"/>
            </w:tcBorders>
            <w:noWrap w:val="0"/>
            <w:vAlign w:val="center"/>
          </w:tcPr>
          <w:p>
            <w:pPr>
              <w:widowControl/>
              <w:jc w:val="center"/>
              <w:rPr>
                <w:rFonts w:eastAsia="仿宋_GB2312"/>
                <w:b/>
                <w:bCs/>
                <w:kern w:val="0"/>
                <w:szCs w:val="21"/>
              </w:rPr>
            </w:pPr>
            <w:r>
              <w:rPr>
                <w:rFonts w:hint="eastAsia" w:eastAsia="仿宋_GB2312"/>
                <w:b/>
                <w:bCs/>
                <w:kern w:val="0"/>
                <w:szCs w:val="21"/>
              </w:rPr>
              <w:t>决算数</w:t>
            </w:r>
          </w:p>
        </w:tc>
      </w:tr>
      <w:tr>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noWrap w:val="0"/>
            <w:vAlign w:val="center"/>
          </w:tcPr>
          <w:p>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公务</w:t>
            </w:r>
          </w:p>
          <w:p>
            <w:pPr>
              <w:widowControl/>
              <w:jc w:val="center"/>
              <w:rPr>
                <w:rFonts w:eastAsia="仿宋_GB2312"/>
                <w:b/>
                <w:bCs/>
                <w:kern w:val="0"/>
                <w:szCs w:val="21"/>
              </w:rPr>
            </w:pPr>
            <w:r>
              <w:rPr>
                <w:rFonts w:hint="eastAsia" w:eastAsia="仿宋_GB2312"/>
                <w:b/>
                <w:bCs/>
                <w:kern w:val="0"/>
                <w:szCs w:val="21"/>
              </w:rPr>
              <w:t>接待费</w:t>
            </w:r>
          </w:p>
        </w:tc>
        <w:tc>
          <w:tcPr>
            <w:tcW w:w="1220" w:type="dxa"/>
            <w:vMerge w:val="restart"/>
            <w:tcBorders>
              <w:top w:val="nil"/>
              <w:left w:val="nil"/>
              <w:bottom w:val="single" w:color="000000"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noWrap w:val="0"/>
            <w:vAlign w:val="center"/>
          </w:tcPr>
          <w:p>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noWrap w:val="0"/>
            <w:vAlign w:val="center"/>
          </w:tcPr>
          <w:p>
            <w:pPr>
              <w:widowControl/>
              <w:jc w:val="center"/>
              <w:rPr>
                <w:rFonts w:eastAsia="仿宋_GB2312"/>
                <w:b/>
                <w:bCs/>
                <w:kern w:val="0"/>
                <w:szCs w:val="21"/>
              </w:rPr>
            </w:pPr>
            <w:r>
              <w:rPr>
                <w:rFonts w:hint="eastAsia" w:eastAsia="仿宋_GB2312"/>
                <w:b/>
                <w:bCs/>
                <w:kern w:val="0"/>
                <w:szCs w:val="21"/>
              </w:rPr>
              <w:t>公务</w:t>
            </w:r>
          </w:p>
          <w:p>
            <w:pPr>
              <w:widowControl/>
              <w:jc w:val="center"/>
              <w:rPr>
                <w:rFonts w:eastAsia="仿宋_GB2312"/>
                <w:b/>
                <w:bCs/>
                <w:kern w:val="0"/>
                <w:szCs w:val="21"/>
              </w:rPr>
            </w:pPr>
            <w:r>
              <w:rPr>
                <w:rFonts w:hint="eastAsia" w:eastAsia="仿宋_GB2312"/>
                <w:b/>
                <w:bCs/>
                <w:kern w:val="0"/>
                <w:szCs w:val="21"/>
              </w:rPr>
              <w:t>接待费</w:t>
            </w:r>
          </w:p>
        </w:tc>
      </w:tr>
      <w:tr>
        <w:tblPrEx>
          <w:tblCellMar>
            <w:top w:w="0" w:type="dxa"/>
            <w:left w:w="108" w:type="dxa"/>
            <w:bottom w:w="0" w:type="dxa"/>
            <w:right w:w="108" w:type="dxa"/>
          </w:tblCellMar>
        </w:tblPrEx>
        <w:trPr>
          <w:trHeight w:val="397" w:hRule="atLeast"/>
          <w:jc w:val="center"/>
        </w:trPr>
        <w:tc>
          <w:tcPr>
            <w:tcW w:w="0" w:type="auto"/>
            <w:vMerge w:val="continue"/>
            <w:tcBorders>
              <w:top w:val="nil"/>
              <w:left w:val="single" w:color="auto" w:sz="8" w:space="0"/>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公务用车</w:t>
            </w:r>
          </w:p>
          <w:p>
            <w:pPr>
              <w:widowControl/>
              <w:jc w:val="center"/>
              <w:rPr>
                <w:rFonts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公务用车</w:t>
            </w:r>
          </w:p>
          <w:p>
            <w:pPr>
              <w:widowControl/>
              <w:jc w:val="center"/>
              <w:rPr>
                <w:rFonts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auto"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nil"/>
              <w:left w:val="nil"/>
              <w:bottom w:val="single" w:color="000000" w:sz="4" w:space="0"/>
              <w:right w:val="single" w:color="auto" w:sz="4" w:space="0"/>
            </w:tcBorders>
            <w:noWrap w:val="0"/>
            <w:vAlign w:val="center"/>
          </w:tcPr>
          <w:p>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noWrap w:val="0"/>
            <w:vAlign w:val="center"/>
          </w:tcPr>
          <w:p>
            <w:pPr>
              <w:widowControl/>
              <w:jc w:val="left"/>
              <w:rPr>
                <w:rFonts w:eastAsia="仿宋_GB2312"/>
                <w:kern w:val="0"/>
                <w:szCs w:val="21"/>
              </w:rPr>
            </w:pP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公务用车</w:t>
            </w:r>
          </w:p>
          <w:p>
            <w:pPr>
              <w:widowControl/>
              <w:jc w:val="center"/>
              <w:rPr>
                <w:rFonts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公务用车</w:t>
            </w:r>
          </w:p>
          <w:p>
            <w:pPr>
              <w:widowControl/>
              <w:jc w:val="center"/>
              <w:rPr>
                <w:rFonts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000000" w:sz="4" w:space="0"/>
              <w:right w:val="single" w:color="auto" w:sz="8" w:space="0"/>
            </w:tcBorders>
            <w:noWrap w:val="0"/>
            <w:vAlign w:val="center"/>
          </w:tcPr>
          <w:p>
            <w:pPr>
              <w:widowControl/>
              <w:jc w:val="left"/>
              <w:rPr>
                <w:rFonts w:eastAsia="仿宋_GB2312"/>
                <w:kern w:val="0"/>
                <w:szCs w:val="21"/>
              </w:rPr>
            </w:pP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1</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2</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3</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4</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5</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6</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7</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8</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9</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10</w:t>
            </w:r>
          </w:p>
        </w:tc>
        <w:tc>
          <w:tcPr>
            <w:tcW w:w="1220" w:type="dxa"/>
            <w:tcBorders>
              <w:top w:val="nil"/>
              <w:left w:val="nil"/>
              <w:bottom w:val="single" w:color="auto" w:sz="4" w:space="0"/>
              <w:right w:val="single" w:color="auto" w:sz="4" w:space="0"/>
            </w:tcBorders>
            <w:noWrap w:val="0"/>
            <w:vAlign w:val="center"/>
          </w:tcPr>
          <w:p>
            <w:pPr>
              <w:widowControl/>
              <w:jc w:val="center"/>
              <w:rPr>
                <w:rFonts w:eastAsia="仿宋_GB2312"/>
                <w:kern w:val="0"/>
                <w:szCs w:val="21"/>
              </w:rPr>
            </w:pPr>
            <w:r>
              <w:rPr>
                <w:rFonts w:eastAsia="仿宋_GB2312"/>
                <w:kern w:val="0"/>
                <w:szCs w:val="21"/>
              </w:rPr>
              <w:t>11</w:t>
            </w:r>
          </w:p>
        </w:tc>
        <w:tc>
          <w:tcPr>
            <w:tcW w:w="1220" w:type="dxa"/>
            <w:tcBorders>
              <w:top w:val="nil"/>
              <w:left w:val="nil"/>
              <w:bottom w:val="single" w:color="auto" w:sz="4"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12</w:t>
            </w: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0.5</w:t>
            </w:r>
          </w:p>
        </w:tc>
        <w:tc>
          <w:tcPr>
            <w:tcW w:w="1220" w:type="dxa"/>
            <w:tcBorders>
              <w:top w:val="nil"/>
              <w:left w:val="nil"/>
              <w:bottom w:val="single" w:color="auto" w:sz="8" w:space="0"/>
              <w:right w:val="single" w:color="auto" w:sz="4" w:space="0"/>
            </w:tcBorders>
            <w:noWrap w:val="0"/>
            <w:vAlign w:val="center"/>
          </w:tcPr>
          <w:p>
            <w:pPr>
              <w:widowControl/>
              <w:jc w:val="left"/>
              <w:rPr>
                <w:rFonts w:hint="eastAsia" w:eastAsia="仿宋_GB2312"/>
                <w:kern w:val="0"/>
                <w:szCs w:val="21"/>
              </w:rPr>
            </w:pPr>
            <w:r>
              <w:rPr>
                <w:rFonts w:hint="eastAsia" w:eastAsia="仿宋_GB2312"/>
                <w:kern w:val="0"/>
                <w:szCs w:val="21"/>
              </w:rPr>
              <w:t>　0</w:t>
            </w:r>
          </w:p>
        </w:tc>
        <w:tc>
          <w:tcPr>
            <w:tcW w:w="1220" w:type="dxa"/>
            <w:tcBorders>
              <w:top w:val="nil"/>
              <w:left w:val="nil"/>
              <w:bottom w:val="single" w:color="auto" w:sz="8" w:space="0"/>
              <w:right w:val="single" w:color="auto" w:sz="4" w:space="0"/>
            </w:tcBorders>
            <w:noWrap w:val="0"/>
            <w:vAlign w:val="center"/>
          </w:tcPr>
          <w:p>
            <w:pPr>
              <w:widowControl/>
              <w:jc w:val="left"/>
              <w:rPr>
                <w:rFonts w:hint="eastAsia" w:eastAsia="仿宋_GB2312"/>
                <w:kern w:val="0"/>
                <w:szCs w:val="21"/>
              </w:rPr>
            </w:pPr>
            <w:r>
              <w:rPr>
                <w:rFonts w:hint="eastAsia" w:eastAsia="仿宋_GB2312"/>
                <w:kern w:val="0"/>
                <w:szCs w:val="21"/>
              </w:rPr>
              <w:t>　0</w:t>
            </w:r>
          </w:p>
        </w:tc>
        <w:tc>
          <w:tcPr>
            <w:tcW w:w="1220" w:type="dxa"/>
            <w:tcBorders>
              <w:top w:val="nil"/>
              <w:left w:val="nil"/>
              <w:bottom w:val="single" w:color="auto" w:sz="8" w:space="0"/>
              <w:right w:val="single" w:color="auto" w:sz="4" w:space="0"/>
            </w:tcBorders>
            <w:noWrap w:val="0"/>
            <w:vAlign w:val="center"/>
          </w:tcPr>
          <w:p>
            <w:pPr>
              <w:widowControl/>
              <w:jc w:val="left"/>
              <w:rPr>
                <w:rFonts w:hint="eastAsia" w:eastAsia="仿宋_GB2312"/>
                <w:kern w:val="0"/>
                <w:szCs w:val="21"/>
              </w:rPr>
            </w:pPr>
            <w:r>
              <w:rPr>
                <w:rFonts w:hint="eastAsia" w:eastAsia="仿宋_GB2312"/>
                <w:kern w:val="0"/>
                <w:szCs w:val="21"/>
              </w:rPr>
              <w:t>　0</w:t>
            </w:r>
          </w:p>
        </w:tc>
        <w:tc>
          <w:tcPr>
            <w:tcW w:w="1220" w:type="dxa"/>
            <w:tcBorders>
              <w:top w:val="nil"/>
              <w:left w:val="nil"/>
              <w:bottom w:val="single" w:color="auto" w:sz="8" w:space="0"/>
              <w:right w:val="single" w:color="auto" w:sz="4" w:space="0"/>
            </w:tcBorders>
            <w:noWrap w:val="0"/>
            <w:vAlign w:val="center"/>
          </w:tcPr>
          <w:p>
            <w:pPr>
              <w:widowControl/>
              <w:jc w:val="left"/>
              <w:rPr>
                <w:rFonts w:hint="eastAsia" w:eastAsia="仿宋_GB2312"/>
                <w:kern w:val="0"/>
                <w:szCs w:val="21"/>
              </w:rPr>
            </w:pPr>
            <w:r>
              <w:rPr>
                <w:rFonts w:hint="eastAsia" w:eastAsia="仿宋_GB2312"/>
                <w:kern w:val="0"/>
                <w:szCs w:val="21"/>
              </w:rPr>
              <w:t>　0</w:t>
            </w:r>
          </w:p>
        </w:tc>
        <w:tc>
          <w:tcPr>
            <w:tcW w:w="1220" w:type="dxa"/>
            <w:tcBorders>
              <w:top w:val="nil"/>
              <w:left w:val="nil"/>
              <w:bottom w:val="single" w:color="auto" w:sz="8" w:space="0"/>
              <w:right w:val="single" w:color="auto" w:sz="4" w:space="0"/>
            </w:tcBorders>
            <w:noWrap w:val="0"/>
            <w:vAlign w:val="center"/>
          </w:tcPr>
          <w:p>
            <w:pPr>
              <w:widowControl/>
              <w:jc w:val="left"/>
              <w:rPr>
                <w:rFonts w:eastAsia="仿宋_GB2312"/>
                <w:kern w:val="0"/>
                <w:szCs w:val="21"/>
              </w:rPr>
            </w:pPr>
            <w:r>
              <w:rPr>
                <w:rFonts w:hint="eastAsia" w:eastAsia="仿宋_GB2312"/>
                <w:kern w:val="0"/>
                <w:szCs w:val="21"/>
              </w:rPr>
              <w:t>　0.5</w:t>
            </w:r>
          </w:p>
        </w:tc>
        <w:tc>
          <w:tcPr>
            <w:tcW w:w="1220" w:type="dxa"/>
            <w:tcBorders>
              <w:top w:val="nil"/>
              <w:left w:val="nil"/>
              <w:bottom w:val="single" w:color="auto" w:sz="8" w:space="0"/>
              <w:right w:val="single" w:color="auto" w:sz="4" w:space="0"/>
            </w:tcBorders>
            <w:noWrap w:val="0"/>
            <w:vAlign w:val="center"/>
          </w:tcPr>
          <w:p>
            <w:pPr>
              <w:widowControl/>
              <w:jc w:val="left"/>
              <w:rPr>
                <w:rFonts w:hint="eastAsia" w:eastAsia="仿宋_GB2312"/>
                <w:kern w:val="0"/>
                <w:szCs w:val="21"/>
              </w:rPr>
            </w:pPr>
            <w:r>
              <w:rPr>
                <w:rFonts w:hint="eastAsia" w:eastAsia="仿宋_GB2312"/>
                <w:kern w:val="0"/>
                <w:szCs w:val="21"/>
              </w:rPr>
              <w:t>　0</w:t>
            </w:r>
          </w:p>
        </w:tc>
        <w:tc>
          <w:tcPr>
            <w:tcW w:w="1220" w:type="dxa"/>
            <w:tcBorders>
              <w:top w:val="nil"/>
              <w:left w:val="nil"/>
              <w:bottom w:val="single" w:color="auto" w:sz="8" w:space="0"/>
              <w:right w:val="single" w:color="auto" w:sz="4" w:space="0"/>
            </w:tcBorders>
            <w:noWrap w:val="0"/>
            <w:vAlign w:val="center"/>
          </w:tcPr>
          <w:p>
            <w:pPr>
              <w:widowControl/>
              <w:jc w:val="left"/>
              <w:rPr>
                <w:rFonts w:hint="eastAsia" w:eastAsia="仿宋_GB2312"/>
                <w:kern w:val="0"/>
                <w:szCs w:val="21"/>
              </w:rPr>
            </w:pPr>
            <w:r>
              <w:rPr>
                <w:rFonts w:hint="eastAsia" w:eastAsia="仿宋_GB2312"/>
                <w:kern w:val="0"/>
                <w:szCs w:val="21"/>
              </w:rPr>
              <w:t>　0</w:t>
            </w:r>
          </w:p>
        </w:tc>
        <w:tc>
          <w:tcPr>
            <w:tcW w:w="1220" w:type="dxa"/>
            <w:tcBorders>
              <w:top w:val="nil"/>
              <w:left w:val="nil"/>
              <w:bottom w:val="single" w:color="auto" w:sz="8" w:space="0"/>
              <w:right w:val="single" w:color="auto" w:sz="4" w:space="0"/>
            </w:tcBorders>
            <w:noWrap w:val="0"/>
            <w:vAlign w:val="center"/>
          </w:tcPr>
          <w:p>
            <w:pPr>
              <w:widowControl/>
              <w:jc w:val="left"/>
              <w:rPr>
                <w:rFonts w:hint="eastAsia" w:eastAsia="仿宋_GB2312"/>
                <w:kern w:val="0"/>
                <w:szCs w:val="21"/>
              </w:rPr>
            </w:pPr>
            <w:r>
              <w:rPr>
                <w:rFonts w:hint="eastAsia" w:eastAsia="仿宋_GB2312"/>
                <w:kern w:val="0"/>
                <w:szCs w:val="21"/>
              </w:rPr>
              <w:t>　0</w:t>
            </w:r>
          </w:p>
        </w:tc>
        <w:tc>
          <w:tcPr>
            <w:tcW w:w="1220" w:type="dxa"/>
            <w:tcBorders>
              <w:top w:val="nil"/>
              <w:left w:val="nil"/>
              <w:bottom w:val="single" w:color="auto" w:sz="8" w:space="0"/>
              <w:right w:val="single" w:color="auto" w:sz="4" w:space="0"/>
            </w:tcBorders>
            <w:noWrap w:val="0"/>
            <w:vAlign w:val="center"/>
          </w:tcPr>
          <w:p>
            <w:pPr>
              <w:widowControl/>
              <w:jc w:val="left"/>
              <w:rPr>
                <w:rFonts w:hint="eastAsia" w:eastAsia="仿宋_GB2312"/>
                <w:kern w:val="0"/>
                <w:szCs w:val="21"/>
              </w:rPr>
            </w:pPr>
            <w:r>
              <w:rPr>
                <w:rFonts w:hint="eastAsia" w:eastAsia="仿宋_GB2312"/>
                <w:kern w:val="0"/>
                <w:szCs w:val="21"/>
              </w:rPr>
              <w:t>　0</w:t>
            </w:r>
          </w:p>
        </w:tc>
        <w:tc>
          <w:tcPr>
            <w:tcW w:w="1220" w:type="dxa"/>
            <w:tcBorders>
              <w:top w:val="nil"/>
              <w:left w:val="nil"/>
              <w:bottom w:val="single" w:color="auto" w:sz="8" w:space="0"/>
              <w:right w:val="nil"/>
            </w:tcBorders>
            <w:noWrap w:val="0"/>
            <w:vAlign w:val="center"/>
          </w:tcPr>
          <w:p>
            <w:pPr>
              <w:widowControl/>
              <w:jc w:val="left"/>
              <w:rPr>
                <w:rFonts w:hint="eastAsia" w:eastAsia="仿宋_GB2312"/>
                <w:kern w:val="0"/>
                <w:szCs w:val="21"/>
              </w:rPr>
            </w:pPr>
            <w:r>
              <w:rPr>
                <w:rFonts w:hint="eastAsia" w:eastAsia="仿宋_GB2312"/>
                <w:kern w:val="0"/>
                <w:szCs w:val="21"/>
              </w:rPr>
              <w:t>　0</w:t>
            </w:r>
          </w:p>
        </w:tc>
        <w:tc>
          <w:tcPr>
            <w:tcW w:w="1220" w:type="dxa"/>
            <w:tcBorders>
              <w:top w:val="nil"/>
              <w:left w:val="single" w:color="auto" w:sz="4" w:space="0"/>
              <w:bottom w:val="single" w:color="auto" w:sz="8" w:space="0"/>
              <w:right w:val="single" w:color="auto" w:sz="8" w:space="0"/>
            </w:tcBorders>
            <w:noWrap w:val="0"/>
            <w:vAlign w:val="center"/>
          </w:tcPr>
          <w:p>
            <w:pPr>
              <w:widowControl/>
              <w:jc w:val="left"/>
              <w:rPr>
                <w:rFonts w:hint="eastAsia" w:eastAsia="仿宋_GB2312"/>
                <w:kern w:val="0"/>
                <w:szCs w:val="21"/>
              </w:rPr>
            </w:pPr>
            <w:r>
              <w:rPr>
                <w:rFonts w:hint="eastAsia" w:eastAsia="仿宋_GB2312"/>
                <w:kern w:val="0"/>
                <w:szCs w:val="21"/>
              </w:rPr>
              <w:t>　0</w:t>
            </w:r>
          </w:p>
        </w:tc>
      </w:tr>
    </w:tbl>
    <w:p>
      <w:pPr>
        <w:widowControl/>
        <w:jc w:val="left"/>
        <w:rPr>
          <w:rFonts w:hint="eastAsia" w:eastAsia="仿宋_GB2312"/>
          <w:kern w:val="0"/>
          <w:szCs w:val="21"/>
        </w:rPr>
      </w:pPr>
      <w:r>
        <w:rPr>
          <w:rFonts w:hint="eastAsia" w:eastAsia="仿宋_GB2312"/>
          <w:kern w:val="0"/>
          <w:szCs w:val="21"/>
        </w:rPr>
        <w:t>注：本表反映部门本年度“三公”经费支出预决算情况。其中，预算数为“三公”经费全年预算数，反映按规定程序调整后的预算数；决算数是包括当年一般公共预算财政拨款和以前年度结转资金安排的实际支出。</w:t>
      </w:r>
    </w:p>
    <w:p>
      <w:pPr>
        <w:widowControl/>
        <w:jc w:val="left"/>
        <w:rPr>
          <w:rFonts w:hint="eastAsia" w:ascii="宋体" w:cs="宋体"/>
          <w:kern w:val="0"/>
          <w:sz w:val="24"/>
        </w:rPr>
      </w:pPr>
      <w:r>
        <w:rPr>
          <w:rFonts w:hint="eastAsia" w:ascii="宋体" w:cs="宋体"/>
          <w:kern w:val="0"/>
          <w:sz w:val="24"/>
        </w:rPr>
        <w:br w:type="page"/>
      </w:r>
    </w:p>
    <w:p>
      <w:pPr>
        <w:autoSpaceDE w:val="0"/>
        <w:autoSpaceDN w:val="0"/>
        <w:adjustRightInd w:val="0"/>
        <w:ind w:left="315" w:leftChars="150"/>
        <w:jc w:val="left"/>
        <w:rPr>
          <w:rFonts w:hint="eastAsia" w:ascii="宋体" w:cs="宋体"/>
          <w:kern w:val="0"/>
          <w:sz w:val="24"/>
        </w:rPr>
      </w:pPr>
    </w:p>
    <w:tbl>
      <w:tblPr>
        <w:tblStyle w:val="3"/>
        <w:tblpPr w:leftFromText="180" w:rightFromText="180" w:vertAnchor="text" w:horzAnchor="page" w:tblpX="1340" w:tblpY="555"/>
        <w:tblOverlap w:val="never"/>
        <w:tblW w:w="14420" w:type="dxa"/>
        <w:tblInd w:w="0" w:type="dxa"/>
        <w:tblLayout w:type="fixed"/>
        <w:tblCellMar>
          <w:top w:w="0" w:type="dxa"/>
          <w:left w:w="108" w:type="dxa"/>
          <w:bottom w:w="0" w:type="dxa"/>
          <w:right w:w="108" w:type="dxa"/>
        </w:tblCellMar>
      </w:tblPr>
      <w:tblGrid>
        <w:gridCol w:w="895"/>
        <w:gridCol w:w="416"/>
        <w:gridCol w:w="3565"/>
        <w:gridCol w:w="1359"/>
        <w:gridCol w:w="2904"/>
        <w:gridCol w:w="5281"/>
      </w:tblGrid>
      <w:tr>
        <w:tblPrEx>
          <w:tblCellMar>
            <w:top w:w="0" w:type="dxa"/>
            <w:left w:w="108" w:type="dxa"/>
            <w:bottom w:w="0" w:type="dxa"/>
            <w:right w:w="108" w:type="dxa"/>
          </w:tblCellMar>
        </w:tblPrEx>
        <w:trPr>
          <w:trHeight w:val="1423" w:hRule="atLeast"/>
        </w:trPr>
        <w:tc>
          <w:tcPr>
            <w:tcW w:w="14420" w:type="dxa"/>
            <w:gridSpan w:val="6"/>
            <w:tcBorders>
              <w:top w:val="nil"/>
              <w:left w:val="nil"/>
              <w:bottom w:val="nil"/>
              <w:right w:val="nil"/>
            </w:tcBorders>
            <w:noWrap w:val="0"/>
            <w:vAlign w:val="center"/>
          </w:tcPr>
          <w:p>
            <w:pPr>
              <w:widowControl/>
              <w:jc w:val="center"/>
              <w:rPr>
                <w:rFonts w:hint="eastAsia" w:ascii="黑体" w:hAnsi="黑体" w:eastAsia="黑体" w:cs="黑体"/>
                <w:kern w:val="0"/>
                <w:sz w:val="36"/>
                <w:szCs w:val="36"/>
              </w:rPr>
            </w:pPr>
            <w:r>
              <w:rPr>
                <w:rFonts w:hint="eastAsia" w:ascii="黑体" w:hAnsi="黑体" w:eastAsia="黑体" w:cs="黑体"/>
                <w:kern w:val="0"/>
                <w:sz w:val="36"/>
                <w:szCs w:val="36"/>
              </w:rPr>
              <w:t>政府性基金预算财政拨款收支决算表</w:t>
            </w:r>
          </w:p>
          <w:p>
            <w:pPr>
              <w:widowControl/>
              <w:jc w:val="center"/>
              <w:rPr>
                <w:rFonts w:ascii="华文中宋" w:hAnsi="华文中宋" w:eastAsia="华文中宋" w:cs="宋体"/>
                <w:kern w:val="0"/>
                <w:sz w:val="32"/>
                <w:szCs w:val="32"/>
              </w:rPr>
            </w:pPr>
          </w:p>
        </w:tc>
      </w:tr>
      <w:tr>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416"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565"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359"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04"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81" w:type="dxa"/>
            <w:tcBorders>
              <w:top w:val="nil"/>
              <w:left w:val="nil"/>
              <w:bottom w:val="nil"/>
              <w:right w:val="nil"/>
            </w:tcBorders>
            <w:noWrap/>
            <w:vAlign w:val="center"/>
          </w:tcPr>
          <w:p>
            <w:pPr>
              <w:widowControl/>
              <w:wordWrap w:val="0"/>
              <w:jc w:val="right"/>
              <w:rPr>
                <w:rFonts w:hint="eastAsia" w:ascii="宋体" w:hAnsi="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08</w:t>
            </w:r>
            <w:r>
              <w:rPr>
                <w:rFonts w:hint="eastAsia" w:eastAsia="仿宋_GB2312"/>
                <w:color w:val="000000"/>
                <w:kern w:val="0"/>
                <w:szCs w:val="21"/>
              </w:rPr>
              <w:t>表</w:t>
            </w:r>
          </w:p>
        </w:tc>
      </w:tr>
      <w:tr>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color w:val="000000"/>
                <w:kern w:val="0"/>
                <w:szCs w:val="21"/>
              </w:rPr>
              <w:t>部门：</w:t>
            </w:r>
          </w:p>
        </w:tc>
        <w:tc>
          <w:tcPr>
            <w:tcW w:w="3981" w:type="dxa"/>
            <w:gridSpan w:val="2"/>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宋体" w:hAnsi="宋体" w:cs="宋体"/>
                <w:kern w:val="0"/>
                <w:sz w:val="20"/>
                <w:szCs w:val="20"/>
              </w:rPr>
              <w:t>蓝山县塔峰镇第三完全小学</w:t>
            </w:r>
          </w:p>
        </w:tc>
        <w:tc>
          <w:tcPr>
            <w:tcW w:w="1359"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904"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5281" w:type="dxa"/>
            <w:tcBorders>
              <w:top w:val="nil"/>
              <w:left w:val="nil"/>
              <w:bottom w:val="nil"/>
              <w:right w:val="nil"/>
            </w:tcBorders>
            <w:noWrap/>
            <w:vAlign w:val="center"/>
          </w:tcPr>
          <w:p>
            <w:pPr>
              <w:widowControl/>
              <w:jc w:val="right"/>
              <w:rPr>
                <w:rFonts w:hint="eastAsia" w:ascii="宋体" w:hAnsi="宋体" w:cs="宋体"/>
                <w:color w:val="000000"/>
                <w:kern w:val="0"/>
                <w:sz w:val="20"/>
                <w:szCs w:val="20"/>
              </w:rPr>
            </w:pPr>
            <w:r>
              <w:rPr>
                <w:rFonts w:hint="eastAsia" w:eastAsia="仿宋_GB2312"/>
                <w:color w:val="000000"/>
                <w:kern w:val="0"/>
                <w:szCs w:val="21"/>
              </w:rPr>
              <w:t>单位：万元</w:t>
            </w:r>
          </w:p>
        </w:tc>
      </w:tr>
    </w:tbl>
    <w:p>
      <w:pPr>
        <w:widowControl/>
        <w:wordWrap w:val="0"/>
        <w:jc w:val="right"/>
        <w:rPr>
          <w:rFonts w:eastAsia="仿宋_GB2312"/>
          <w:color w:val="000000"/>
          <w:kern w:val="0"/>
          <w:szCs w:val="21"/>
        </w:rPr>
      </w:pPr>
      <w:r>
        <w:rPr>
          <w:rFonts w:eastAsia="仿宋_GB2312"/>
          <w:color w:val="000000"/>
          <w:kern w:val="0"/>
          <w:szCs w:val="21"/>
        </w:rPr>
        <w:t xml:space="preserve">                                                                                                                </w:t>
      </w:r>
    </w:p>
    <w:tbl>
      <w:tblPr>
        <w:tblStyle w:val="3"/>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20"/>
        <w:gridCol w:w="1320"/>
        <w:gridCol w:w="2000"/>
        <w:gridCol w:w="2000"/>
        <w:gridCol w:w="2000"/>
        <w:gridCol w:w="2000"/>
        <w:gridCol w:w="2000"/>
        <w:gridCol w:w="200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项</w:t>
            </w:r>
            <w:r>
              <w:rPr>
                <w:rFonts w:eastAsia="仿宋_GB2312"/>
                <w:b/>
                <w:kern w:val="0"/>
                <w:szCs w:val="21"/>
              </w:rPr>
              <w:t xml:space="preserve"> </w:t>
            </w:r>
            <w:r>
              <w:rPr>
                <w:rFonts w:eastAsia="仿宋_GB2312"/>
                <w:b/>
                <w:color w:val="000000"/>
                <w:kern w:val="0"/>
                <w:szCs w:val="21"/>
              </w:rPr>
              <w:t xml:space="preserve">   </w:t>
            </w:r>
            <w:r>
              <w:rPr>
                <w:rFonts w:hint="eastAsia" w:eastAsia="仿宋_GB2312"/>
                <w:b/>
                <w:kern w:val="0"/>
                <w:szCs w:val="21"/>
              </w:rPr>
              <w:t>目</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年初结转和结余</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本年收入</w:t>
            </w:r>
          </w:p>
        </w:tc>
        <w:tc>
          <w:tcPr>
            <w:tcW w:w="6000" w:type="dxa"/>
            <w:gridSpan w:val="3"/>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本年支出</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年末结转和结余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功能分类科目编码</w:t>
            </w:r>
          </w:p>
        </w:tc>
        <w:tc>
          <w:tcPr>
            <w:tcW w:w="132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科目名称</w:t>
            </w: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小计</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基本支出</w:t>
            </w:r>
            <w:r>
              <w:rPr>
                <w:rFonts w:eastAsia="仿宋_GB2312"/>
                <w:b/>
                <w:kern w:val="0"/>
                <w:szCs w:val="21"/>
              </w:rPr>
              <w:t xml:space="preserve">  </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b/>
                <w:kern w:val="0"/>
                <w:szCs w:val="21"/>
              </w:rPr>
            </w:pPr>
            <w:r>
              <w:rPr>
                <w:rFonts w:hint="eastAsia" w:eastAsia="仿宋_GB2312"/>
                <w:b/>
                <w:kern w:val="0"/>
                <w:szCs w:val="21"/>
              </w:rPr>
              <w:t>项目支出</w:t>
            </w: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栏次</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1</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2</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3</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4</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5</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eastAsia="仿宋_GB2312"/>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合计</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　0</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0</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0</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0</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0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right"/>
              <w:rPr>
                <w:rFonts w:eastAsia="仿宋_GB2312"/>
                <w:kern w:val="0"/>
                <w:szCs w:val="21"/>
              </w:rPr>
            </w:pPr>
            <w:r>
              <w:rPr>
                <w:rFonts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jc w:val="left"/>
              <w:textAlignment w:val="center"/>
              <w:rPr>
                <w:rFonts w:hint="eastAsia" w:ascii="宋体" w:hAnsi="宋体" w:cs="宋体"/>
                <w:color w:val="000000"/>
                <w:sz w:val="22"/>
                <w:szCs w:val="22"/>
              </w:rPr>
            </w:pP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right"/>
              <w:rPr>
                <w:rFonts w:eastAsia="仿宋_GB2312"/>
                <w:kern w:val="0"/>
                <w:szCs w:val="21"/>
              </w:rPr>
            </w:pPr>
            <w:r>
              <w:rPr>
                <w:rFonts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jc w:val="left"/>
              <w:textAlignment w:val="center"/>
              <w:rPr>
                <w:rFonts w:hint="eastAsia" w:ascii="宋体" w:hAnsi="宋体" w:cs="宋体"/>
                <w:color w:val="000000"/>
                <w:sz w:val="22"/>
                <w:szCs w:val="22"/>
              </w:rPr>
            </w:pP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right"/>
              <w:rPr>
                <w:rFonts w:eastAsia="仿宋_GB2312"/>
                <w:kern w:val="0"/>
                <w:szCs w:val="21"/>
              </w:rPr>
            </w:pP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rPr>
                <w:rFonts w:hint="eastAsia" w:ascii="宋体" w:hAnsi="宋体" w:cs="宋体"/>
                <w:color w:val="000000"/>
                <w:sz w:val="22"/>
                <w:szCs w:val="22"/>
              </w:rPr>
            </w:pP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pPr>
              <w:widowControl/>
              <w:jc w:val="left"/>
              <w:rPr>
                <w:rFonts w:eastAsia="仿宋_GB2312"/>
                <w:kern w:val="0"/>
                <w:szCs w:val="21"/>
              </w:rPr>
            </w:pPr>
            <w:r>
              <w:rPr>
                <w:rFonts w:hint="eastAsia" w:eastAsia="仿宋_GB2312"/>
                <w:kern w:val="0"/>
                <w:szCs w:val="21"/>
              </w:rPr>
              <w:t>　</w:t>
            </w:r>
          </w:p>
        </w:tc>
      </w:tr>
    </w:tbl>
    <w:p>
      <w:pPr>
        <w:widowControl/>
        <w:jc w:val="left"/>
        <w:rPr>
          <w:rFonts w:eastAsia="仿宋_GB2312"/>
          <w:kern w:val="0"/>
          <w:szCs w:val="21"/>
        </w:rPr>
      </w:pPr>
      <w:r>
        <w:rPr>
          <w:rFonts w:hint="eastAsia" w:eastAsia="仿宋_GB2312"/>
          <w:kern w:val="0"/>
          <w:szCs w:val="21"/>
        </w:rPr>
        <w:t>注：本表反映部门本年度政府性基金预算财政拨款收入、支出及结转和结余情况</w:t>
      </w:r>
    </w:p>
    <w:p>
      <w:pPr>
        <w:widowControl/>
        <w:jc w:val="left"/>
        <w:rPr>
          <w:rFonts w:hint="eastAsia" w:eastAsia="仿宋_GB2312"/>
          <w:kern w:val="0"/>
          <w:szCs w:val="21"/>
        </w:rPr>
      </w:pPr>
      <w:r>
        <w:rPr>
          <w:rFonts w:hint="eastAsia" w:eastAsia="仿宋_GB2312"/>
          <w:kern w:val="0"/>
          <w:szCs w:val="21"/>
        </w:rPr>
        <w:t>说明：蓝山县塔峰镇第三完全小学</w:t>
      </w:r>
      <w:r>
        <w:rPr>
          <w:rFonts w:hint="eastAsia" w:eastAsia="仿宋_GB2312"/>
          <w:kern w:val="0"/>
          <w:szCs w:val="21"/>
          <w:lang w:val="en-US" w:eastAsia="zh-CN"/>
        </w:rPr>
        <w:t>单位</w:t>
      </w:r>
      <w:r>
        <w:rPr>
          <w:rFonts w:hint="eastAsia" w:eastAsia="仿宋_GB2312"/>
          <w:kern w:val="0"/>
          <w:szCs w:val="21"/>
        </w:rPr>
        <w:t>没有政府性基金收入，也没有使用政府性基金安排的支出，故本表无数据。</w:t>
      </w:r>
    </w:p>
    <w:p>
      <w:pPr>
        <w:widowControl/>
        <w:jc w:val="left"/>
        <w:rPr>
          <w:rFonts w:ascii="黑体" w:hAnsi="黑体" w:eastAsia="黑体"/>
          <w:szCs w:val="21"/>
        </w:rPr>
      </w:pPr>
      <w:r>
        <w:rPr>
          <w:rFonts w:hint="eastAsia" w:ascii="黑体" w:hAnsi="黑体" w:eastAsia="黑体"/>
          <w:kern w:val="0"/>
          <w:szCs w:val="21"/>
        </w:rPr>
        <w:br w:type="page"/>
      </w:r>
    </w:p>
    <w:p>
      <w:pPr>
        <w:widowControl/>
        <w:jc w:val="left"/>
        <w:rPr>
          <w:rFonts w:ascii="黑体" w:hAnsi="黑体" w:eastAsia="黑体"/>
          <w:szCs w:val="21"/>
        </w:rPr>
      </w:pPr>
    </w:p>
    <w:tbl>
      <w:tblPr>
        <w:tblStyle w:val="3"/>
        <w:tblW w:w="14442" w:type="dxa"/>
        <w:tblInd w:w="603" w:type="dxa"/>
        <w:tblLayout w:type="fixed"/>
        <w:tblCellMar>
          <w:top w:w="0" w:type="dxa"/>
          <w:left w:w="108" w:type="dxa"/>
          <w:bottom w:w="0" w:type="dxa"/>
          <w:right w:w="108" w:type="dxa"/>
        </w:tblCellMar>
      </w:tblPr>
      <w:tblGrid>
        <w:gridCol w:w="800"/>
        <w:gridCol w:w="372"/>
        <w:gridCol w:w="1078"/>
        <w:gridCol w:w="2109"/>
        <w:gridCol w:w="1215"/>
        <w:gridCol w:w="1668"/>
        <w:gridCol w:w="928"/>
        <w:gridCol w:w="2297"/>
        <w:gridCol w:w="3975"/>
      </w:tblGrid>
      <w:tr>
        <w:tblPrEx>
          <w:tblCellMar>
            <w:top w:w="0" w:type="dxa"/>
            <w:left w:w="108" w:type="dxa"/>
            <w:bottom w:w="0" w:type="dxa"/>
            <w:right w:w="108" w:type="dxa"/>
          </w:tblCellMar>
        </w:tblPrEx>
        <w:trPr>
          <w:trHeight w:val="720" w:hRule="atLeast"/>
        </w:trPr>
        <w:tc>
          <w:tcPr>
            <w:tcW w:w="14442" w:type="dxa"/>
            <w:gridSpan w:val="9"/>
            <w:tcBorders>
              <w:top w:val="nil"/>
              <w:left w:val="nil"/>
              <w:bottom w:val="nil"/>
              <w:right w:val="nil"/>
            </w:tcBorders>
            <w:noWrap w:val="0"/>
            <w:vAlign w:val="center"/>
          </w:tcPr>
          <w:p>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国有资本经营预算财政拨款支出决算表</w:t>
            </w:r>
          </w:p>
        </w:tc>
      </w:tr>
      <w:tr>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72" w:type="dxa"/>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3187" w:type="dxa"/>
            <w:gridSpan w:val="2"/>
            <w:tcBorders>
              <w:top w:val="nil"/>
              <w:left w:val="nil"/>
              <w:bottom w:val="nil"/>
              <w:right w:val="nil"/>
            </w:tcBorders>
            <w:noWrap w:val="0"/>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　</w:t>
            </w:r>
          </w:p>
        </w:tc>
        <w:tc>
          <w:tcPr>
            <w:tcW w:w="1215" w:type="dxa"/>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596"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6272" w:type="dxa"/>
            <w:gridSpan w:val="2"/>
            <w:tcBorders>
              <w:top w:val="nil"/>
              <w:left w:val="nil"/>
              <w:bottom w:val="nil"/>
              <w:right w:val="nil"/>
            </w:tcBorders>
            <w:noWrap/>
            <w:vAlign w:val="center"/>
          </w:tcPr>
          <w:p>
            <w:pPr>
              <w:widowControl/>
              <w:jc w:val="right"/>
              <w:rPr>
                <w:rFonts w:hint="eastAsia" w:eastAsia="仿宋_GB2312"/>
                <w:kern w:val="0"/>
                <w:szCs w:val="21"/>
              </w:rPr>
            </w:pPr>
            <w:r>
              <w:rPr>
                <w:rFonts w:hint="eastAsia" w:eastAsia="仿宋_GB2312"/>
                <w:kern w:val="0"/>
                <w:szCs w:val="21"/>
              </w:rPr>
              <w:t>公开09表</w:t>
            </w:r>
          </w:p>
        </w:tc>
      </w:tr>
      <w:tr>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ign w:val="center"/>
          </w:tcPr>
          <w:p>
            <w:pPr>
              <w:widowControl/>
              <w:jc w:val="left"/>
              <w:rPr>
                <w:rFonts w:hint="eastAsia" w:ascii="宋体" w:hAnsi="宋体" w:cs="宋体"/>
                <w:color w:val="000000"/>
                <w:kern w:val="0"/>
                <w:sz w:val="20"/>
                <w:szCs w:val="20"/>
              </w:rPr>
            </w:pPr>
            <w:r>
              <w:rPr>
                <w:rFonts w:hint="eastAsia" w:eastAsia="仿宋_GB2312"/>
                <w:kern w:val="0"/>
                <w:szCs w:val="21"/>
              </w:rPr>
              <w:t>部门：</w:t>
            </w:r>
          </w:p>
        </w:tc>
        <w:tc>
          <w:tcPr>
            <w:tcW w:w="3559" w:type="dxa"/>
            <w:gridSpan w:val="3"/>
            <w:tcBorders>
              <w:top w:val="nil"/>
              <w:left w:val="nil"/>
              <w:bottom w:val="nil"/>
              <w:right w:val="nil"/>
            </w:tcBorders>
            <w:noWrap w:val="0"/>
            <w:vAlign w:val="center"/>
          </w:tcPr>
          <w:p>
            <w:pPr>
              <w:widowControl/>
              <w:rPr>
                <w:rFonts w:hint="eastAsia" w:ascii="宋体" w:hAnsi="宋体" w:cs="宋体"/>
                <w:kern w:val="0"/>
                <w:sz w:val="20"/>
                <w:szCs w:val="20"/>
              </w:rPr>
            </w:pPr>
            <w:r>
              <w:rPr>
                <w:rFonts w:hint="eastAsia" w:ascii="宋体" w:hAnsi="宋体" w:cs="宋体"/>
                <w:kern w:val="0"/>
                <w:sz w:val="20"/>
                <w:szCs w:val="20"/>
              </w:rPr>
              <w:t>蓝山县塔峰镇第三完全小学</w:t>
            </w:r>
          </w:p>
        </w:tc>
        <w:tc>
          <w:tcPr>
            <w:tcW w:w="1215" w:type="dxa"/>
            <w:tcBorders>
              <w:top w:val="nil"/>
              <w:left w:val="nil"/>
              <w:bottom w:val="single" w:color="auto" w:sz="8" w:space="0"/>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2596" w:type="dxa"/>
            <w:gridSpan w:val="2"/>
            <w:tcBorders>
              <w:top w:val="nil"/>
              <w:left w:val="nil"/>
              <w:bottom w:val="single" w:color="auto" w:sz="8" w:space="0"/>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w:t>
            </w:r>
          </w:p>
        </w:tc>
        <w:tc>
          <w:tcPr>
            <w:tcW w:w="6272" w:type="dxa"/>
            <w:gridSpan w:val="2"/>
            <w:tcBorders>
              <w:top w:val="nil"/>
              <w:left w:val="nil"/>
              <w:bottom w:val="nil"/>
              <w:right w:val="nil"/>
            </w:tcBorders>
            <w:noWrap/>
            <w:vAlign w:val="center"/>
          </w:tcPr>
          <w:p>
            <w:pPr>
              <w:widowControl/>
              <w:jc w:val="right"/>
              <w:rPr>
                <w:rFonts w:hint="eastAsia" w:eastAsia="仿宋_GB2312"/>
                <w:kern w:val="0"/>
                <w:szCs w:val="21"/>
              </w:rPr>
            </w:pPr>
            <w:r>
              <w:rPr>
                <w:rFonts w:hint="eastAsia" w:eastAsia="仿宋_GB2312"/>
                <w:kern w:val="0"/>
                <w:szCs w:val="21"/>
              </w:rPr>
              <w:t>单位：万元</w:t>
            </w:r>
          </w:p>
        </w:tc>
      </w:tr>
      <w:tr>
        <w:tblPrEx>
          <w:tblCellMar>
            <w:top w:w="0" w:type="dxa"/>
            <w:left w:w="108" w:type="dxa"/>
            <w:bottom w:w="0" w:type="dxa"/>
            <w:right w:w="108" w:type="dxa"/>
          </w:tblCellMar>
        </w:tblPrEx>
        <w:trPr>
          <w:trHeight w:val="402" w:hRule="atLeast"/>
        </w:trPr>
        <w:tc>
          <w:tcPr>
            <w:tcW w:w="4359" w:type="dxa"/>
            <w:gridSpan w:val="4"/>
            <w:tcBorders>
              <w:top w:val="single" w:color="auto" w:sz="8" w:space="0"/>
              <w:left w:val="single" w:color="auto" w:sz="8" w:space="0"/>
              <w:bottom w:val="single" w:color="auto"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项    目</w:t>
            </w:r>
          </w:p>
        </w:tc>
        <w:tc>
          <w:tcPr>
            <w:tcW w:w="10083" w:type="dxa"/>
            <w:gridSpan w:val="5"/>
            <w:tcBorders>
              <w:top w:val="single" w:color="auto" w:sz="8" w:space="0"/>
              <w:left w:val="nil"/>
              <w:bottom w:val="single" w:color="auto" w:sz="4" w:space="0"/>
              <w:right w:val="single" w:color="000000"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本年支出</w:t>
            </w:r>
          </w:p>
        </w:tc>
      </w:tr>
      <w:tr>
        <w:tblPrEx>
          <w:tblCellMar>
            <w:top w:w="0" w:type="dxa"/>
            <w:left w:w="108" w:type="dxa"/>
            <w:bottom w:w="0" w:type="dxa"/>
            <w:right w:w="108" w:type="dxa"/>
          </w:tblCellMar>
        </w:tblPrEx>
        <w:trPr>
          <w:trHeight w:val="402" w:hRule="atLeast"/>
        </w:trPr>
        <w:tc>
          <w:tcPr>
            <w:tcW w:w="2250" w:type="dxa"/>
            <w:gridSpan w:val="3"/>
            <w:vMerge w:val="restart"/>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功能分类科目编码</w:t>
            </w:r>
          </w:p>
        </w:tc>
        <w:tc>
          <w:tcPr>
            <w:tcW w:w="2109"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科目名称</w:t>
            </w:r>
          </w:p>
        </w:tc>
        <w:tc>
          <w:tcPr>
            <w:tcW w:w="2883" w:type="dxa"/>
            <w:gridSpan w:val="2"/>
            <w:vMerge w:val="restart"/>
            <w:tcBorders>
              <w:top w:val="nil"/>
              <w:left w:val="single" w:color="auto" w:sz="4" w:space="0"/>
              <w:bottom w:val="single" w:color="000000"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合计</w:t>
            </w:r>
          </w:p>
        </w:tc>
        <w:tc>
          <w:tcPr>
            <w:tcW w:w="3225" w:type="dxa"/>
            <w:gridSpan w:val="2"/>
            <w:vMerge w:val="restart"/>
            <w:tcBorders>
              <w:top w:val="nil"/>
              <w:left w:val="single" w:color="auto" w:sz="4" w:space="0"/>
              <w:bottom w:val="single" w:color="000000"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 xml:space="preserve">基本支出  </w:t>
            </w:r>
          </w:p>
        </w:tc>
        <w:tc>
          <w:tcPr>
            <w:tcW w:w="3975"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hint="eastAsia" w:eastAsia="仿宋_GB2312"/>
                <w:b/>
                <w:bCs/>
                <w:kern w:val="0"/>
                <w:szCs w:val="21"/>
              </w:rPr>
            </w:pPr>
            <w:r>
              <w:rPr>
                <w:rFonts w:hint="eastAsia" w:eastAsia="仿宋_GB2312"/>
                <w:b/>
                <w:bCs/>
                <w:kern w:val="0"/>
                <w:szCs w:val="21"/>
              </w:rPr>
              <w:t>项目支出</w:t>
            </w:r>
          </w:p>
        </w:tc>
      </w:tr>
      <w:tr>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rFonts w:hint="eastAsia" w:ascii="宋体" w:hAnsi="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宋体" w:hAnsi="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r>
      <w:tr>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rFonts w:hint="eastAsia" w:ascii="宋体" w:hAnsi="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宋体" w:hAnsi="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宋体" w:hAnsi="宋体" w:cs="宋体"/>
                <w:kern w:val="0"/>
                <w:sz w:val="20"/>
                <w:szCs w:val="20"/>
              </w:rPr>
            </w:pPr>
          </w:p>
        </w:tc>
      </w:tr>
      <w:tr>
        <w:tblPrEx>
          <w:tblCellMar>
            <w:top w:w="0" w:type="dxa"/>
            <w:left w:w="108" w:type="dxa"/>
            <w:bottom w:w="0" w:type="dxa"/>
            <w:right w:w="108" w:type="dxa"/>
          </w:tblCellMar>
        </w:tblPrEx>
        <w:trPr>
          <w:trHeight w:val="402" w:hRule="atLeast"/>
        </w:trPr>
        <w:tc>
          <w:tcPr>
            <w:tcW w:w="4359" w:type="dxa"/>
            <w:gridSpan w:val="4"/>
            <w:tcBorders>
              <w:top w:val="single" w:color="auto" w:sz="4" w:space="0"/>
              <w:left w:val="single" w:color="auto" w:sz="8" w:space="0"/>
              <w:bottom w:val="single" w:color="auto" w:sz="4" w:space="0"/>
              <w:right w:val="single" w:color="000000" w:sz="4" w:space="0"/>
            </w:tcBorders>
            <w:noWrap w:val="0"/>
            <w:vAlign w:val="center"/>
          </w:tcPr>
          <w:p>
            <w:pPr>
              <w:widowControl/>
              <w:jc w:val="center"/>
              <w:rPr>
                <w:rFonts w:hint="eastAsia" w:eastAsia="仿宋_GB2312"/>
                <w:kern w:val="0"/>
                <w:szCs w:val="21"/>
              </w:rPr>
            </w:pPr>
            <w:r>
              <w:rPr>
                <w:rFonts w:hint="eastAsia" w:eastAsia="仿宋_GB2312"/>
                <w:kern w:val="0"/>
                <w:szCs w:val="21"/>
              </w:rPr>
              <w:t>栏次</w:t>
            </w: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1</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2</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3</w:t>
            </w:r>
          </w:p>
        </w:tc>
      </w:tr>
      <w:tr>
        <w:tblPrEx>
          <w:tblCellMar>
            <w:top w:w="0" w:type="dxa"/>
            <w:left w:w="108" w:type="dxa"/>
            <w:bottom w:w="0" w:type="dxa"/>
            <w:right w:w="108" w:type="dxa"/>
          </w:tblCellMar>
        </w:tblPrEx>
        <w:trPr>
          <w:trHeight w:val="402" w:hRule="atLeast"/>
        </w:trPr>
        <w:tc>
          <w:tcPr>
            <w:tcW w:w="4359" w:type="dxa"/>
            <w:gridSpan w:val="4"/>
            <w:tcBorders>
              <w:top w:val="nil"/>
              <w:left w:val="single" w:color="auto" w:sz="8" w:space="0"/>
              <w:bottom w:val="single" w:color="auto" w:sz="4" w:space="0"/>
              <w:right w:val="single" w:color="000000" w:sz="4" w:space="0"/>
            </w:tcBorders>
            <w:noWrap w:val="0"/>
            <w:vAlign w:val="center"/>
          </w:tcPr>
          <w:p>
            <w:pPr>
              <w:widowControl/>
              <w:jc w:val="center"/>
              <w:rPr>
                <w:rFonts w:hint="eastAsia" w:eastAsia="仿宋_GB2312"/>
                <w:kern w:val="0"/>
                <w:szCs w:val="21"/>
              </w:rPr>
            </w:pPr>
            <w:r>
              <w:rPr>
                <w:rFonts w:hint="eastAsia" w:eastAsia="仿宋_GB2312"/>
                <w:kern w:val="0"/>
                <w:szCs w:val="21"/>
              </w:rPr>
              <w:t>合计</w:t>
            </w: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0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0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0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pPr>
              <w:widowControl/>
              <w:rPr>
                <w:rFonts w:hint="eastAsia" w:eastAsia="仿宋_GB2312"/>
                <w:kern w:val="0"/>
                <w:szCs w:val="21"/>
              </w:rPr>
            </w:pPr>
          </w:p>
        </w:tc>
        <w:tc>
          <w:tcPr>
            <w:tcW w:w="3187" w:type="dxa"/>
            <w:gridSpan w:val="2"/>
            <w:tcBorders>
              <w:top w:val="nil"/>
              <w:left w:val="nil"/>
              <w:bottom w:val="single" w:color="auto" w:sz="4" w:space="0"/>
              <w:right w:val="single" w:color="auto" w:sz="4" w:space="0"/>
            </w:tcBorders>
            <w:noWrap w:val="0"/>
            <w:vAlign w:val="center"/>
          </w:tcPr>
          <w:p>
            <w:pPr>
              <w:widowControl/>
              <w:jc w:val="left"/>
              <w:textAlignment w:val="center"/>
              <w:rPr>
                <w:rFonts w:hint="eastAsia" w:ascii="宋体" w:hAnsi="宋体" w:cs="宋体"/>
                <w:color w:val="000000"/>
                <w:sz w:val="22"/>
                <w:szCs w:val="22"/>
              </w:rPr>
            </w:pP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pPr>
              <w:widowControl/>
              <w:rPr>
                <w:rFonts w:hint="eastAsia" w:eastAsia="仿宋_GB2312"/>
                <w:kern w:val="0"/>
                <w:szCs w:val="21"/>
              </w:rPr>
            </w:pPr>
          </w:p>
        </w:tc>
        <w:tc>
          <w:tcPr>
            <w:tcW w:w="3187" w:type="dxa"/>
            <w:gridSpan w:val="2"/>
            <w:tcBorders>
              <w:top w:val="nil"/>
              <w:left w:val="nil"/>
              <w:bottom w:val="single" w:color="auto" w:sz="4" w:space="0"/>
              <w:right w:val="single" w:color="auto" w:sz="4" w:space="0"/>
            </w:tcBorders>
            <w:noWrap w:val="0"/>
            <w:vAlign w:val="center"/>
          </w:tcPr>
          <w:p>
            <w:pPr>
              <w:widowControl/>
              <w:jc w:val="left"/>
              <w:textAlignment w:val="center"/>
              <w:rPr>
                <w:rFonts w:hint="eastAsia" w:ascii="宋体" w:hAnsi="宋体" w:cs="宋体"/>
                <w:color w:val="000000"/>
                <w:sz w:val="22"/>
                <w:szCs w:val="22"/>
              </w:rPr>
            </w:pP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pPr>
              <w:widowControl/>
              <w:rPr>
                <w:rFonts w:hint="eastAsia" w:eastAsia="仿宋_GB2312"/>
                <w:kern w:val="0"/>
                <w:szCs w:val="21"/>
              </w:rPr>
            </w:pPr>
          </w:p>
        </w:tc>
        <w:tc>
          <w:tcPr>
            <w:tcW w:w="3187" w:type="dxa"/>
            <w:gridSpan w:val="2"/>
            <w:tcBorders>
              <w:top w:val="nil"/>
              <w:left w:val="nil"/>
              <w:bottom w:val="single" w:color="auto" w:sz="4" w:space="0"/>
              <w:right w:val="single" w:color="auto" w:sz="4" w:space="0"/>
            </w:tcBorders>
            <w:noWrap w:val="0"/>
            <w:vAlign w:val="center"/>
          </w:tcPr>
          <w:p>
            <w:pPr>
              <w:widowControl/>
              <w:rPr>
                <w:rFonts w:hint="eastAsia" w:ascii="宋体" w:hAnsi="宋体" w:cs="宋体"/>
                <w:color w:val="000000"/>
                <w:sz w:val="22"/>
                <w:szCs w:val="22"/>
              </w:rPr>
            </w:pP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left"/>
              <w:rPr>
                <w:rFonts w:hint="eastAsia" w:eastAsia="仿宋_GB2312"/>
                <w:kern w:val="0"/>
                <w:szCs w:val="21"/>
              </w:rPr>
            </w:pPr>
            <w:r>
              <w:rPr>
                <w:rFonts w:hint="eastAsia" w:eastAsia="仿宋_GB2312"/>
                <w:kern w:val="0"/>
                <w:szCs w:val="21"/>
              </w:rPr>
              <w:t>　</w:t>
            </w:r>
          </w:p>
        </w:tc>
        <w:tc>
          <w:tcPr>
            <w:tcW w:w="3187" w:type="dxa"/>
            <w:gridSpan w:val="2"/>
            <w:tcBorders>
              <w:top w:val="nil"/>
              <w:left w:val="nil"/>
              <w:bottom w:val="single" w:color="auto" w:sz="4" w:space="0"/>
              <w:right w:val="single" w:color="auto" w:sz="4" w:space="0"/>
            </w:tcBorders>
            <w:noWrap w:val="0"/>
            <w:vAlign w:val="center"/>
          </w:tcPr>
          <w:p>
            <w:pPr>
              <w:widowControl/>
              <w:jc w:val="left"/>
              <w:rPr>
                <w:rFonts w:hint="eastAsia" w:eastAsia="仿宋_GB2312"/>
                <w:kern w:val="0"/>
                <w:szCs w:val="21"/>
              </w:rPr>
            </w:pPr>
            <w:r>
              <w:rPr>
                <w:rFonts w:hint="eastAsia" w:eastAsia="仿宋_GB2312"/>
                <w:kern w:val="0"/>
                <w:szCs w:val="21"/>
              </w:rPr>
              <w:t>　</w:t>
            </w: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187"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2883"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4"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187" w:type="dxa"/>
            <w:gridSpan w:val="2"/>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2883" w:type="dxa"/>
            <w:gridSpan w:val="2"/>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225" w:type="dxa"/>
            <w:gridSpan w:val="2"/>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c>
          <w:tcPr>
            <w:tcW w:w="3975" w:type="dxa"/>
            <w:tcBorders>
              <w:top w:val="nil"/>
              <w:left w:val="nil"/>
              <w:bottom w:val="single" w:color="auto" w:sz="8" w:space="0"/>
              <w:right w:val="single" w:color="auto" w:sz="4" w:space="0"/>
            </w:tcBorders>
            <w:noWrap w:val="0"/>
            <w:vAlign w:val="center"/>
          </w:tcPr>
          <w:p>
            <w:pPr>
              <w:widowControl/>
              <w:jc w:val="center"/>
              <w:rPr>
                <w:rFonts w:hint="eastAsia"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720" w:hRule="atLeast"/>
        </w:trPr>
        <w:tc>
          <w:tcPr>
            <w:tcW w:w="14442" w:type="dxa"/>
            <w:gridSpan w:val="9"/>
            <w:tcBorders>
              <w:top w:val="single" w:color="auto" w:sz="8" w:space="0"/>
              <w:left w:val="nil"/>
              <w:bottom w:val="nil"/>
              <w:right w:val="nil"/>
            </w:tcBorders>
            <w:noWrap w:val="0"/>
            <w:vAlign w:val="center"/>
          </w:tcPr>
          <w:p>
            <w:pPr>
              <w:widowControl/>
              <w:jc w:val="left"/>
              <w:rPr>
                <w:rFonts w:hint="eastAsia" w:eastAsia="仿宋_GB2312"/>
                <w:kern w:val="0"/>
                <w:szCs w:val="21"/>
              </w:rPr>
            </w:pPr>
            <w:r>
              <w:rPr>
                <w:rFonts w:hint="eastAsia" w:eastAsia="仿宋_GB2312"/>
                <w:kern w:val="0"/>
                <w:szCs w:val="21"/>
              </w:rPr>
              <w:t>注：本表反映部门本年度国有资本经营预算财政拨款支出情况。</w:t>
            </w:r>
          </w:p>
          <w:p>
            <w:pPr>
              <w:widowControl/>
              <w:jc w:val="left"/>
              <w:rPr>
                <w:rFonts w:hint="eastAsia" w:eastAsia="仿宋_GB2312"/>
                <w:kern w:val="0"/>
                <w:szCs w:val="21"/>
              </w:rPr>
            </w:pPr>
            <w:r>
              <w:rPr>
                <w:rFonts w:hint="eastAsia" w:eastAsia="仿宋_GB2312"/>
                <w:kern w:val="0"/>
                <w:szCs w:val="21"/>
              </w:rPr>
              <w:t>蓝山县塔峰镇第三完全小学</w:t>
            </w:r>
            <w:r>
              <w:rPr>
                <w:rFonts w:hint="eastAsia" w:eastAsia="仿宋_GB2312"/>
                <w:kern w:val="0"/>
                <w:szCs w:val="21"/>
                <w:lang w:val="en-US" w:eastAsia="zh-CN"/>
              </w:rPr>
              <w:t>单位</w:t>
            </w:r>
            <w:r>
              <w:rPr>
                <w:rFonts w:hint="eastAsia" w:eastAsia="仿宋_GB2312"/>
                <w:kern w:val="0"/>
                <w:szCs w:val="21"/>
              </w:rPr>
              <w:t>没有国有资本经营预算财政拨款支出情况，故本表无数据。</w:t>
            </w:r>
          </w:p>
          <w:p>
            <w:pPr>
              <w:widowControl/>
              <w:jc w:val="left"/>
              <w:rPr>
                <w:rFonts w:hint="eastAsia" w:ascii="宋体" w:hAnsi="宋体" w:eastAsia="仿宋_GB2312" w:cs="宋体"/>
                <w:kern w:val="0"/>
                <w:sz w:val="20"/>
                <w:szCs w:val="20"/>
              </w:rPr>
            </w:pPr>
          </w:p>
        </w:tc>
      </w:tr>
    </w:tbl>
    <w:p>
      <w:pPr>
        <w:widowControl/>
        <w:jc w:val="left"/>
        <w:rPr>
          <w:rFonts w:ascii="黑体" w:eastAsia="黑体" w:cs="黑体"/>
          <w:color w:val="000000"/>
          <w:kern w:val="0"/>
          <w:sz w:val="72"/>
          <w:szCs w:val="72"/>
        </w:rPr>
        <w:sectPr>
          <w:pgSz w:w="16838" w:h="11906" w:orient="landscape"/>
          <w:pgMar w:top="720" w:right="720" w:bottom="720" w:left="720" w:header="851" w:footer="992" w:gutter="0"/>
          <w:cols w:space="720" w:num="1"/>
          <w:docGrid w:type="lines" w:linePitch="312" w:charSpace="0"/>
        </w:sectPr>
      </w:pPr>
    </w:p>
    <w:p>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t>第三部分 2023年度部门决算情况说明</w:t>
      </w:r>
    </w:p>
    <w:p>
      <w:pPr>
        <w:widowControl/>
        <w:jc w:val="left"/>
        <w:rPr>
          <w:rFonts w:hint="eastAsia" w:ascii="黑体" w:eastAsia="黑体" w:cs="黑体"/>
          <w:color w:val="000000"/>
          <w:kern w:val="0"/>
          <w:sz w:val="70"/>
          <w:szCs w:val="70"/>
        </w:rPr>
      </w:pPr>
    </w:p>
    <w:p>
      <w:pPr>
        <w:pStyle w:val="5"/>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一、收入支出决算总体情况说明</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b w:val="0"/>
          <w:bCs/>
          <w:color w:val="auto"/>
          <w:sz w:val="32"/>
          <w:szCs w:val="32"/>
          <w:u w:val="none"/>
        </w:rPr>
        <w:t>2023</w:t>
      </w:r>
      <w:r>
        <w:rPr>
          <w:rFonts w:hint="eastAsia" w:ascii="Times New Roman" w:hAnsi="Times New Roman" w:eastAsia="仿宋_GB2312" w:cs="Times New Roman"/>
          <w:bCs/>
          <w:color w:val="auto"/>
          <w:sz w:val="32"/>
          <w:szCs w:val="32"/>
          <w:u w:val="none"/>
        </w:rPr>
        <w:t>年度</w:t>
      </w:r>
      <w:r>
        <w:rPr>
          <w:rFonts w:ascii="Times New Roman" w:hAnsi="Times New Roman" w:eastAsia="仿宋_GB2312" w:cs="Times New Roman"/>
          <w:color w:val="auto"/>
          <w:sz w:val="32"/>
          <w:szCs w:val="32"/>
          <w:u w:val="none"/>
        </w:rPr>
        <w:t>收、支总计</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万元。与202</w:t>
      </w:r>
      <w:r>
        <w:rPr>
          <w:rFonts w:hint="eastAsia" w:ascii="Times New Roman" w:hAnsi="Times New Roman" w:eastAsia="仿宋_GB2312" w:cs="Times New Roman"/>
          <w:color w:val="auto"/>
          <w:sz w:val="32"/>
          <w:szCs w:val="32"/>
          <w:u w:val="none"/>
        </w:rPr>
        <w:t>2</w:t>
      </w:r>
      <w:r>
        <w:rPr>
          <w:rFonts w:ascii="Times New Roman" w:hAnsi="Times New Roman" w:eastAsia="仿宋_GB2312" w:cs="Times New Roman"/>
          <w:color w:val="auto"/>
          <w:sz w:val="32"/>
          <w:szCs w:val="32"/>
          <w:u w:val="none"/>
        </w:rPr>
        <w:t>年相比，减少</w:t>
      </w:r>
      <w:r>
        <w:rPr>
          <w:rFonts w:hint="eastAsia" w:ascii="Times New Roman" w:hAnsi="Times New Roman" w:eastAsia="仿宋_GB2312" w:cs="Times New Roman"/>
          <w:color w:val="auto"/>
          <w:sz w:val="32"/>
          <w:szCs w:val="32"/>
          <w:u w:val="none"/>
        </w:rPr>
        <w:t>96.14</w:t>
      </w:r>
      <w:r>
        <w:rPr>
          <w:rFonts w:ascii="Times New Roman" w:hAnsi="Times New Roman" w:eastAsia="仿宋_GB2312" w:cs="Times New Roman"/>
          <w:color w:val="auto"/>
          <w:sz w:val="32"/>
          <w:szCs w:val="32"/>
          <w:u w:val="none"/>
        </w:rPr>
        <w:t>万元，减少</w:t>
      </w:r>
      <w:r>
        <w:rPr>
          <w:rFonts w:hint="eastAsia" w:ascii="Times New Roman" w:hAnsi="Times New Roman" w:eastAsia="仿宋_GB2312" w:cs="Times New Roman"/>
          <w:color w:val="auto"/>
          <w:sz w:val="32"/>
          <w:szCs w:val="32"/>
          <w:u w:val="none"/>
        </w:rPr>
        <w:t>7.71</w:t>
      </w:r>
      <w:r>
        <w:rPr>
          <w:rFonts w:ascii="Times New Roman" w:hAnsi="Times New Roman" w:eastAsia="仿宋_GB2312" w:cs="Times New Roman"/>
          <w:color w:val="auto"/>
          <w:sz w:val="32"/>
          <w:szCs w:val="32"/>
          <w:u w:val="none"/>
        </w:rPr>
        <w:t>%，主要是因为</w:t>
      </w:r>
      <w:r>
        <w:rPr>
          <w:rFonts w:hint="eastAsia" w:ascii="Times New Roman" w:hAnsi="Times New Roman" w:eastAsia="仿宋_GB2312" w:cs="Times New Roman"/>
          <w:color w:val="auto"/>
          <w:sz w:val="32"/>
          <w:szCs w:val="32"/>
          <w:u w:val="none"/>
        </w:rPr>
        <w:t>本校本期招生人数减少，使得各项收支减少。</w:t>
      </w:r>
    </w:p>
    <w:p>
      <w:pPr>
        <w:pStyle w:val="5"/>
        <w:spacing w:line="600" w:lineRule="exact"/>
        <w:ind w:firstLine="640" w:firstLineChars="200"/>
        <w:outlineLvl w:val="1"/>
        <w:rPr>
          <w:rFonts w:hAnsi="黑体" w:cs="Times New Roman"/>
          <w:color w:val="auto"/>
          <w:sz w:val="32"/>
          <w:szCs w:val="32"/>
          <w:u w:val="none"/>
        </w:rPr>
      </w:pPr>
      <w:r>
        <w:rPr>
          <w:rFonts w:hAnsi="黑体" w:cs="Times New Roman"/>
          <w:color w:val="auto"/>
          <w:sz w:val="32"/>
          <w:szCs w:val="32"/>
          <w:u w:val="none"/>
        </w:rPr>
        <w:t>二、收入决算情况说明</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u w:val="none"/>
        </w:rPr>
        <w:t>本年收入合计</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万元，其中：财政拨款收入</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rPr>
        <w:t>100</w:t>
      </w:r>
      <w:r>
        <w:rPr>
          <w:rFonts w:ascii="Times New Roman" w:hAnsi="Times New Roman" w:eastAsia="仿宋_GB2312" w:cs="Times New Roman"/>
          <w:color w:val="auto"/>
          <w:sz w:val="32"/>
          <w:szCs w:val="32"/>
          <w:u w:val="none"/>
        </w:rPr>
        <w:t>%；上级补助收入</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%；事业收入</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u w:val="none"/>
        </w:rPr>
        <w:t>%；经营收入</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%；附属单位上缴收入</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%；其他收入</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w:t>
      </w:r>
    </w:p>
    <w:p>
      <w:pPr>
        <w:pStyle w:val="5"/>
        <w:spacing w:line="600" w:lineRule="exact"/>
        <w:ind w:firstLine="640" w:firstLineChars="200"/>
        <w:outlineLvl w:val="1"/>
        <w:rPr>
          <w:rFonts w:hAnsi="黑体" w:cs="Times New Roman"/>
          <w:color w:val="auto"/>
          <w:sz w:val="32"/>
          <w:szCs w:val="32"/>
          <w:u w:val="none"/>
        </w:rPr>
      </w:pPr>
      <w:r>
        <w:rPr>
          <w:rFonts w:hAnsi="黑体" w:cs="Times New Roman"/>
          <w:color w:val="auto"/>
          <w:sz w:val="32"/>
          <w:szCs w:val="32"/>
          <w:u w:val="none"/>
        </w:rPr>
        <w:t>三、支出决算情况说明</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u w:val="none"/>
        </w:rPr>
        <w:t>本年支出合计</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万元，其中：基本支出</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rPr>
        <w:t>100</w:t>
      </w:r>
      <w:r>
        <w:rPr>
          <w:rFonts w:ascii="Times New Roman" w:hAnsi="Times New Roman" w:eastAsia="仿宋_GB2312" w:cs="Times New Roman"/>
          <w:color w:val="auto"/>
          <w:sz w:val="32"/>
          <w:szCs w:val="32"/>
          <w:u w:val="none"/>
        </w:rPr>
        <w:t>%；项目支出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%；上缴上级支出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%；经营支出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%；对附属单位补助支出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w:t>
      </w:r>
    </w:p>
    <w:p>
      <w:pPr>
        <w:pStyle w:val="5"/>
        <w:spacing w:line="600" w:lineRule="exact"/>
        <w:ind w:firstLine="640" w:firstLineChars="200"/>
        <w:outlineLvl w:val="1"/>
        <w:rPr>
          <w:rFonts w:hAnsi="黑体" w:cs="Times New Roman"/>
          <w:color w:val="auto"/>
          <w:sz w:val="32"/>
          <w:szCs w:val="32"/>
          <w:u w:val="none"/>
        </w:rPr>
      </w:pPr>
      <w:r>
        <w:rPr>
          <w:rFonts w:hAnsi="黑体" w:cs="Times New Roman"/>
          <w:color w:val="auto"/>
          <w:sz w:val="32"/>
          <w:szCs w:val="32"/>
          <w:u w:val="none"/>
        </w:rPr>
        <w:t>四、财政拨款收入支出决算总体情况说明</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2023</w:t>
      </w:r>
      <w:r>
        <w:rPr>
          <w:rFonts w:ascii="Times New Roman" w:hAnsi="Times New Roman" w:eastAsia="仿宋_GB2312" w:cs="Times New Roman"/>
          <w:color w:val="auto"/>
          <w:sz w:val="32"/>
          <w:szCs w:val="32"/>
          <w:u w:val="none"/>
        </w:rPr>
        <w:t>年度财政拨款收、支总计</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万元，与202</w:t>
      </w:r>
      <w:r>
        <w:rPr>
          <w:rFonts w:hint="eastAsia" w:ascii="Times New Roman" w:hAnsi="Times New Roman" w:eastAsia="仿宋_GB2312" w:cs="Times New Roman"/>
          <w:color w:val="auto"/>
          <w:sz w:val="32"/>
          <w:szCs w:val="32"/>
          <w:u w:val="none"/>
        </w:rPr>
        <w:t>2</w:t>
      </w:r>
      <w:r>
        <w:rPr>
          <w:rFonts w:ascii="Times New Roman" w:hAnsi="Times New Roman" w:eastAsia="仿宋_GB2312" w:cs="Times New Roman"/>
          <w:color w:val="auto"/>
          <w:sz w:val="32"/>
          <w:szCs w:val="32"/>
          <w:u w:val="none"/>
        </w:rPr>
        <w:t>年相比，减少</w:t>
      </w:r>
      <w:r>
        <w:rPr>
          <w:rFonts w:hint="eastAsia" w:ascii="Times New Roman" w:hAnsi="Times New Roman" w:eastAsia="仿宋_GB2312" w:cs="Times New Roman"/>
          <w:color w:val="auto"/>
          <w:sz w:val="32"/>
          <w:szCs w:val="32"/>
          <w:u w:val="none"/>
        </w:rPr>
        <w:t>96.14</w:t>
      </w:r>
      <w:r>
        <w:rPr>
          <w:rFonts w:ascii="Times New Roman" w:hAnsi="Times New Roman" w:eastAsia="仿宋_GB2312" w:cs="Times New Roman"/>
          <w:color w:val="auto"/>
          <w:sz w:val="32"/>
          <w:szCs w:val="32"/>
          <w:u w:val="none"/>
        </w:rPr>
        <w:t>万元,减少</w:t>
      </w:r>
      <w:r>
        <w:rPr>
          <w:rFonts w:hint="eastAsia" w:ascii="Times New Roman" w:hAnsi="Times New Roman" w:eastAsia="仿宋_GB2312" w:cs="Times New Roman"/>
          <w:color w:val="auto"/>
          <w:sz w:val="32"/>
          <w:szCs w:val="32"/>
          <w:u w:val="none"/>
        </w:rPr>
        <w:t>7.71</w:t>
      </w:r>
      <w:r>
        <w:rPr>
          <w:rFonts w:ascii="Times New Roman" w:hAnsi="Times New Roman" w:eastAsia="仿宋_GB2312" w:cs="Times New Roman"/>
          <w:color w:val="auto"/>
          <w:sz w:val="32"/>
          <w:szCs w:val="32"/>
          <w:u w:val="none"/>
        </w:rPr>
        <w:t>%，主要是因为</w:t>
      </w:r>
      <w:r>
        <w:rPr>
          <w:rFonts w:hint="eastAsia" w:ascii="Times New Roman" w:hAnsi="Times New Roman" w:eastAsia="仿宋_GB2312" w:cs="Times New Roman"/>
          <w:color w:val="auto"/>
          <w:sz w:val="32"/>
          <w:szCs w:val="32"/>
          <w:u w:val="none"/>
        </w:rPr>
        <w:t>本校本期招生人数减少，使得各项收支减少。</w:t>
      </w:r>
    </w:p>
    <w:p>
      <w:pPr>
        <w:pStyle w:val="5"/>
        <w:spacing w:line="600" w:lineRule="exact"/>
        <w:ind w:firstLine="640" w:firstLineChars="200"/>
        <w:rPr>
          <w:rFonts w:hAnsi="黑体" w:cs="Times New Roman"/>
          <w:color w:val="auto"/>
          <w:sz w:val="32"/>
          <w:szCs w:val="32"/>
          <w:u w:val="none"/>
        </w:rPr>
      </w:pPr>
      <w:r>
        <w:rPr>
          <w:rFonts w:hAnsi="黑体" w:cs="Times New Roman"/>
          <w:color w:val="auto"/>
          <w:sz w:val="32"/>
          <w:szCs w:val="32"/>
          <w:u w:val="none"/>
        </w:rPr>
        <w:t>五、一般公共预算财政拨款支出决算情况说明</w:t>
      </w:r>
    </w:p>
    <w:p>
      <w:pPr>
        <w:pStyle w:val="5"/>
        <w:spacing w:line="600" w:lineRule="exact"/>
        <w:ind w:firstLine="643" w:firstLineChars="200"/>
        <w:outlineLvl w:val="2"/>
        <w:rPr>
          <w:rFonts w:hint="eastAsia" w:ascii="楷体_GB2312" w:hAnsi="Times New Roman" w:eastAsia="楷体_GB2312" w:cs="Times New Roman"/>
          <w:b/>
          <w:color w:val="auto"/>
          <w:sz w:val="32"/>
          <w:szCs w:val="32"/>
          <w:u w:val="none"/>
        </w:rPr>
      </w:pPr>
      <w:r>
        <w:rPr>
          <w:rFonts w:hint="eastAsia" w:ascii="楷体_GB2312" w:hAnsi="Times New Roman" w:eastAsia="楷体_GB2312" w:cs="Times New Roman"/>
          <w:b/>
          <w:color w:val="auto"/>
          <w:sz w:val="32"/>
          <w:szCs w:val="32"/>
          <w:u w:val="none"/>
        </w:rPr>
        <w:t>（一）财政拨款支出决算总体情况</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2023</w:t>
      </w:r>
      <w:r>
        <w:rPr>
          <w:rFonts w:ascii="Times New Roman" w:hAnsi="Times New Roman" w:eastAsia="仿宋_GB2312" w:cs="Times New Roman"/>
          <w:color w:val="auto"/>
          <w:sz w:val="32"/>
          <w:szCs w:val="32"/>
          <w:u w:val="none"/>
        </w:rPr>
        <w:t>年度财政拨款支出</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万元，占本年支出合计的</w:t>
      </w:r>
      <w:r>
        <w:rPr>
          <w:rFonts w:hint="eastAsia" w:ascii="Times New Roman" w:hAnsi="Times New Roman" w:eastAsia="仿宋_GB2312" w:cs="Times New Roman"/>
          <w:color w:val="auto"/>
          <w:sz w:val="32"/>
          <w:szCs w:val="32"/>
          <w:u w:val="none"/>
        </w:rPr>
        <w:t>100</w:t>
      </w:r>
      <w:r>
        <w:rPr>
          <w:rFonts w:ascii="Times New Roman" w:hAnsi="Times New Roman" w:eastAsia="仿宋_GB2312" w:cs="Times New Roman"/>
          <w:color w:val="auto"/>
          <w:sz w:val="32"/>
          <w:szCs w:val="32"/>
          <w:u w:val="none"/>
        </w:rPr>
        <w:t>%，与202</w:t>
      </w:r>
      <w:r>
        <w:rPr>
          <w:rFonts w:hint="eastAsia" w:ascii="Times New Roman" w:hAnsi="Times New Roman" w:eastAsia="仿宋_GB2312" w:cs="Times New Roman"/>
          <w:color w:val="auto"/>
          <w:sz w:val="32"/>
          <w:szCs w:val="32"/>
          <w:u w:val="none"/>
        </w:rPr>
        <w:t>3</w:t>
      </w:r>
      <w:r>
        <w:rPr>
          <w:rFonts w:ascii="Times New Roman" w:hAnsi="Times New Roman" w:eastAsia="仿宋_GB2312" w:cs="Times New Roman"/>
          <w:color w:val="auto"/>
          <w:sz w:val="32"/>
          <w:szCs w:val="32"/>
          <w:u w:val="none"/>
        </w:rPr>
        <w:t>年相比，财政拨款支出减少</w:t>
      </w:r>
      <w:r>
        <w:rPr>
          <w:rFonts w:hint="eastAsia" w:ascii="Times New Roman" w:hAnsi="Times New Roman" w:eastAsia="仿宋_GB2312" w:cs="Times New Roman"/>
          <w:color w:val="auto"/>
          <w:sz w:val="32"/>
          <w:szCs w:val="32"/>
          <w:u w:val="none"/>
        </w:rPr>
        <w:t>96.14</w:t>
      </w:r>
      <w:r>
        <w:rPr>
          <w:rFonts w:ascii="Times New Roman" w:hAnsi="Times New Roman" w:eastAsia="仿宋_GB2312" w:cs="Times New Roman"/>
          <w:color w:val="auto"/>
          <w:sz w:val="32"/>
          <w:szCs w:val="32"/>
          <w:u w:val="none"/>
        </w:rPr>
        <w:t>万元，减少</w:t>
      </w:r>
      <w:r>
        <w:rPr>
          <w:rFonts w:hint="eastAsia" w:ascii="Times New Roman" w:hAnsi="Times New Roman" w:eastAsia="仿宋_GB2312" w:cs="Times New Roman"/>
          <w:color w:val="auto"/>
          <w:sz w:val="32"/>
          <w:szCs w:val="32"/>
          <w:u w:val="none"/>
        </w:rPr>
        <w:t>7.71</w:t>
      </w:r>
      <w:r>
        <w:rPr>
          <w:rFonts w:ascii="Times New Roman" w:hAnsi="Times New Roman" w:eastAsia="仿宋_GB2312" w:cs="Times New Roman"/>
          <w:color w:val="auto"/>
          <w:sz w:val="32"/>
          <w:szCs w:val="32"/>
          <w:u w:val="none"/>
        </w:rPr>
        <w:t>%，主要是因为</w:t>
      </w:r>
      <w:r>
        <w:rPr>
          <w:rFonts w:hint="eastAsia" w:ascii="Times New Roman" w:hAnsi="Times New Roman" w:eastAsia="仿宋_GB2312" w:cs="Times New Roman"/>
          <w:color w:val="auto"/>
          <w:sz w:val="32"/>
          <w:szCs w:val="32"/>
          <w:u w:val="none"/>
        </w:rPr>
        <w:t>本校本期招生人数减少，使得各项收支减少。</w:t>
      </w:r>
    </w:p>
    <w:p>
      <w:pPr>
        <w:pStyle w:val="5"/>
        <w:spacing w:line="600" w:lineRule="exact"/>
        <w:ind w:firstLine="643" w:firstLineChars="200"/>
        <w:outlineLvl w:val="2"/>
        <w:rPr>
          <w:rFonts w:hint="eastAsia" w:ascii="楷体_GB2312" w:hAnsi="Times New Roman" w:eastAsia="楷体_GB2312" w:cs="Times New Roman"/>
          <w:b/>
          <w:color w:val="auto"/>
          <w:sz w:val="32"/>
          <w:szCs w:val="32"/>
          <w:u w:val="none"/>
        </w:rPr>
      </w:pPr>
      <w:r>
        <w:rPr>
          <w:rFonts w:hint="eastAsia" w:ascii="楷体_GB2312" w:hAnsi="Times New Roman" w:eastAsia="楷体_GB2312" w:cs="Times New Roman"/>
          <w:b/>
          <w:color w:val="auto"/>
          <w:sz w:val="32"/>
          <w:szCs w:val="32"/>
          <w:u w:val="none"/>
        </w:rPr>
        <w:t>（二）财政拨款支出决算结构情况</w:t>
      </w:r>
    </w:p>
    <w:p>
      <w:pPr>
        <w:pStyle w:val="5"/>
        <w:spacing w:line="600" w:lineRule="exact"/>
        <w:ind w:firstLine="640" w:firstLineChars="200"/>
        <w:rPr>
          <w:rFonts w:hint="eastAsia"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2023</w:t>
      </w:r>
      <w:r>
        <w:rPr>
          <w:rFonts w:ascii="Times New Roman" w:hAnsi="Times New Roman" w:eastAsia="仿宋_GB2312" w:cs="Times New Roman"/>
          <w:color w:val="auto"/>
          <w:sz w:val="32"/>
          <w:szCs w:val="32"/>
          <w:u w:val="none"/>
        </w:rPr>
        <w:t>年度财政拨款支出</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万元，主要用于以下方面：教育（类）支出</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rPr>
        <w:t>100</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rPr>
        <w:t>。</w:t>
      </w:r>
    </w:p>
    <w:p>
      <w:pPr>
        <w:pStyle w:val="5"/>
        <w:spacing w:line="600" w:lineRule="exact"/>
        <w:ind w:firstLine="643" w:firstLineChars="200"/>
        <w:outlineLvl w:val="2"/>
        <w:rPr>
          <w:rFonts w:hint="eastAsia" w:ascii="楷体_GB2312" w:hAnsi="Times New Roman" w:eastAsia="楷体_GB2312" w:cs="Times New Roman"/>
          <w:b/>
          <w:color w:val="auto"/>
          <w:sz w:val="32"/>
          <w:szCs w:val="32"/>
          <w:u w:val="none"/>
        </w:rPr>
      </w:pPr>
      <w:r>
        <w:rPr>
          <w:rFonts w:hint="eastAsia" w:ascii="楷体_GB2312" w:hAnsi="Times New Roman" w:eastAsia="楷体_GB2312" w:cs="Times New Roman"/>
          <w:b/>
          <w:color w:val="auto"/>
          <w:sz w:val="32"/>
          <w:szCs w:val="32"/>
          <w:u w:val="none"/>
        </w:rPr>
        <w:t>（三）财政拨款支出决算具体情况</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2023</w:t>
      </w:r>
      <w:r>
        <w:rPr>
          <w:rFonts w:ascii="Times New Roman" w:hAnsi="Times New Roman" w:eastAsia="仿宋_GB2312" w:cs="Times New Roman"/>
          <w:color w:val="auto"/>
          <w:sz w:val="32"/>
          <w:szCs w:val="32"/>
          <w:u w:val="none"/>
        </w:rPr>
        <w:t>年度财政拨款支出年初预算数为</w:t>
      </w:r>
      <w:r>
        <w:rPr>
          <w:rFonts w:hint="eastAsia" w:ascii="Times New Roman" w:hAnsi="Times New Roman" w:eastAsia="仿宋_GB2312" w:cs="Times New Roman"/>
          <w:color w:val="auto"/>
          <w:sz w:val="32"/>
          <w:szCs w:val="32"/>
          <w:u w:val="none"/>
        </w:rPr>
        <w:t>956.09</w:t>
      </w:r>
      <w:r>
        <w:rPr>
          <w:rFonts w:ascii="Times New Roman" w:hAnsi="Times New Roman" w:eastAsia="仿宋_GB2312" w:cs="Times New Roman"/>
          <w:color w:val="auto"/>
          <w:sz w:val="32"/>
          <w:szCs w:val="32"/>
          <w:u w:val="none"/>
        </w:rPr>
        <w:t>万元，支出决算数为</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万元，完成年初预算的</w:t>
      </w:r>
      <w:r>
        <w:rPr>
          <w:rFonts w:hint="eastAsia" w:ascii="Times New Roman" w:hAnsi="Times New Roman" w:eastAsia="仿宋_GB2312" w:cs="Times New Roman"/>
          <w:color w:val="auto"/>
          <w:sz w:val="32"/>
          <w:szCs w:val="32"/>
          <w:u w:val="none"/>
        </w:rPr>
        <w:t>120.32</w:t>
      </w:r>
      <w:r>
        <w:rPr>
          <w:rFonts w:ascii="Times New Roman" w:hAnsi="Times New Roman" w:eastAsia="仿宋_GB2312" w:cs="Times New Roman"/>
          <w:color w:val="auto"/>
          <w:sz w:val="32"/>
          <w:szCs w:val="32"/>
          <w:u w:val="none"/>
        </w:rPr>
        <w:t>%，其中：</w:t>
      </w:r>
    </w:p>
    <w:p>
      <w:pPr>
        <w:pStyle w:val="5"/>
        <w:numPr>
          <w:ilvl w:val="0"/>
          <w:numId w:val="0"/>
        </w:numPr>
        <w:spacing w:line="600" w:lineRule="exact"/>
        <w:ind w:left="0"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教育（类）普通教育（款）小学教育（项）</w:t>
      </w:r>
      <w:r>
        <w:rPr>
          <w:rFonts w:hint="eastAsia" w:ascii="仿宋_GB2312" w:hAnsi="仿宋_GB2312" w:eastAsia="仿宋_GB2312" w:cs="仿宋_GB2312"/>
          <w:sz w:val="32"/>
          <w:szCs w:val="32"/>
          <w:u w:val="none"/>
        </w:rPr>
        <w:t>。</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hint="eastAsia" w:ascii="仿宋_GB2312" w:hAnsi="仿宋_GB2312" w:eastAsia="仿宋_GB2312" w:cs="仿宋_GB2312"/>
          <w:sz w:val="32"/>
          <w:szCs w:val="32"/>
          <w:u w:val="none"/>
        </w:rPr>
        <w:t>年初预算为</w:t>
      </w:r>
      <w:r>
        <w:rPr>
          <w:rFonts w:hint="eastAsia" w:ascii="Times New Roman" w:hAnsi="Times New Roman" w:eastAsia="仿宋_GB2312" w:cs="Times New Roman"/>
          <w:color w:val="auto"/>
          <w:sz w:val="32"/>
          <w:szCs w:val="32"/>
          <w:u w:val="none"/>
        </w:rPr>
        <w:t>956.09</w:t>
      </w:r>
      <w:r>
        <w:rPr>
          <w:rFonts w:ascii="Times New Roman" w:hAnsi="Times New Roman" w:eastAsia="仿宋_GB2312" w:cs="Times New Roman"/>
          <w:color w:val="auto"/>
          <w:sz w:val="32"/>
          <w:szCs w:val="32"/>
          <w:u w:val="none"/>
        </w:rPr>
        <w:t>万元，支出决算数为</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万元，完成年初预算的</w:t>
      </w:r>
      <w:r>
        <w:rPr>
          <w:rFonts w:hint="eastAsia" w:ascii="Times New Roman" w:hAnsi="Times New Roman" w:eastAsia="仿宋_GB2312" w:cs="Times New Roman"/>
          <w:color w:val="auto"/>
          <w:sz w:val="32"/>
          <w:szCs w:val="32"/>
          <w:u w:val="none"/>
        </w:rPr>
        <w:t>120.32</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rPr>
        <w:t>，</w:t>
      </w:r>
      <w:r>
        <w:rPr>
          <w:rFonts w:ascii="Times New Roman" w:hAnsi="Times New Roman" w:eastAsia="仿宋_GB2312" w:cs="Times New Roman"/>
          <w:color w:val="auto"/>
          <w:sz w:val="32"/>
          <w:szCs w:val="32"/>
          <w:u w:val="none"/>
        </w:rPr>
        <w:t>决算数大于年初预算数的主要原因是：</w:t>
      </w:r>
      <w:r>
        <w:rPr>
          <w:rFonts w:hint="eastAsia" w:ascii="Times New Roman" w:hAnsi="Times New Roman" w:eastAsia="仿宋_GB2312" w:cs="Times New Roman"/>
          <w:color w:val="auto"/>
          <w:sz w:val="32"/>
          <w:szCs w:val="32"/>
          <w:u w:val="none"/>
        </w:rPr>
        <w:t>2023年下期实际新入学学生数比年初预算数要大，师生实际人数变大使得</w:t>
      </w:r>
      <w:r>
        <w:rPr>
          <w:rFonts w:ascii="Times New Roman" w:hAnsi="Times New Roman" w:eastAsia="仿宋_GB2312" w:cs="Times New Roman"/>
          <w:color w:val="auto"/>
          <w:sz w:val="32"/>
          <w:szCs w:val="32"/>
          <w:u w:val="none"/>
        </w:rPr>
        <w:t>财政拨款支出决算数大于年初预算数</w:t>
      </w:r>
      <w:r>
        <w:rPr>
          <w:rFonts w:hint="eastAsia" w:ascii="Times New Roman" w:hAnsi="Times New Roman" w:eastAsia="仿宋_GB2312" w:cs="Times New Roman"/>
          <w:color w:val="auto"/>
          <w:sz w:val="32"/>
          <w:szCs w:val="32"/>
          <w:u w:val="none"/>
        </w:rPr>
        <w:t>。</w:t>
      </w:r>
    </w:p>
    <w:p>
      <w:pPr>
        <w:pStyle w:val="5"/>
        <w:spacing w:line="600" w:lineRule="exact"/>
        <w:ind w:firstLine="640" w:firstLineChars="200"/>
        <w:outlineLvl w:val="1"/>
        <w:rPr>
          <w:rFonts w:hAnsi="黑体" w:cs="Times New Roman"/>
          <w:color w:val="auto"/>
          <w:sz w:val="32"/>
          <w:szCs w:val="32"/>
          <w:u w:val="none"/>
        </w:rPr>
      </w:pPr>
      <w:r>
        <w:rPr>
          <w:rFonts w:hAnsi="黑体" w:cs="Times New Roman"/>
          <w:color w:val="auto"/>
          <w:sz w:val="32"/>
          <w:szCs w:val="32"/>
          <w:u w:val="none"/>
        </w:rPr>
        <w:t>六、一般公共预算财政拨款基本支出决算情况说明</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2023</w:t>
      </w:r>
      <w:r>
        <w:rPr>
          <w:rFonts w:ascii="Times New Roman" w:hAnsi="Times New Roman" w:eastAsia="仿宋_GB2312" w:cs="Times New Roman"/>
          <w:color w:val="auto"/>
          <w:sz w:val="32"/>
          <w:szCs w:val="32"/>
          <w:u w:val="none"/>
        </w:rPr>
        <w:t>年度财政拨款基本支出</w:t>
      </w:r>
      <w:r>
        <w:rPr>
          <w:rFonts w:hint="eastAsia" w:ascii="Times New Roman" w:hAnsi="Times New Roman" w:eastAsia="仿宋_GB2312" w:cs="Times New Roman"/>
          <w:color w:val="auto"/>
          <w:sz w:val="32"/>
          <w:szCs w:val="32"/>
          <w:u w:val="none"/>
        </w:rPr>
        <w:t>1150.33</w:t>
      </w:r>
      <w:r>
        <w:rPr>
          <w:rFonts w:ascii="Times New Roman" w:hAnsi="Times New Roman" w:eastAsia="仿宋_GB2312" w:cs="Times New Roman"/>
          <w:color w:val="auto"/>
          <w:sz w:val="32"/>
          <w:szCs w:val="32"/>
          <w:u w:val="none"/>
        </w:rPr>
        <w:t>万元，其中：人员经费</w:t>
      </w:r>
      <w:r>
        <w:rPr>
          <w:rFonts w:hint="eastAsia" w:ascii="Times New Roman" w:hAnsi="Times New Roman" w:eastAsia="仿宋_GB2312" w:cs="Times New Roman"/>
          <w:color w:val="auto"/>
          <w:sz w:val="32"/>
          <w:szCs w:val="32"/>
          <w:u w:val="none"/>
        </w:rPr>
        <w:t>987.23</w:t>
      </w:r>
      <w:r>
        <w:rPr>
          <w:rFonts w:ascii="Times New Roman" w:hAnsi="Times New Roman" w:eastAsia="仿宋_GB2312" w:cs="Times New Roman"/>
          <w:color w:val="auto"/>
          <w:sz w:val="32"/>
          <w:szCs w:val="32"/>
          <w:u w:val="none"/>
        </w:rPr>
        <w:t>万元，占基本支出的</w:t>
      </w:r>
      <w:r>
        <w:rPr>
          <w:rFonts w:hint="eastAsia" w:ascii="Times New Roman" w:hAnsi="Times New Roman" w:eastAsia="仿宋_GB2312" w:cs="Times New Roman"/>
          <w:color w:val="auto"/>
          <w:sz w:val="32"/>
          <w:szCs w:val="32"/>
          <w:u w:val="none"/>
        </w:rPr>
        <w:t>85.82</w:t>
      </w:r>
      <w:r>
        <w:rPr>
          <w:rFonts w:ascii="Times New Roman" w:hAnsi="Times New Roman" w:eastAsia="仿宋_GB2312" w:cs="Times New Roman"/>
          <w:color w:val="auto"/>
          <w:sz w:val="32"/>
          <w:szCs w:val="32"/>
          <w:u w:val="none"/>
        </w:rPr>
        <w:t>%,主要包括</w:t>
      </w:r>
      <w:r>
        <w:rPr>
          <w:rFonts w:hint="eastAsia" w:ascii="仿宋_GB2312" w:hAnsi="仿宋_GB2312" w:eastAsia="仿宋_GB2312" w:cs="仿宋_GB2312"/>
          <w:sz w:val="32"/>
          <w:szCs w:val="32"/>
          <w:u w:val="none"/>
        </w:rPr>
        <w:t>基本工资、津贴补贴、奖金、</w:t>
      </w:r>
      <w:r>
        <w:rPr>
          <w:rFonts w:ascii="Times New Roman" w:hAnsi="Times New Roman" w:eastAsia="仿宋_GB2312" w:cs="Times New Roman"/>
          <w:color w:val="auto"/>
          <w:sz w:val="32"/>
          <w:szCs w:val="32"/>
          <w:u w:val="none"/>
        </w:rPr>
        <w:t>伙食补助费</w:t>
      </w:r>
      <w:r>
        <w:rPr>
          <w:rFonts w:hint="eastAsia" w:ascii="Times New Roman" w:hAnsi="Times New Roman" w:eastAsia="仿宋_GB2312" w:cs="Times New Roman"/>
          <w:color w:val="auto"/>
          <w:sz w:val="32"/>
          <w:szCs w:val="32"/>
          <w:u w:val="none"/>
        </w:rPr>
        <w:t>、</w:t>
      </w:r>
      <w:r>
        <w:rPr>
          <w:rFonts w:hint="eastAsia" w:ascii="仿宋_GB2312" w:hAnsi="仿宋_GB2312" w:eastAsia="仿宋_GB2312" w:cs="仿宋_GB2312"/>
          <w:sz w:val="32"/>
          <w:szCs w:val="32"/>
          <w:u w:val="none"/>
        </w:rPr>
        <w:t>绩效工资、机关事业单位基本养老保险费</w:t>
      </w:r>
      <w:r>
        <w:rPr>
          <w:rFonts w:hint="eastAsia" w:ascii="仿宋_GB2312" w:hAnsi="仿宋_GB2312" w:eastAsia="仿宋_GB2312" w:cs="仿宋_GB2312"/>
          <w:sz w:val="32"/>
          <w:szCs w:val="32"/>
          <w:u w:val="none"/>
          <w:lang w:eastAsia="zh-CN"/>
        </w:rPr>
        <w:t>、职业年金缴费、职工基本医疗保险缴费、其他社会保障缴费、</w:t>
      </w:r>
      <w:r>
        <w:rPr>
          <w:rFonts w:hint="eastAsia" w:ascii="仿宋_GB2312" w:hAnsi="仿宋_GB2312" w:eastAsia="仿宋_GB2312" w:cs="仿宋_GB2312"/>
          <w:sz w:val="32"/>
          <w:szCs w:val="32"/>
          <w:u w:val="none"/>
        </w:rPr>
        <w:t>住房公积金</w:t>
      </w:r>
      <w:r>
        <w:rPr>
          <w:rFonts w:hint="eastAsia" w:ascii="仿宋_GB2312" w:hAnsi="仿宋_GB2312" w:eastAsia="仿宋_GB2312" w:cs="仿宋_GB2312"/>
          <w:sz w:val="32"/>
          <w:szCs w:val="32"/>
          <w:u w:val="none"/>
          <w:lang w:eastAsia="zh-CN"/>
        </w:rPr>
        <w:t>、其他工资福利支出</w:t>
      </w:r>
      <w:r>
        <w:rPr>
          <w:rFonts w:hint="eastAsia" w:ascii="仿宋_GB2312" w:hAnsi="仿宋_GB2312" w:eastAsia="仿宋_GB2312" w:cs="仿宋_GB2312"/>
          <w:sz w:val="32"/>
          <w:szCs w:val="32"/>
          <w:u w:val="none"/>
        </w:rPr>
        <w:t>、抚恤金、生活补助、奖励金</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对其他个人和家庭的补助支出</w:t>
      </w:r>
      <w:r>
        <w:rPr>
          <w:rFonts w:ascii="Times New Roman" w:hAnsi="Times New Roman" w:eastAsia="仿宋_GB2312" w:cs="Times New Roman"/>
          <w:color w:val="auto"/>
          <w:sz w:val="32"/>
          <w:szCs w:val="32"/>
          <w:u w:val="none"/>
        </w:rPr>
        <w:t>；公用经费</w:t>
      </w:r>
      <w:r>
        <w:rPr>
          <w:rFonts w:hint="eastAsia" w:ascii="Times New Roman" w:hAnsi="Times New Roman" w:eastAsia="仿宋_GB2312" w:cs="Times New Roman"/>
          <w:color w:val="auto"/>
          <w:sz w:val="32"/>
          <w:szCs w:val="32"/>
          <w:u w:val="none"/>
        </w:rPr>
        <w:t>163.1</w:t>
      </w:r>
      <w:r>
        <w:rPr>
          <w:rFonts w:ascii="Times New Roman" w:hAnsi="Times New Roman" w:eastAsia="仿宋_GB2312" w:cs="Times New Roman"/>
          <w:color w:val="auto"/>
          <w:sz w:val="32"/>
          <w:szCs w:val="32"/>
          <w:u w:val="none"/>
        </w:rPr>
        <w:t>万元，占基本支出的</w:t>
      </w:r>
      <w:r>
        <w:rPr>
          <w:rFonts w:hint="eastAsia" w:ascii="Times New Roman" w:hAnsi="Times New Roman" w:eastAsia="仿宋_GB2312" w:cs="Times New Roman"/>
          <w:color w:val="auto"/>
          <w:sz w:val="32"/>
          <w:szCs w:val="32"/>
          <w:u w:val="none"/>
        </w:rPr>
        <w:t>14</w:t>
      </w:r>
      <w:r>
        <w:rPr>
          <w:rFonts w:hint="eastAsia" w:ascii="Times New Roman" w:hAnsi="Times New Roman" w:eastAsia="仿宋_GB2312" w:cs="Times New Roman"/>
          <w:color w:val="auto"/>
          <w:sz w:val="32"/>
          <w:szCs w:val="32"/>
          <w:u w:val="none"/>
          <w:lang w:val="en-US" w:eastAsia="zh-CN"/>
        </w:rPr>
        <w:t>.</w:t>
      </w:r>
      <w:r>
        <w:rPr>
          <w:rFonts w:hint="eastAsia" w:ascii="Times New Roman" w:hAnsi="Times New Roman" w:eastAsia="仿宋_GB2312" w:cs="Times New Roman"/>
          <w:color w:val="auto"/>
          <w:sz w:val="32"/>
          <w:szCs w:val="32"/>
          <w:u w:val="none"/>
        </w:rPr>
        <w:t>18</w:t>
      </w:r>
      <w:r>
        <w:rPr>
          <w:rFonts w:ascii="Times New Roman" w:hAnsi="Times New Roman" w:eastAsia="仿宋_GB2312" w:cs="Times New Roman"/>
          <w:color w:val="auto"/>
          <w:sz w:val="32"/>
          <w:szCs w:val="32"/>
          <w:u w:val="none"/>
        </w:rPr>
        <w:t>%，主要包括</w:t>
      </w:r>
      <w:r>
        <w:rPr>
          <w:rFonts w:hint="eastAsia" w:ascii="仿宋_GB2312" w:hAnsi="仿宋_GB2312" w:eastAsia="仿宋_GB2312" w:cs="仿宋_GB2312"/>
          <w:sz w:val="32"/>
          <w:szCs w:val="32"/>
          <w:u w:val="none"/>
        </w:rPr>
        <w:t>办公费、印刷费、水费、</w:t>
      </w:r>
      <w:r>
        <w:rPr>
          <w:rFonts w:hint="eastAsia" w:ascii="仿宋_GB2312" w:hAnsi="仿宋_GB2312" w:eastAsia="仿宋_GB2312" w:cs="仿宋_GB2312"/>
          <w:sz w:val="32"/>
          <w:szCs w:val="32"/>
          <w:u w:val="none"/>
          <w:lang w:val="en-US" w:eastAsia="zh-CN"/>
        </w:rPr>
        <w:t>电费、</w:t>
      </w:r>
      <w:r>
        <w:rPr>
          <w:rFonts w:hint="eastAsia" w:ascii="仿宋_GB2312" w:hAnsi="仿宋_GB2312" w:eastAsia="仿宋_GB2312" w:cs="仿宋_GB2312"/>
          <w:sz w:val="32"/>
          <w:szCs w:val="32"/>
          <w:u w:val="none"/>
        </w:rPr>
        <w:t>邮电费、差旅费、维修（护）费</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会议费、培训费、劳务费、工会经费</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福利费、其它商品和服务性支出、办公设备购置开支。</w:t>
      </w:r>
    </w:p>
    <w:p>
      <w:pPr>
        <w:pStyle w:val="5"/>
        <w:spacing w:line="600" w:lineRule="exact"/>
        <w:ind w:firstLine="640" w:firstLineChars="200"/>
        <w:outlineLvl w:val="1"/>
        <w:rPr>
          <w:rFonts w:hAnsi="黑体" w:cs="Times New Roman"/>
          <w:color w:val="auto"/>
          <w:sz w:val="32"/>
          <w:szCs w:val="32"/>
          <w:u w:val="none"/>
        </w:rPr>
      </w:pPr>
      <w:r>
        <w:rPr>
          <w:rFonts w:hAnsi="黑体" w:cs="Times New Roman"/>
          <w:color w:val="auto"/>
          <w:sz w:val="32"/>
          <w:szCs w:val="32"/>
          <w:u w:val="none"/>
        </w:rPr>
        <w:t>七、</w:t>
      </w:r>
      <w:r>
        <w:rPr>
          <w:rFonts w:hint="eastAsia" w:hAnsi="黑体" w:cs="Times New Roman"/>
          <w:color w:val="auto"/>
          <w:sz w:val="32"/>
          <w:szCs w:val="32"/>
          <w:u w:val="none"/>
        </w:rPr>
        <w:t>财政拨款“三公”经费支出决算</w:t>
      </w:r>
      <w:r>
        <w:rPr>
          <w:rFonts w:hAnsi="黑体" w:cs="Times New Roman"/>
          <w:color w:val="auto"/>
          <w:sz w:val="32"/>
          <w:szCs w:val="32"/>
          <w:u w:val="none"/>
        </w:rPr>
        <w:t>情况说明</w:t>
      </w:r>
    </w:p>
    <w:p>
      <w:pPr>
        <w:pStyle w:val="5"/>
        <w:spacing w:line="600" w:lineRule="exact"/>
        <w:ind w:firstLine="643" w:firstLineChars="200"/>
        <w:outlineLvl w:val="2"/>
        <w:rPr>
          <w:rFonts w:hint="eastAsia" w:ascii="楷体_GB2312" w:hAnsi="Times New Roman" w:eastAsia="楷体_GB2312" w:cs="Times New Roman"/>
          <w:b/>
          <w:color w:val="auto"/>
          <w:sz w:val="32"/>
          <w:szCs w:val="32"/>
          <w:u w:val="none"/>
        </w:rPr>
      </w:pPr>
      <w:r>
        <w:rPr>
          <w:rFonts w:hint="eastAsia" w:ascii="楷体_GB2312" w:hAnsi="Times New Roman" w:eastAsia="楷体_GB2312" w:cs="Times New Roman"/>
          <w:b/>
          <w:color w:val="auto"/>
          <w:sz w:val="32"/>
          <w:szCs w:val="32"/>
          <w:u w:val="none"/>
        </w:rPr>
        <w:t>（一）“三公”经费财政拨款支出决算总体情况说明</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u w:val="none"/>
        </w:rPr>
        <w:t>“三公”经费财政拨款支出预算为</w:t>
      </w:r>
      <w:r>
        <w:rPr>
          <w:rFonts w:hint="eastAsia" w:ascii="Times New Roman" w:hAnsi="Times New Roman" w:eastAsia="仿宋_GB2312" w:cs="Times New Roman"/>
          <w:color w:val="auto"/>
          <w:sz w:val="32"/>
          <w:szCs w:val="32"/>
          <w:u w:val="none"/>
        </w:rPr>
        <w:t>0.5</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u w:val="none"/>
        </w:rPr>
        <w:t>万元，完成预算的</w:t>
      </w:r>
      <w:r>
        <w:rPr>
          <w:rFonts w:hint="eastAsia" w:ascii="Times New Roman" w:hAnsi="Times New Roman" w:eastAsia="仿宋_GB2312" w:cs="Times New Roman"/>
          <w:color w:val="auto"/>
          <w:sz w:val="32"/>
          <w:szCs w:val="32"/>
          <w:u w:val="none"/>
        </w:rPr>
        <w:t>0</w:t>
      </w:r>
      <w:r>
        <w:rPr>
          <w:rFonts w:ascii="Times New Roman" w:hAnsi="Times New Roman" w:eastAsia="仿宋_GB2312" w:cs="Times New Roman"/>
          <w:color w:val="auto"/>
          <w:sz w:val="32"/>
          <w:szCs w:val="32"/>
          <w:u w:val="none"/>
        </w:rPr>
        <w:t>%，其中：</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u w:val="none"/>
        </w:rPr>
        <w:t>因公出国（境）费支出预算为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万元，完成预算的</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rPr>
        <w:t>决算数等于年初预算数</w:t>
      </w:r>
      <w:r>
        <w:rPr>
          <w:rFonts w:hint="eastAsia" w:ascii="Times New Roman" w:hAnsi="Times New Roman" w:eastAsia="仿宋_GB2312" w:cs="Times New Roman"/>
          <w:color w:val="auto"/>
          <w:sz w:val="32"/>
          <w:szCs w:val="32"/>
          <w:u w:val="none"/>
          <w:lang w:val="en-US" w:eastAsia="zh-CN"/>
        </w:rPr>
        <w:t>的主要原因是</w:t>
      </w:r>
      <w:r>
        <w:rPr>
          <w:rFonts w:hint="eastAsia" w:ascii="Times New Roman" w:hAnsi="Times New Roman" w:eastAsia="仿宋_GB2312" w:cs="Times New Roman"/>
          <w:color w:val="auto"/>
          <w:sz w:val="32"/>
          <w:szCs w:val="32"/>
          <w:u w:val="none"/>
        </w:rPr>
        <w:t>学校无</w:t>
      </w:r>
      <w:r>
        <w:rPr>
          <w:rFonts w:ascii="Times New Roman" w:hAnsi="Times New Roman" w:eastAsia="仿宋_GB2312" w:cs="Times New Roman"/>
          <w:color w:val="auto"/>
          <w:sz w:val="32"/>
          <w:szCs w:val="32"/>
          <w:u w:val="none"/>
        </w:rPr>
        <w:t>因公出国（境）费支出</w:t>
      </w:r>
      <w:r>
        <w:rPr>
          <w:rFonts w:hint="eastAsia" w:ascii="Times New Roman" w:hAnsi="Times New Roman" w:eastAsia="仿宋_GB2312" w:cs="Times New Roman"/>
          <w:color w:val="auto"/>
          <w:sz w:val="32"/>
          <w:szCs w:val="32"/>
          <w:u w:val="none"/>
        </w:rPr>
        <w:t>项目</w:t>
      </w:r>
      <w:r>
        <w:rPr>
          <w:rFonts w:hint="eastAsia" w:ascii="Times New Roman" w:hAnsi="Times New Roman" w:eastAsia="仿宋_GB2312" w:cs="Times New Roman"/>
          <w:color w:val="auto"/>
          <w:sz w:val="32"/>
          <w:szCs w:val="32"/>
          <w:u w:val="none"/>
          <w:lang w:eastAsia="zh-CN"/>
        </w:rPr>
        <w:t>，</w:t>
      </w:r>
      <w:r>
        <w:rPr>
          <w:rFonts w:ascii="Times New Roman" w:hAnsi="Times New Roman" w:eastAsia="仿宋_GB2312" w:cs="Times New Roman"/>
          <w:color w:val="auto"/>
          <w:sz w:val="32"/>
          <w:szCs w:val="32"/>
          <w:u w:val="none"/>
        </w:rPr>
        <w:t>与上年</w:t>
      </w:r>
      <w:r>
        <w:rPr>
          <w:rFonts w:hint="eastAsia" w:ascii="Times New Roman" w:hAnsi="Times New Roman" w:eastAsia="仿宋_GB2312" w:cs="Times New Roman"/>
          <w:color w:val="auto"/>
          <w:sz w:val="32"/>
          <w:szCs w:val="32"/>
          <w:u w:val="none"/>
        </w:rPr>
        <w:t>相比持平</w:t>
      </w:r>
      <w:r>
        <w:rPr>
          <w:rFonts w:hint="eastAsia" w:ascii="Times New Roman" w:hAnsi="Times New Roman" w:eastAsia="仿宋_GB2312" w:cs="Times New Roman"/>
          <w:color w:val="auto"/>
          <w:sz w:val="32"/>
          <w:szCs w:val="32"/>
          <w:u w:val="none"/>
          <w:lang w:val="en-US" w:eastAsia="zh-CN"/>
        </w:rPr>
        <w:t>的</w:t>
      </w:r>
      <w:r>
        <w:rPr>
          <w:rFonts w:hint="eastAsia" w:ascii="Times New Roman" w:hAnsi="Times New Roman" w:eastAsia="仿宋_GB2312" w:cs="Times New Roman"/>
          <w:color w:val="auto"/>
          <w:sz w:val="32"/>
          <w:szCs w:val="32"/>
          <w:u w:val="none"/>
        </w:rPr>
        <w:t>主要原因是学校无</w:t>
      </w:r>
      <w:r>
        <w:rPr>
          <w:rFonts w:ascii="Times New Roman" w:hAnsi="Times New Roman" w:eastAsia="仿宋_GB2312" w:cs="Times New Roman"/>
          <w:color w:val="auto"/>
          <w:sz w:val="32"/>
          <w:szCs w:val="32"/>
          <w:u w:val="none"/>
        </w:rPr>
        <w:t>因公出国（境）费支出</w:t>
      </w:r>
      <w:r>
        <w:rPr>
          <w:rFonts w:hint="eastAsia" w:ascii="Times New Roman" w:hAnsi="Times New Roman" w:eastAsia="仿宋_GB2312" w:cs="Times New Roman"/>
          <w:color w:val="auto"/>
          <w:sz w:val="32"/>
          <w:szCs w:val="32"/>
          <w:u w:val="none"/>
        </w:rPr>
        <w:t>项目</w:t>
      </w:r>
      <w:r>
        <w:rPr>
          <w:rFonts w:ascii="Times New Roman" w:hAnsi="Times New Roman" w:eastAsia="仿宋_GB2312" w:cs="Times New Roman"/>
          <w:color w:val="auto"/>
          <w:sz w:val="32"/>
          <w:szCs w:val="32"/>
          <w:u w:val="none"/>
        </w:rPr>
        <w:t>。</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u w:val="none"/>
        </w:rPr>
        <w:t>公务接待费支出预算</w:t>
      </w:r>
      <w:r>
        <w:rPr>
          <w:rFonts w:hint="eastAsia" w:ascii="Times New Roman" w:hAnsi="Times New Roman" w:eastAsia="仿宋_GB2312" w:cs="Times New Roman"/>
          <w:color w:val="auto"/>
          <w:sz w:val="32"/>
          <w:szCs w:val="32"/>
          <w:u w:val="none"/>
        </w:rPr>
        <w:t>0.5</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万元，完成预算的</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%，决算数小于年初预算数的主要原因是严格执行上级的文件精神，控制了学校公务接待支出。与上年相比减少</w:t>
      </w:r>
      <w:r>
        <w:rPr>
          <w:rFonts w:hint="eastAsia" w:ascii="Times New Roman" w:hAnsi="Times New Roman" w:eastAsia="仿宋_GB2312" w:cs="Times New Roman"/>
          <w:color w:val="auto"/>
          <w:sz w:val="32"/>
          <w:szCs w:val="32"/>
          <w:u w:val="none"/>
        </w:rPr>
        <w:t>0.19</w:t>
      </w:r>
      <w:r>
        <w:rPr>
          <w:rFonts w:ascii="Times New Roman" w:hAnsi="Times New Roman" w:eastAsia="仿宋_GB2312" w:cs="Times New Roman"/>
          <w:color w:val="auto"/>
          <w:sz w:val="32"/>
          <w:szCs w:val="32"/>
          <w:u w:val="none"/>
        </w:rPr>
        <w:t>万元，减少</w:t>
      </w:r>
      <w:r>
        <w:rPr>
          <w:rFonts w:hint="eastAsia" w:ascii="Times New Roman" w:hAnsi="Times New Roman" w:eastAsia="仿宋_GB2312" w:cs="Times New Roman"/>
          <w:color w:val="auto"/>
          <w:sz w:val="32"/>
          <w:szCs w:val="32"/>
          <w:u w:val="none"/>
        </w:rPr>
        <w:t>100</w:t>
      </w:r>
      <w:r>
        <w:rPr>
          <w:rFonts w:ascii="Times New Roman" w:hAnsi="Times New Roman" w:eastAsia="仿宋_GB2312" w:cs="Times New Roman"/>
          <w:color w:val="auto"/>
          <w:sz w:val="32"/>
          <w:szCs w:val="32"/>
          <w:u w:val="none"/>
        </w:rPr>
        <w:t>%,减少的主要原因是严格执行上级的文件精神，控制了学校公务接待支出。</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ascii="Times New Roman" w:hAnsi="Times New Roman" w:eastAsia="仿宋_GB2312" w:cs="Times New Roman"/>
          <w:color w:val="auto"/>
          <w:sz w:val="32"/>
          <w:szCs w:val="32"/>
          <w:u w:val="none"/>
        </w:rPr>
        <w:t>公务用车购置费及运行维护费支出预算为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万元，支出决算为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万元，完成预算的</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w:t>
      </w:r>
      <w:r>
        <w:rPr>
          <w:rFonts w:hint="eastAsia" w:ascii="Times New Roman" w:hAnsi="Times New Roman" w:eastAsia="仿宋_GB2312" w:cs="Times New Roman"/>
          <w:color w:val="auto"/>
          <w:sz w:val="32"/>
          <w:szCs w:val="32"/>
          <w:u w:val="none"/>
        </w:rPr>
        <w:t>决算数等于年初预算数</w:t>
      </w:r>
      <w:r>
        <w:rPr>
          <w:rFonts w:hint="eastAsia" w:ascii="Times New Roman" w:hAnsi="Times New Roman" w:eastAsia="仿宋_GB2312" w:cs="Times New Roman"/>
          <w:color w:val="auto"/>
          <w:sz w:val="32"/>
          <w:szCs w:val="32"/>
          <w:u w:val="none"/>
          <w:lang w:val="en-US" w:eastAsia="zh-CN"/>
        </w:rPr>
        <w:t>的</w:t>
      </w:r>
      <w:r>
        <w:rPr>
          <w:rFonts w:hint="eastAsia" w:ascii="Times New Roman" w:hAnsi="Times New Roman" w:eastAsia="仿宋_GB2312" w:cs="Times New Roman"/>
          <w:color w:val="auto"/>
          <w:sz w:val="32"/>
          <w:szCs w:val="32"/>
          <w:u w:val="none"/>
        </w:rPr>
        <w:t>主要原因是学校无</w:t>
      </w:r>
      <w:r>
        <w:rPr>
          <w:rFonts w:ascii="Times New Roman" w:hAnsi="Times New Roman" w:eastAsia="仿宋_GB2312" w:cs="Times New Roman"/>
          <w:color w:val="auto"/>
          <w:sz w:val="32"/>
          <w:szCs w:val="32"/>
          <w:u w:val="none"/>
        </w:rPr>
        <w:t>公务用车购置费及运行维护费支出</w:t>
      </w:r>
      <w:r>
        <w:rPr>
          <w:rFonts w:hint="eastAsia" w:ascii="Times New Roman" w:hAnsi="Times New Roman" w:eastAsia="仿宋_GB2312" w:cs="Times New Roman"/>
          <w:color w:val="auto"/>
          <w:sz w:val="32"/>
          <w:szCs w:val="32"/>
          <w:u w:val="none"/>
        </w:rPr>
        <w:t>项目，</w:t>
      </w:r>
      <w:r>
        <w:rPr>
          <w:rFonts w:ascii="Times New Roman" w:hAnsi="Times New Roman" w:eastAsia="仿宋_GB2312" w:cs="Times New Roman"/>
          <w:color w:val="auto"/>
          <w:sz w:val="32"/>
          <w:szCs w:val="32"/>
          <w:u w:val="none"/>
        </w:rPr>
        <w:t>与上年</w:t>
      </w:r>
      <w:r>
        <w:rPr>
          <w:rFonts w:hint="eastAsia" w:ascii="Times New Roman" w:hAnsi="Times New Roman" w:eastAsia="仿宋_GB2312" w:cs="Times New Roman"/>
          <w:color w:val="auto"/>
          <w:sz w:val="32"/>
          <w:szCs w:val="32"/>
          <w:u w:val="none"/>
        </w:rPr>
        <w:t>相比持平</w:t>
      </w:r>
      <w:r>
        <w:rPr>
          <w:rFonts w:hint="eastAsia" w:ascii="Times New Roman" w:hAnsi="Times New Roman" w:eastAsia="仿宋_GB2312" w:cs="Times New Roman"/>
          <w:color w:val="auto"/>
          <w:sz w:val="32"/>
          <w:szCs w:val="32"/>
          <w:u w:val="none"/>
          <w:lang w:val="en-US" w:eastAsia="zh-CN"/>
        </w:rPr>
        <w:t>的</w:t>
      </w:r>
      <w:r>
        <w:rPr>
          <w:rFonts w:hint="eastAsia" w:ascii="Times New Roman" w:hAnsi="Times New Roman" w:eastAsia="仿宋_GB2312" w:cs="Times New Roman"/>
          <w:color w:val="auto"/>
          <w:sz w:val="32"/>
          <w:szCs w:val="32"/>
          <w:u w:val="none"/>
        </w:rPr>
        <w:t>主要原因是学校无</w:t>
      </w:r>
      <w:r>
        <w:rPr>
          <w:rFonts w:ascii="Times New Roman" w:hAnsi="Times New Roman" w:eastAsia="仿宋_GB2312" w:cs="Times New Roman"/>
          <w:color w:val="auto"/>
          <w:sz w:val="32"/>
          <w:szCs w:val="32"/>
          <w:u w:val="none"/>
        </w:rPr>
        <w:t>公务用车购置费及运行维护费支出</w:t>
      </w:r>
      <w:r>
        <w:rPr>
          <w:rFonts w:hint="eastAsia" w:ascii="Times New Roman" w:hAnsi="Times New Roman" w:eastAsia="仿宋_GB2312" w:cs="Times New Roman"/>
          <w:color w:val="auto"/>
          <w:sz w:val="32"/>
          <w:szCs w:val="32"/>
          <w:u w:val="none"/>
        </w:rPr>
        <w:t>项目。</w:t>
      </w:r>
    </w:p>
    <w:p>
      <w:pPr>
        <w:pStyle w:val="5"/>
        <w:spacing w:line="600" w:lineRule="exact"/>
        <w:ind w:firstLine="643" w:firstLineChars="200"/>
        <w:outlineLvl w:val="2"/>
        <w:rPr>
          <w:rFonts w:hint="eastAsia" w:ascii="楷体_GB2312" w:hAnsi="Times New Roman" w:eastAsia="楷体_GB2312" w:cs="Times New Roman"/>
          <w:b/>
          <w:color w:val="auto"/>
          <w:sz w:val="32"/>
          <w:szCs w:val="32"/>
          <w:u w:val="none"/>
        </w:rPr>
      </w:pPr>
      <w:r>
        <w:rPr>
          <w:rFonts w:hint="eastAsia" w:ascii="楷体_GB2312" w:hAnsi="Times New Roman" w:eastAsia="楷体_GB2312" w:cs="Times New Roman"/>
          <w:b/>
          <w:color w:val="auto"/>
          <w:sz w:val="32"/>
          <w:szCs w:val="32"/>
          <w:u w:val="none"/>
        </w:rPr>
        <w:t>（二）“三公”经费财政拨款支出决算具体情况说明</w:t>
      </w:r>
    </w:p>
    <w:p>
      <w:pPr>
        <w:pStyle w:val="5"/>
        <w:spacing w:line="600" w:lineRule="exact"/>
        <w:ind w:firstLine="640" w:firstLineChars="200"/>
        <w:rPr>
          <w:rFonts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2023</w:t>
      </w:r>
      <w:r>
        <w:rPr>
          <w:rFonts w:ascii="Times New Roman" w:hAnsi="Times New Roman" w:eastAsia="仿宋_GB2312" w:cs="Times New Roman"/>
          <w:color w:val="auto"/>
          <w:sz w:val="32"/>
          <w:szCs w:val="32"/>
          <w:u w:val="none"/>
        </w:rPr>
        <w:t>年度“三公”经费财政拨款支出决算中，公务接待费支出决算</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%,因公出国（境）费支出决算</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%,公务用车购置费及运行维护费支出决算</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万元，占</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%。其中：</w:t>
      </w:r>
    </w:p>
    <w:p>
      <w:pPr>
        <w:pStyle w:val="5"/>
        <w:spacing w:line="600" w:lineRule="exact"/>
        <w:ind w:firstLine="640" w:firstLineChars="200"/>
        <w:rPr>
          <w:rFonts w:hint="eastAsia" w:ascii="Times New Roman" w:hAnsi="Times New Roman" w:eastAsia="仿宋_GB2312" w:cs="Times New Roman"/>
          <w:b/>
          <w:color w:val="auto"/>
          <w:sz w:val="32"/>
          <w:szCs w:val="32"/>
          <w:u w:val="none"/>
        </w:rPr>
      </w:pPr>
      <w:r>
        <w:rPr>
          <w:rFonts w:ascii="Times New Roman" w:hAnsi="Times New Roman" w:eastAsia="仿宋_GB2312" w:cs="Times New Roman"/>
          <w:color w:val="auto"/>
          <w:sz w:val="32"/>
          <w:szCs w:val="32"/>
          <w:u w:val="none"/>
        </w:rPr>
        <w:t>1、因公出国（境）费支出决算为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万元，全年安排因公出国（境）团组</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个，累计</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人次</w:t>
      </w:r>
      <w:r>
        <w:rPr>
          <w:rFonts w:hint="eastAsia" w:ascii="Times New Roman" w:hAnsi="Times New Roman" w:eastAsia="仿宋_GB2312" w:cs="Times New Roman"/>
          <w:color w:val="auto"/>
          <w:sz w:val="32"/>
          <w:szCs w:val="32"/>
          <w:u w:val="none"/>
          <w:lang w:eastAsia="zh-CN"/>
        </w:rPr>
        <w:t>，</w:t>
      </w:r>
      <w:r>
        <w:rPr>
          <w:rFonts w:hint="eastAsia" w:ascii="Times New Roman" w:hAnsi="Times New Roman" w:eastAsia="仿宋_GB2312" w:cs="Times New Roman"/>
          <w:color w:val="auto"/>
          <w:sz w:val="32"/>
          <w:szCs w:val="32"/>
          <w:u w:val="none"/>
          <w:lang w:val="en-US" w:eastAsia="zh-CN"/>
        </w:rPr>
        <w:t>开支内容无</w:t>
      </w:r>
      <w:r>
        <w:rPr>
          <w:rFonts w:hint="eastAsia" w:ascii="Times New Roman" w:hAnsi="Times New Roman" w:eastAsia="仿宋_GB2312" w:cs="Times New Roman"/>
          <w:color w:val="auto"/>
          <w:sz w:val="32"/>
          <w:szCs w:val="32"/>
          <w:u w:val="none"/>
        </w:rPr>
        <w:t>。</w:t>
      </w:r>
    </w:p>
    <w:p>
      <w:pPr>
        <w:pStyle w:val="5"/>
        <w:spacing w:line="600" w:lineRule="exact"/>
        <w:ind w:firstLine="640" w:firstLineChars="200"/>
        <w:rPr>
          <w:rFonts w:hint="eastAsia" w:ascii="Times New Roman" w:hAnsi="Times New Roman" w:eastAsia="仿宋_GB2312" w:cs="Times New Roman"/>
          <w:color w:val="auto"/>
          <w:sz w:val="32"/>
          <w:szCs w:val="32"/>
          <w:u w:val="none"/>
          <w:lang w:eastAsia="zh-CN"/>
        </w:rPr>
      </w:pPr>
      <w:r>
        <w:rPr>
          <w:rFonts w:ascii="Times New Roman" w:hAnsi="Times New Roman" w:eastAsia="仿宋_GB2312" w:cs="Times New Roman"/>
          <w:color w:val="auto"/>
          <w:sz w:val="32"/>
          <w:szCs w:val="32"/>
          <w:u w:val="none"/>
        </w:rPr>
        <w:t>2、公务接待费支出决算为</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万元，全年共接待来访团组</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个、来宾</w:t>
      </w:r>
      <w:r>
        <w:rPr>
          <w:rFonts w:hint="eastAsia" w:ascii="Times New Roman" w:hAnsi="Times New Roman" w:eastAsia="仿宋_GB2312" w:cs="Times New Roman"/>
          <w:color w:val="auto"/>
          <w:sz w:val="32"/>
          <w:szCs w:val="32"/>
          <w:u w:val="none"/>
          <w:lang w:val="en-US" w:eastAsia="zh-CN"/>
        </w:rPr>
        <w:t>0</w:t>
      </w:r>
      <w:r>
        <w:rPr>
          <w:rFonts w:ascii="Times New Roman" w:hAnsi="Times New Roman" w:eastAsia="仿宋_GB2312" w:cs="Times New Roman"/>
          <w:color w:val="auto"/>
          <w:sz w:val="32"/>
          <w:szCs w:val="32"/>
          <w:u w:val="none"/>
        </w:rPr>
        <w:t>人次</w:t>
      </w:r>
      <w:r>
        <w:rPr>
          <w:rFonts w:hint="eastAsia" w:ascii="Times New Roman" w:hAnsi="Times New Roman" w:eastAsia="仿宋_GB2312" w:cs="Times New Roman"/>
          <w:color w:val="auto"/>
          <w:sz w:val="32"/>
          <w:szCs w:val="32"/>
          <w:u w:val="none"/>
          <w:lang w:eastAsia="zh-CN"/>
        </w:rPr>
        <w:t>，</w:t>
      </w:r>
      <w:r>
        <w:rPr>
          <w:rFonts w:ascii="Times New Roman" w:hAnsi="Times New Roman" w:eastAsia="仿宋_GB2312" w:cs="Times New Roman"/>
          <w:color w:val="auto"/>
          <w:sz w:val="32"/>
          <w:szCs w:val="32"/>
        </w:rPr>
        <w:t>主要是</w:t>
      </w:r>
      <w:r>
        <w:rPr>
          <w:rFonts w:hint="eastAsia" w:ascii="Times New Roman" w:hAnsi="Times New Roman" w:eastAsia="仿宋_GB2312" w:cs="Times New Roman"/>
          <w:color w:val="auto"/>
          <w:sz w:val="32"/>
          <w:szCs w:val="32"/>
          <w:lang w:val="en-US" w:eastAsia="zh-CN"/>
        </w:rPr>
        <w:t>无</w:t>
      </w:r>
      <w:r>
        <w:rPr>
          <w:rFonts w:ascii="Times New Roman" w:hAnsi="Times New Roman" w:eastAsia="仿宋_GB2312" w:cs="Times New Roman"/>
          <w:color w:val="auto"/>
          <w:sz w:val="32"/>
          <w:szCs w:val="32"/>
        </w:rPr>
        <w:t>接待支出</w:t>
      </w:r>
      <w:r>
        <w:rPr>
          <w:rFonts w:hint="eastAsia" w:ascii="Times New Roman" w:hAnsi="Times New Roman" w:eastAsia="仿宋_GB2312" w:cs="Times New Roman"/>
          <w:color w:val="auto"/>
          <w:sz w:val="32"/>
          <w:szCs w:val="32"/>
          <w:lang w:eastAsia="zh-CN"/>
        </w:rPr>
        <w:t>。</w:t>
      </w:r>
    </w:p>
    <w:p>
      <w:pPr>
        <w:spacing w:line="600" w:lineRule="exact"/>
        <w:ind w:firstLine="640" w:firstLineChars="200"/>
        <w:rPr>
          <w:rFonts w:eastAsia="仿宋_GB2312"/>
          <w:kern w:val="0"/>
          <w:sz w:val="32"/>
          <w:szCs w:val="32"/>
          <w:u w:val="none"/>
        </w:rPr>
      </w:pPr>
      <w:r>
        <w:rPr>
          <w:rFonts w:eastAsia="仿宋_GB2312"/>
          <w:sz w:val="32"/>
          <w:szCs w:val="32"/>
          <w:u w:val="none"/>
        </w:rPr>
        <w:t>3、公务用车购置费及运行维护费支出决算为</w:t>
      </w:r>
      <w:r>
        <w:rPr>
          <w:rFonts w:hint="eastAsia" w:eastAsia="仿宋_GB2312"/>
          <w:sz w:val="32"/>
          <w:szCs w:val="32"/>
          <w:u w:val="none"/>
          <w:lang w:val="en-US" w:eastAsia="zh-CN"/>
        </w:rPr>
        <w:t>0</w:t>
      </w:r>
      <w:r>
        <w:rPr>
          <w:rFonts w:eastAsia="仿宋_GB2312"/>
          <w:sz w:val="32"/>
          <w:szCs w:val="32"/>
          <w:u w:val="none"/>
        </w:rPr>
        <w:t>万元，其中：公务用车购置费</w:t>
      </w:r>
      <w:r>
        <w:rPr>
          <w:rFonts w:hint="eastAsia" w:eastAsia="仿宋_GB2312"/>
          <w:sz w:val="32"/>
          <w:szCs w:val="32"/>
          <w:u w:val="none"/>
          <w:lang w:val="en-US" w:eastAsia="zh-CN"/>
        </w:rPr>
        <w:t>0</w:t>
      </w:r>
      <w:r>
        <w:rPr>
          <w:rFonts w:eastAsia="仿宋_GB2312"/>
          <w:sz w:val="32"/>
          <w:szCs w:val="32"/>
          <w:u w:val="none"/>
        </w:rPr>
        <w:t>万元，更新公务用车</w:t>
      </w:r>
      <w:r>
        <w:rPr>
          <w:rFonts w:hint="eastAsia" w:eastAsia="仿宋_GB2312"/>
          <w:sz w:val="32"/>
          <w:szCs w:val="32"/>
          <w:u w:val="none"/>
          <w:lang w:val="en-US" w:eastAsia="zh-CN"/>
        </w:rPr>
        <w:t>0</w:t>
      </w:r>
      <w:r>
        <w:rPr>
          <w:rFonts w:eastAsia="仿宋_GB2312"/>
          <w:sz w:val="32"/>
          <w:szCs w:val="32"/>
          <w:u w:val="none"/>
        </w:rPr>
        <w:t>辆。公务用车运行维护费</w:t>
      </w:r>
      <w:r>
        <w:rPr>
          <w:rFonts w:hint="eastAsia" w:eastAsia="仿宋_GB2312"/>
          <w:sz w:val="32"/>
          <w:szCs w:val="32"/>
          <w:u w:val="none"/>
          <w:lang w:val="en-US" w:eastAsia="zh-CN"/>
        </w:rPr>
        <w:t>0</w:t>
      </w:r>
      <w:r>
        <w:rPr>
          <w:rFonts w:eastAsia="仿宋_GB2312"/>
          <w:sz w:val="32"/>
          <w:szCs w:val="32"/>
          <w:u w:val="none"/>
        </w:rPr>
        <w:t>万元，截止</w:t>
      </w:r>
      <w:r>
        <w:rPr>
          <w:rFonts w:hint="eastAsia" w:eastAsia="仿宋_GB2312"/>
          <w:sz w:val="32"/>
          <w:szCs w:val="32"/>
          <w:u w:val="none"/>
        </w:rPr>
        <w:t>2023</w:t>
      </w:r>
      <w:r>
        <w:rPr>
          <w:rFonts w:eastAsia="仿宋_GB2312"/>
          <w:sz w:val="32"/>
          <w:szCs w:val="32"/>
          <w:u w:val="none"/>
        </w:rPr>
        <w:t>年12月31日，我单位开支财政拨款的公务用车保有量为</w:t>
      </w:r>
      <w:r>
        <w:rPr>
          <w:rFonts w:hint="eastAsia" w:eastAsia="仿宋_GB2312"/>
          <w:sz w:val="32"/>
          <w:szCs w:val="32"/>
          <w:u w:val="none"/>
          <w:lang w:val="en-US" w:eastAsia="zh-CN"/>
        </w:rPr>
        <w:t>0</w:t>
      </w:r>
      <w:r>
        <w:rPr>
          <w:rFonts w:eastAsia="仿宋_GB2312"/>
          <w:sz w:val="32"/>
          <w:szCs w:val="32"/>
          <w:u w:val="none"/>
        </w:rPr>
        <w:t>辆。</w:t>
      </w:r>
    </w:p>
    <w:p>
      <w:pPr>
        <w:pStyle w:val="5"/>
        <w:spacing w:line="600" w:lineRule="exact"/>
        <w:ind w:firstLine="640" w:firstLineChars="200"/>
        <w:outlineLvl w:val="1"/>
        <w:rPr>
          <w:rFonts w:hAnsi="黑体" w:cs="Times New Roman"/>
          <w:color w:val="auto"/>
          <w:sz w:val="32"/>
          <w:szCs w:val="32"/>
          <w:u w:val="none"/>
        </w:rPr>
      </w:pPr>
      <w:r>
        <w:rPr>
          <w:rFonts w:hAnsi="黑体" w:cs="Times New Roman"/>
          <w:color w:val="auto"/>
          <w:sz w:val="32"/>
          <w:szCs w:val="32"/>
          <w:u w:val="none"/>
        </w:rPr>
        <w:t>八、政府性基金预算收入支出决算情况</w:t>
      </w:r>
    </w:p>
    <w:p>
      <w:pPr>
        <w:pStyle w:val="5"/>
        <w:spacing w:line="600" w:lineRule="exact"/>
        <w:ind w:firstLine="640" w:firstLineChars="200"/>
        <w:outlineLvl w:val="1"/>
        <w:rPr>
          <w:rFonts w:hint="eastAsia" w:ascii="Times New Roman" w:hAnsi="Times New Roman" w:eastAsia="仿宋_GB2312" w:cs="Times New Roman"/>
          <w:color w:val="auto"/>
          <w:sz w:val="32"/>
          <w:szCs w:val="32"/>
          <w:u w:val="none"/>
        </w:rPr>
      </w:pPr>
      <w:r>
        <w:rPr>
          <w:rFonts w:hint="eastAsia" w:ascii="Times New Roman" w:hAnsi="Times New Roman" w:eastAsia="仿宋_GB2312" w:cs="Times New Roman"/>
          <w:color w:val="auto"/>
          <w:sz w:val="32"/>
          <w:szCs w:val="32"/>
          <w:u w:val="none"/>
        </w:rPr>
        <w:t>2023年度本单位无政府性基金收支。</w:t>
      </w:r>
    </w:p>
    <w:p>
      <w:pPr>
        <w:pStyle w:val="5"/>
        <w:spacing w:line="600" w:lineRule="exact"/>
        <w:ind w:firstLine="640" w:firstLineChars="200"/>
        <w:outlineLvl w:val="1"/>
        <w:rPr>
          <w:rFonts w:hAnsi="黑体" w:cs="Times New Roman"/>
          <w:color w:val="auto"/>
          <w:sz w:val="32"/>
          <w:szCs w:val="32"/>
          <w:u w:val="none"/>
        </w:rPr>
      </w:pPr>
      <w:r>
        <w:rPr>
          <w:rFonts w:hint="eastAsia" w:hAnsi="黑体" w:cs="Times New Roman"/>
          <w:color w:val="auto"/>
          <w:sz w:val="32"/>
          <w:szCs w:val="32"/>
          <w:u w:val="none"/>
        </w:rPr>
        <w:t>九</w:t>
      </w:r>
      <w:r>
        <w:rPr>
          <w:rFonts w:hAnsi="黑体" w:cs="Times New Roman"/>
          <w:color w:val="auto"/>
          <w:sz w:val="32"/>
          <w:szCs w:val="32"/>
          <w:u w:val="none"/>
        </w:rPr>
        <w:t>、</w:t>
      </w:r>
      <w:r>
        <w:rPr>
          <w:rFonts w:hint="eastAsia" w:hAnsi="黑体" w:cs="Times New Roman"/>
          <w:color w:val="auto"/>
          <w:sz w:val="32"/>
          <w:szCs w:val="32"/>
          <w:u w:val="none"/>
        </w:rPr>
        <w:t>国有资本经营预算财政拨款支出决算情况</w:t>
      </w:r>
    </w:p>
    <w:p>
      <w:pPr>
        <w:pStyle w:val="5"/>
        <w:spacing w:line="600" w:lineRule="exact"/>
        <w:ind w:firstLine="640" w:firstLineChars="200"/>
        <w:rPr>
          <w:rFonts w:hAnsi="黑体" w:cs="Times New Roman"/>
          <w:color w:val="auto"/>
          <w:sz w:val="32"/>
          <w:szCs w:val="32"/>
          <w:u w:val="none"/>
        </w:rPr>
      </w:pPr>
      <w:r>
        <w:rPr>
          <w:rFonts w:hint="eastAsia" w:ascii="Times New Roman" w:hAnsi="Times New Roman" w:eastAsia="仿宋_GB2312" w:cs="Times New Roman"/>
          <w:color w:val="auto"/>
          <w:sz w:val="32"/>
          <w:szCs w:val="32"/>
          <w:u w:val="none"/>
        </w:rPr>
        <w:t>2023</w:t>
      </w:r>
      <w:r>
        <w:rPr>
          <w:rFonts w:ascii="Times New Roman" w:hAnsi="Times New Roman" w:eastAsia="仿宋_GB2312" w:cs="Times New Roman"/>
          <w:color w:val="auto"/>
          <w:sz w:val="32"/>
          <w:szCs w:val="32"/>
          <w:u w:val="none"/>
        </w:rPr>
        <w:t>年度本单位无</w:t>
      </w:r>
      <w:r>
        <w:rPr>
          <w:rFonts w:hint="eastAsia" w:ascii="Times New Roman" w:hAnsi="Times New Roman" w:eastAsia="仿宋_GB2312" w:cs="Times New Roman"/>
          <w:color w:val="auto"/>
          <w:sz w:val="32"/>
          <w:szCs w:val="32"/>
          <w:u w:val="none"/>
        </w:rPr>
        <w:t>国有资本经营预算支出。</w:t>
      </w:r>
    </w:p>
    <w:p>
      <w:pPr>
        <w:pStyle w:val="5"/>
        <w:spacing w:line="600" w:lineRule="exact"/>
        <w:ind w:firstLine="640" w:firstLineChars="200"/>
        <w:outlineLvl w:val="1"/>
        <w:rPr>
          <w:rFonts w:hAnsi="黑体" w:cs="Times New Roman"/>
          <w:color w:val="auto"/>
          <w:sz w:val="32"/>
          <w:szCs w:val="32"/>
          <w:u w:val="none"/>
        </w:rPr>
      </w:pPr>
      <w:r>
        <w:rPr>
          <w:rFonts w:hint="eastAsia" w:hAnsi="黑体" w:cs="Times New Roman"/>
          <w:color w:val="auto"/>
          <w:sz w:val="32"/>
          <w:szCs w:val="32"/>
          <w:u w:val="none"/>
        </w:rPr>
        <w:t>十</w:t>
      </w:r>
      <w:r>
        <w:rPr>
          <w:rFonts w:hAnsi="黑体" w:cs="Times New Roman"/>
          <w:color w:val="auto"/>
          <w:sz w:val="32"/>
          <w:szCs w:val="32"/>
          <w:u w:val="none"/>
        </w:rPr>
        <w:t>、关于</w:t>
      </w:r>
      <w:r>
        <w:rPr>
          <w:rFonts w:hint="eastAsia" w:hAnsi="黑体" w:cs="Times New Roman"/>
          <w:color w:val="auto"/>
          <w:sz w:val="32"/>
          <w:szCs w:val="32"/>
          <w:u w:val="none"/>
        </w:rPr>
        <w:t>2023</w:t>
      </w:r>
      <w:r>
        <w:rPr>
          <w:rFonts w:hAnsi="黑体" w:cs="Times New Roman"/>
          <w:color w:val="auto"/>
          <w:sz w:val="32"/>
          <w:szCs w:val="32"/>
          <w:u w:val="none"/>
        </w:rPr>
        <w:t>年度预算绩效情况说明</w:t>
      </w:r>
    </w:p>
    <w:p>
      <w:pPr>
        <w:widowControl/>
        <w:spacing w:line="560" w:lineRule="atLeast"/>
        <w:ind w:firstLine="645"/>
        <w:rPr>
          <w:rFonts w:hint="eastAsia" w:ascii="仿宋_GB2312" w:eastAsia="仿宋_GB2312"/>
          <w:b/>
          <w:bCs/>
          <w:sz w:val="32"/>
          <w:szCs w:val="32"/>
          <w:u w:val="none"/>
        </w:rPr>
      </w:pPr>
      <w:r>
        <w:rPr>
          <w:rFonts w:hint="eastAsia" w:ascii="仿宋_GB2312" w:eastAsia="仿宋_GB2312"/>
          <w:b/>
          <w:bCs/>
          <w:sz w:val="32"/>
          <w:szCs w:val="32"/>
          <w:u w:val="none"/>
        </w:rPr>
        <w:t>（一）绩效管理工作开展情况。</w:t>
      </w:r>
    </w:p>
    <w:p>
      <w:pPr>
        <w:spacing w:line="600" w:lineRule="exact"/>
        <w:ind w:firstLine="640" w:firstLineChars="200"/>
        <w:rPr>
          <w:rFonts w:eastAsia="仿宋_GB2312"/>
          <w:sz w:val="32"/>
          <w:szCs w:val="32"/>
          <w:u w:val="none"/>
        </w:rPr>
      </w:pPr>
      <w:r>
        <w:rPr>
          <w:rFonts w:eastAsia="仿宋_GB2312"/>
          <w:sz w:val="32"/>
          <w:szCs w:val="32"/>
          <w:u w:val="none"/>
        </w:rPr>
        <w:t>202</w:t>
      </w:r>
      <w:r>
        <w:rPr>
          <w:rFonts w:hint="eastAsia" w:eastAsia="仿宋_GB2312"/>
          <w:sz w:val="32"/>
          <w:szCs w:val="32"/>
          <w:u w:val="none"/>
        </w:rPr>
        <w:t>3</w:t>
      </w:r>
      <w:r>
        <w:rPr>
          <w:rFonts w:eastAsia="仿宋_GB2312"/>
          <w:sz w:val="32"/>
          <w:szCs w:val="32"/>
          <w:u w:val="none"/>
        </w:rPr>
        <w:t>年度我单位实际支出</w:t>
      </w:r>
      <w:r>
        <w:rPr>
          <w:rFonts w:hint="eastAsia" w:eastAsia="仿宋_GB2312"/>
          <w:sz w:val="32"/>
          <w:szCs w:val="32"/>
          <w:u w:val="none"/>
        </w:rPr>
        <w:t>1150.33</w:t>
      </w:r>
      <w:r>
        <w:rPr>
          <w:rFonts w:eastAsia="仿宋_GB2312"/>
          <w:sz w:val="32"/>
          <w:szCs w:val="32"/>
          <w:u w:val="none"/>
        </w:rPr>
        <w:t>万元。其中，基本支出</w:t>
      </w:r>
      <w:r>
        <w:rPr>
          <w:rFonts w:hint="eastAsia" w:eastAsia="仿宋_GB2312"/>
          <w:sz w:val="32"/>
          <w:szCs w:val="32"/>
          <w:u w:val="none"/>
        </w:rPr>
        <w:t>1150.33</w:t>
      </w:r>
      <w:r>
        <w:rPr>
          <w:rFonts w:eastAsia="仿宋_GB2312"/>
          <w:sz w:val="32"/>
          <w:szCs w:val="32"/>
          <w:u w:val="none"/>
        </w:rPr>
        <w:t>万元，项目支出0万元</w:t>
      </w:r>
      <w:r>
        <w:rPr>
          <w:rFonts w:hint="eastAsia" w:eastAsia="仿宋_GB2312"/>
          <w:sz w:val="32"/>
          <w:szCs w:val="32"/>
          <w:u w:val="none"/>
          <w:lang w:eastAsia="zh-CN"/>
        </w:rPr>
        <w:t>，</w:t>
      </w:r>
      <w:r>
        <w:rPr>
          <w:rFonts w:eastAsia="仿宋_GB2312"/>
          <w:sz w:val="32"/>
          <w:szCs w:val="32"/>
          <w:u w:val="none"/>
        </w:rPr>
        <w:t>其中：基本支出主要列支人员工资福利和公用工作经费。</w:t>
      </w:r>
    </w:p>
    <w:p>
      <w:pPr>
        <w:spacing w:line="600" w:lineRule="exact"/>
        <w:ind w:firstLine="640" w:firstLineChars="200"/>
        <w:rPr>
          <w:rFonts w:eastAsia="仿宋_GB2312"/>
          <w:sz w:val="32"/>
          <w:szCs w:val="32"/>
          <w:u w:val="none"/>
        </w:rPr>
      </w:pPr>
      <w:r>
        <w:rPr>
          <w:rFonts w:eastAsia="仿宋_GB2312"/>
          <w:sz w:val="32"/>
          <w:szCs w:val="32"/>
          <w:u w:val="none"/>
        </w:rPr>
        <w:t>我单位按照县财政局绩效管理股的要求，从预算的执行、控制与调整，决算与绩效评价等方面对专项资金进行管理，做到了专项资金预算编制有目标、预算执行有监控、预算完成有评价、评价结果有反馈、反馈结果有应用。</w:t>
      </w:r>
    </w:p>
    <w:p>
      <w:pPr>
        <w:widowControl/>
        <w:numPr>
          <w:ilvl w:val="0"/>
          <w:numId w:val="1"/>
        </w:numPr>
        <w:spacing w:line="560" w:lineRule="atLeast"/>
        <w:ind w:firstLine="645"/>
        <w:rPr>
          <w:rFonts w:hint="eastAsia" w:ascii="仿宋_GB2312" w:eastAsia="仿宋_GB2312"/>
          <w:b/>
          <w:bCs/>
          <w:sz w:val="32"/>
          <w:szCs w:val="32"/>
          <w:u w:val="none"/>
        </w:rPr>
      </w:pPr>
      <w:r>
        <w:rPr>
          <w:rFonts w:hint="eastAsia" w:ascii="仿宋_GB2312" w:eastAsia="仿宋_GB2312"/>
          <w:b/>
          <w:bCs/>
          <w:sz w:val="32"/>
          <w:szCs w:val="32"/>
          <w:u w:val="none"/>
        </w:rPr>
        <w:t>项目绩效自评结果、重点绩效评价结果。</w:t>
      </w:r>
    </w:p>
    <w:p>
      <w:pPr>
        <w:widowControl/>
        <w:spacing w:line="560" w:lineRule="atLeast"/>
        <w:ind w:firstLine="640" w:firstLineChars="200"/>
        <w:rPr>
          <w:rFonts w:hint="eastAsia" w:ascii="仿宋_GB2312" w:eastAsia="仿宋_GB2312"/>
          <w:i/>
          <w:iCs/>
          <w:color w:val="FF0000"/>
          <w:sz w:val="32"/>
          <w:szCs w:val="32"/>
          <w:u w:val="none"/>
        </w:rPr>
      </w:pPr>
      <w:r>
        <w:rPr>
          <w:rFonts w:hint="eastAsia" w:ascii="仿宋_GB2312" w:hAnsi="仿宋_GB2312" w:eastAsia="仿宋_GB2312" w:cs="仿宋_GB2312"/>
          <w:sz w:val="32"/>
          <w:szCs w:val="32"/>
          <w:u w:val="none"/>
          <w:shd w:val="clear" w:color="auto" w:fill="FFFFFF"/>
        </w:rPr>
        <w:t>本校无项目支出，无重点工程项目支出。</w:t>
      </w:r>
    </w:p>
    <w:p>
      <w:pPr>
        <w:pStyle w:val="5"/>
        <w:spacing w:line="600" w:lineRule="exact"/>
        <w:ind w:firstLine="640" w:firstLineChars="200"/>
        <w:outlineLvl w:val="1"/>
        <w:rPr>
          <w:rFonts w:hAnsi="黑体" w:cs="Times New Roman"/>
          <w:color w:val="auto"/>
          <w:sz w:val="32"/>
          <w:szCs w:val="32"/>
          <w:u w:val="none"/>
        </w:rPr>
      </w:pPr>
      <w:r>
        <w:rPr>
          <w:rFonts w:hAnsi="黑体" w:cs="Times New Roman"/>
          <w:color w:val="auto"/>
          <w:sz w:val="32"/>
          <w:szCs w:val="32"/>
          <w:u w:val="none"/>
        </w:rPr>
        <w:t>十</w:t>
      </w:r>
      <w:r>
        <w:rPr>
          <w:rFonts w:hint="eastAsia" w:hAnsi="黑体" w:cs="Times New Roman"/>
          <w:color w:val="auto"/>
          <w:sz w:val="32"/>
          <w:szCs w:val="32"/>
          <w:u w:val="none"/>
        </w:rPr>
        <w:t>一</w:t>
      </w:r>
      <w:r>
        <w:rPr>
          <w:rFonts w:hAnsi="黑体" w:cs="Times New Roman"/>
          <w:color w:val="auto"/>
          <w:sz w:val="32"/>
          <w:szCs w:val="32"/>
          <w:u w:val="none"/>
        </w:rPr>
        <w:t>、其他重要事项情况说明</w:t>
      </w:r>
    </w:p>
    <w:p>
      <w:pPr>
        <w:spacing w:line="600" w:lineRule="exact"/>
        <w:ind w:firstLine="643" w:firstLineChars="200"/>
        <w:outlineLvl w:val="2"/>
        <w:rPr>
          <w:rFonts w:hint="eastAsia" w:ascii="楷体_GB2312" w:eastAsia="楷体_GB2312"/>
          <w:b/>
          <w:kern w:val="0"/>
          <w:sz w:val="32"/>
          <w:szCs w:val="32"/>
          <w:u w:val="none"/>
        </w:rPr>
      </w:pPr>
      <w:r>
        <w:rPr>
          <w:rFonts w:hint="eastAsia" w:ascii="楷体_GB2312" w:eastAsia="楷体_GB2312"/>
          <w:b/>
          <w:kern w:val="0"/>
          <w:sz w:val="32"/>
          <w:szCs w:val="32"/>
          <w:u w:val="none"/>
        </w:rPr>
        <w:t>（一）机关运行经费支出情况</w:t>
      </w:r>
    </w:p>
    <w:p>
      <w:pPr>
        <w:spacing w:line="600" w:lineRule="exact"/>
        <w:ind w:firstLine="640" w:firstLineChars="200"/>
        <w:outlineLvl w:val="2"/>
        <w:rPr>
          <w:rFonts w:ascii="Times New Roman" w:hAnsi="Times New Roman" w:eastAsia="仿宋_GB2312" w:cs="Times New Roman"/>
          <w:kern w:val="0"/>
          <w:sz w:val="32"/>
          <w:szCs w:val="32"/>
          <w:u w:val="none"/>
        </w:rPr>
      </w:pPr>
      <w:r>
        <w:rPr>
          <w:rFonts w:eastAsia="仿宋_GB2312"/>
          <w:kern w:val="0"/>
          <w:sz w:val="32"/>
          <w:szCs w:val="32"/>
          <w:u w:val="none"/>
        </w:rPr>
        <w:t>本部门</w:t>
      </w:r>
      <w:r>
        <w:rPr>
          <w:rFonts w:hint="default" w:ascii="Times New Roman" w:hAnsi="Times New Roman" w:eastAsia="仿宋_GB2312" w:cs="Times New Roman"/>
          <w:b w:val="0"/>
          <w:bCs w:val="0"/>
          <w:kern w:val="0"/>
          <w:sz w:val="32"/>
          <w:szCs w:val="32"/>
          <w:u w:val="none"/>
        </w:rPr>
        <w:t>2023</w:t>
      </w:r>
      <w:r>
        <w:rPr>
          <w:rFonts w:eastAsia="仿宋_GB2312"/>
          <w:kern w:val="0"/>
          <w:sz w:val="32"/>
          <w:szCs w:val="32"/>
          <w:u w:val="none"/>
        </w:rPr>
        <w:t>年度机关运行经费支出</w:t>
      </w:r>
      <w:r>
        <w:rPr>
          <w:rFonts w:hint="eastAsia" w:eastAsia="仿宋_GB2312"/>
          <w:sz w:val="32"/>
          <w:szCs w:val="32"/>
          <w:u w:val="none"/>
          <w:lang w:val="en-US" w:eastAsia="zh-CN"/>
        </w:rPr>
        <w:t>0</w:t>
      </w:r>
      <w:r>
        <w:rPr>
          <w:rFonts w:eastAsia="仿宋_GB2312"/>
          <w:kern w:val="0"/>
          <w:sz w:val="32"/>
          <w:szCs w:val="32"/>
          <w:u w:val="none"/>
        </w:rPr>
        <w:t>万元，比年初预算数</w:t>
      </w:r>
      <w:r>
        <w:rPr>
          <w:rFonts w:hint="eastAsia" w:eastAsia="仿宋_GB2312"/>
          <w:kern w:val="0"/>
          <w:sz w:val="32"/>
          <w:szCs w:val="32"/>
          <w:u w:val="none"/>
          <w:lang w:val="en-US" w:eastAsia="zh-CN"/>
        </w:rPr>
        <w:t>持</w:t>
      </w:r>
      <w:r>
        <w:rPr>
          <w:rFonts w:hint="eastAsia" w:eastAsia="仿宋_GB2312"/>
          <w:sz w:val="32"/>
          <w:szCs w:val="32"/>
          <w:u w:val="none"/>
          <w:lang w:val="en-US" w:eastAsia="zh-CN"/>
        </w:rPr>
        <w:t>平</w:t>
      </w:r>
      <w:r>
        <w:rPr>
          <w:rFonts w:eastAsia="仿宋_GB2312"/>
          <w:kern w:val="0"/>
          <w:sz w:val="32"/>
          <w:szCs w:val="32"/>
          <w:u w:val="none"/>
        </w:rPr>
        <w:t>。主要原因是：</w:t>
      </w:r>
      <w:r>
        <w:rPr>
          <w:rFonts w:hint="default" w:ascii="Times New Roman" w:hAnsi="Times New Roman" w:eastAsia="仿宋_GB2312" w:cs="Times New Roman"/>
          <w:kern w:val="0"/>
          <w:sz w:val="32"/>
          <w:szCs w:val="32"/>
        </w:rPr>
        <w:t>蓝山县塔峰镇第三完全小学是一个财政全额拨款的事业单位</w:t>
      </w:r>
      <w:r>
        <w:rPr>
          <w:rFonts w:hint="eastAsia" w:ascii="Times New Roman" w:hAnsi="Times New Roman" w:eastAsia="仿宋_GB2312" w:cs="Times New Roman"/>
          <w:kern w:val="0"/>
          <w:sz w:val="32"/>
          <w:szCs w:val="32"/>
          <w:lang w:eastAsia="zh-CN"/>
        </w:rPr>
        <w:t>，</w:t>
      </w:r>
      <w:r>
        <w:rPr>
          <w:rFonts w:hint="eastAsia" w:ascii="Times New Roman" w:hAnsi="Times New Roman" w:eastAsia="仿宋_GB2312" w:cs="Times New Roman"/>
          <w:kern w:val="0"/>
          <w:sz w:val="32"/>
          <w:szCs w:val="32"/>
          <w:lang w:val="en-US" w:eastAsia="zh-CN"/>
        </w:rPr>
        <w:t>无机关运行经费。</w:t>
      </w:r>
    </w:p>
    <w:p>
      <w:pPr>
        <w:spacing w:line="600" w:lineRule="exact"/>
        <w:ind w:firstLine="643" w:firstLineChars="200"/>
        <w:outlineLvl w:val="2"/>
        <w:rPr>
          <w:rFonts w:hint="eastAsia" w:ascii="楷体_GB2312" w:eastAsia="楷体_GB2312"/>
          <w:b/>
          <w:kern w:val="0"/>
          <w:sz w:val="32"/>
          <w:szCs w:val="32"/>
          <w:u w:val="none"/>
        </w:rPr>
      </w:pPr>
      <w:r>
        <w:rPr>
          <w:rFonts w:hint="eastAsia" w:ascii="楷体_GB2312" w:eastAsia="楷体_GB2312"/>
          <w:b/>
          <w:kern w:val="0"/>
          <w:sz w:val="32"/>
          <w:szCs w:val="32"/>
          <w:u w:val="none"/>
        </w:rPr>
        <w:t>（二）一般性支出情况</w:t>
      </w:r>
    </w:p>
    <w:p>
      <w:pPr>
        <w:spacing w:line="600" w:lineRule="exact"/>
        <w:ind w:firstLine="640" w:firstLineChars="200"/>
        <w:rPr>
          <w:rFonts w:hint="eastAsia" w:eastAsia="仿宋_GB2312"/>
          <w:sz w:val="32"/>
          <w:szCs w:val="32"/>
          <w:u w:val="none"/>
        </w:rPr>
      </w:pPr>
      <w:r>
        <w:rPr>
          <w:rFonts w:hint="eastAsia" w:eastAsia="仿宋_GB2312"/>
          <w:kern w:val="0"/>
          <w:sz w:val="32"/>
          <w:szCs w:val="32"/>
          <w:u w:val="none"/>
          <w:lang w:val="en-US" w:eastAsia="zh-CN"/>
        </w:rPr>
        <w:t>2023年</w:t>
      </w:r>
      <w:r>
        <w:rPr>
          <w:rFonts w:eastAsia="仿宋_GB2312"/>
          <w:kern w:val="0"/>
          <w:sz w:val="32"/>
          <w:szCs w:val="32"/>
          <w:u w:val="none"/>
        </w:rPr>
        <w:t>本部门开支会议费</w:t>
      </w:r>
      <w:r>
        <w:rPr>
          <w:rFonts w:hint="eastAsia" w:eastAsia="仿宋_GB2312"/>
          <w:sz w:val="32"/>
          <w:szCs w:val="32"/>
          <w:u w:val="none"/>
        </w:rPr>
        <w:t>0.55</w:t>
      </w:r>
      <w:r>
        <w:rPr>
          <w:rFonts w:eastAsia="仿宋_GB2312"/>
          <w:kern w:val="0"/>
          <w:sz w:val="32"/>
          <w:szCs w:val="32"/>
          <w:u w:val="none"/>
        </w:rPr>
        <w:t>万元，用于召开</w:t>
      </w:r>
      <w:r>
        <w:rPr>
          <w:rFonts w:hint="eastAsia" w:eastAsia="仿宋_GB2312"/>
          <w:kern w:val="0"/>
          <w:sz w:val="32"/>
          <w:szCs w:val="32"/>
          <w:u w:val="none"/>
        </w:rPr>
        <w:t>五年级统考及教师交流活动</w:t>
      </w:r>
      <w:r>
        <w:rPr>
          <w:rFonts w:eastAsia="仿宋_GB2312"/>
          <w:kern w:val="0"/>
          <w:sz w:val="32"/>
          <w:szCs w:val="32"/>
          <w:u w:val="none"/>
        </w:rPr>
        <w:t>会议，人数</w:t>
      </w:r>
      <w:r>
        <w:rPr>
          <w:rFonts w:hint="eastAsia" w:eastAsia="仿宋_GB2312"/>
          <w:sz w:val="32"/>
          <w:szCs w:val="32"/>
          <w:u w:val="none"/>
        </w:rPr>
        <w:t>59</w:t>
      </w:r>
      <w:r>
        <w:rPr>
          <w:rFonts w:eastAsia="仿宋_GB2312"/>
          <w:kern w:val="0"/>
          <w:sz w:val="32"/>
          <w:szCs w:val="32"/>
          <w:u w:val="none"/>
        </w:rPr>
        <w:t>人，内容为</w:t>
      </w:r>
      <w:r>
        <w:rPr>
          <w:rFonts w:hint="eastAsia" w:eastAsia="仿宋_GB2312"/>
          <w:kern w:val="0"/>
          <w:sz w:val="32"/>
          <w:szCs w:val="32"/>
          <w:u w:val="none"/>
        </w:rPr>
        <w:t>五年级统考及教师交流活动</w:t>
      </w:r>
      <w:r>
        <w:rPr>
          <w:rFonts w:eastAsia="仿宋_GB2312"/>
          <w:kern w:val="0"/>
          <w:sz w:val="32"/>
          <w:szCs w:val="32"/>
          <w:u w:val="none"/>
        </w:rPr>
        <w:t>；</w:t>
      </w:r>
      <w:r>
        <w:rPr>
          <w:rFonts w:hint="eastAsia" w:eastAsia="仿宋_GB2312"/>
          <w:sz w:val="32"/>
          <w:szCs w:val="32"/>
          <w:u w:val="none"/>
        </w:rPr>
        <w:t>本年度预算为2.15万元，支出比预算少1.6%，原因是学校</w:t>
      </w:r>
      <w:r>
        <w:rPr>
          <w:rFonts w:eastAsia="仿宋_GB2312"/>
          <w:sz w:val="32"/>
          <w:szCs w:val="32"/>
          <w:u w:val="none"/>
        </w:rPr>
        <w:t>控制了</w:t>
      </w:r>
      <w:r>
        <w:rPr>
          <w:rFonts w:eastAsia="仿宋_GB2312"/>
          <w:kern w:val="0"/>
          <w:sz w:val="32"/>
          <w:szCs w:val="32"/>
          <w:u w:val="none"/>
        </w:rPr>
        <w:t>会议费</w:t>
      </w:r>
      <w:r>
        <w:rPr>
          <w:rFonts w:eastAsia="仿宋_GB2312"/>
          <w:sz w:val="32"/>
          <w:szCs w:val="32"/>
          <w:u w:val="none"/>
        </w:rPr>
        <w:t>支出</w:t>
      </w:r>
      <w:r>
        <w:rPr>
          <w:rFonts w:hint="eastAsia" w:eastAsia="仿宋_GB2312"/>
          <w:sz w:val="32"/>
          <w:szCs w:val="32"/>
          <w:u w:val="none"/>
        </w:rPr>
        <w:t>。</w:t>
      </w:r>
    </w:p>
    <w:p>
      <w:pPr>
        <w:spacing w:line="600" w:lineRule="exact"/>
        <w:ind w:firstLine="640" w:firstLineChars="200"/>
        <w:rPr>
          <w:rFonts w:hint="eastAsia" w:eastAsia="仿宋_GB2312"/>
          <w:sz w:val="32"/>
          <w:szCs w:val="32"/>
          <w:u w:val="none"/>
        </w:rPr>
      </w:pPr>
      <w:r>
        <w:rPr>
          <w:rFonts w:eastAsia="仿宋_GB2312"/>
          <w:kern w:val="0"/>
          <w:sz w:val="32"/>
          <w:szCs w:val="32"/>
          <w:u w:val="none"/>
        </w:rPr>
        <w:t>开支培训费</w:t>
      </w:r>
      <w:r>
        <w:rPr>
          <w:rFonts w:hint="eastAsia" w:eastAsia="仿宋_GB2312"/>
          <w:sz w:val="32"/>
          <w:szCs w:val="32"/>
          <w:u w:val="none"/>
        </w:rPr>
        <w:t>3.02</w:t>
      </w:r>
      <w:r>
        <w:rPr>
          <w:rFonts w:eastAsia="仿宋_GB2312"/>
          <w:kern w:val="0"/>
          <w:sz w:val="32"/>
          <w:szCs w:val="32"/>
          <w:u w:val="none"/>
        </w:rPr>
        <w:t>万元，用于开展</w:t>
      </w:r>
      <w:r>
        <w:rPr>
          <w:rFonts w:hint="eastAsia" w:eastAsia="仿宋_GB2312"/>
          <w:kern w:val="0"/>
          <w:sz w:val="32"/>
          <w:szCs w:val="32"/>
          <w:u w:val="none"/>
        </w:rPr>
        <w:t>各项</w:t>
      </w:r>
      <w:r>
        <w:rPr>
          <w:rFonts w:eastAsia="仿宋_GB2312"/>
          <w:kern w:val="0"/>
          <w:sz w:val="32"/>
          <w:szCs w:val="32"/>
          <w:u w:val="none"/>
        </w:rPr>
        <w:t>培训，人数</w:t>
      </w:r>
      <w:r>
        <w:rPr>
          <w:rFonts w:hint="eastAsia" w:eastAsia="仿宋_GB2312"/>
          <w:sz w:val="32"/>
          <w:szCs w:val="32"/>
          <w:u w:val="none"/>
        </w:rPr>
        <w:t>25</w:t>
      </w:r>
      <w:r>
        <w:rPr>
          <w:rFonts w:eastAsia="仿宋_GB2312"/>
          <w:kern w:val="0"/>
          <w:sz w:val="32"/>
          <w:szCs w:val="32"/>
          <w:u w:val="none"/>
        </w:rPr>
        <w:t>人，内容为</w:t>
      </w:r>
      <w:r>
        <w:rPr>
          <w:rFonts w:hint="eastAsia" w:eastAsia="仿宋_GB2312"/>
          <w:kern w:val="0"/>
          <w:sz w:val="32"/>
          <w:szCs w:val="32"/>
          <w:u w:val="none"/>
        </w:rPr>
        <w:t>各项教师技能培训，</w:t>
      </w:r>
      <w:r>
        <w:rPr>
          <w:rFonts w:hint="eastAsia" w:eastAsia="仿宋_GB2312"/>
          <w:sz w:val="32"/>
          <w:szCs w:val="32"/>
          <w:u w:val="none"/>
        </w:rPr>
        <w:t>本年度预算为4.98万元，支出比预算少1.96%，原因是外出参加培训减少，培训</w:t>
      </w:r>
      <w:r>
        <w:rPr>
          <w:rFonts w:eastAsia="仿宋_GB2312"/>
          <w:sz w:val="32"/>
          <w:szCs w:val="32"/>
          <w:u w:val="none"/>
        </w:rPr>
        <w:t>支出</w:t>
      </w:r>
      <w:r>
        <w:rPr>
          <w:rFonts w:hint="eastAsia" w:eastAsia="仿宋_GB2312"/>
          <w:sz w:val="32"/>
          <w:szCs w:val="32"/>
          <w:u w:val="none"/>
        </w:rPr>
        <w:t>减少。</w:t>
      </w:r>
    </w:p>
    <w:p>
      <w:pPr>
        <w:spacing w:line="600" w:lineRule="exact"/>
        <w:ind w:firstLine="640" w:firstLineChars="200"/>
        <w:rPr>
          <w:rFonts w:hint="eastAsia" w:eastAsia="仿宋_GB2312"/>
          <w:kern w:val="0"/>
          <w:sz w:val="32"/>
          <w:szCs w:val="32"/>
          <w:u w:val="none"/>
          <w:lang w:eastAsia="zh-CN"/>
        </w:rPr>
      </w:pPr>
      <w:r>
        <w:rPr>
          <w:rFonts w:eastAsia="仿宋_GB2312"/>
          <w:kern w:val="0"/>
          <w:sz w:val="32"/>
          <w:szCs w:val="32"/>
        </w:rPr>
        <w:t>举办</w:t>
      </w:r>
      <w:r>
        <w:rPr>
          <w:rFonts w:hint="eastAsia" w:eastAsia="仿宋_GB2312"/>
          <w:kern w:val="0"/>
          <w:sz w:val="32"/>
          <w:szCs w:val="32"/>
          <w:lang w:val="en-US" w:eastAsia="zh-CN"/>
        </w:rPr>
        <w:t>0次</w:t>
      </w:r>
      <w:r>
        <w:rPr>
          <w:rFonts w:eastAsia="仿宋_GB2312"/>
          <w:kern w:val="0"/>
          <w:sz w:val="32"/>
          <w:szCs w:val="32"/>
        </w:rPr>
        <w:t>节庆、晚会、论坛、赛事活动，开支</w:t>
      </w:r>
      <w:r>
        <w:rPr>
          <w:rFonts w:hint="eastAsia" w:eastAsia="仿宋_GB2312"/>
          <w:sz w:val="32"/>
          <w:szCs w:val="32"/>
          <w:u w:val="single"/>
          <w:lang w:val="en-US" w:eastAsia="zh-CN"/>
        </w:rPr>
        <w:t>0</w:t>
      </w:r>
      <w:r>
        <w:rPr>
          <w:rFonts w:eastAsia="仿宋_GB2312"/>
          <w:kern w:val="0"/>
          <w:sz w:val="32"/>
          <w:szCs w:val="32"/>
        </w:rPr>
        <w:t>万元</w:t>
      </w:r>
      <w:r>
        <w:rPr>
          <w:rFonts w:hint="eastAsia" w:eastAsia="仿宋_GB2312"/>
          <w:kern w:val="0"/>
          <w:sz w:val="32"/>
          <w:szCs w:val="32"/>
          <w:lang w:eastAsia="zh-CN"/>
        </w:rPr>
        <w:t>。</w:t>
      </w:r>
    </w:p>
    <w:p>
      <w:pPr>
        <w:spacing w:line="600" w:lineRule="exact"/>
        <w:ind w:firstLine="643" w:firstLineChars="200"/>
        <w:outlineLvl w:val="2"/>
        <w:rPr>
          <w:rFonts w:hint="eastAsia" w:ascii="楷体_GB2312" w:eastAsia="楷体_GB2312"/>
          <w:b/>
          <w:kern w:val="0"/>
          <w:sz w:val="32"/>
          <w:szCs w:val="32"/>
          <w:u w:val="none"/>
        </w:rPr>
      </w:pPr>
      <w:r>
        <w:rPr>
          <w:rFonts w:hint="eastAsia" w:ascii="楷体_GB2312" w:eastAsia="楷体_GB2312"/>
          <w:b/>
          <w:kern w:val="0"/>
          <w:sz w:val="32"/>
          <w:szCs w:val="32"/>
          <w:u w:val="none"/>
        </w:rPr>
        <w:t>（三）政府采购支出情况</w:t>
      </w:r>
    </w:p>
    <w:p>
      <w:pPr>
        <w:spacing w:line="560" w:lineRule="atLeast"/>
        <w:ind w:firstLine="640" w:firstLineChars="200"/>
        <w:rPr>
          <w:rFonts w:eastAsia="仿宋_GB2312"/>
          <w:kern w:val="0"/>
          <w:sz w:val="32"/>
          <w:szCs w:val="32"/>
          <w:u w:val="none"/>
        </w:rPr>
      </w:pPr>
      <w:r>
        <w:rPr>
          <w:rFonts w:hint="eastAsia" w:ascii="仿宋_GB2312" w:hAnsi="仿宋_GB2312" w:eastAsia="仿宋_GB2312" w:cs="仿宋_GB2312"/>
          <w:color w:val="000000"/>
          <w:kern w:val="0"/>
          <w:sz w:val="32"/>
          <w:szCs w:val="32"/>
          <w:u w:val="none"/>
        </w:rPr>
        <w:t>本部门</w:t>
      </w:r>
      <w:r>
        <w:rPr>
          <w:rFonts w:eastAsia="仿宋_GB2312"/>
          <w:color w:val="000000"/>
          <w:kern w:val="0"/>
          <w:sz w:val="32"/>
          <w:szCs w:val="32"/>
          <w:u w:val="none"/>
        </w:rPr>
        <w:t>202</w:t>
      </w:r>
      <w:r>
        <w:rPr>
          <w:rFonts w:hint="eastAsia" w:eastAsia="仿宋_GB2312"/>
          <w:color w:val="000000"/>
          <w:kern w:val="0"/>
          <w:sz w:val="32"/>
          <w:szCs w:val="32"/>
          <w:u w:val="none"/>
        </w:rPr>
        <w:t>3</w:t>
      </w:r>
      <w:r>
        <w:rPr>
          <w:rFonts w:hint="eastAsia" w:ascii="仿宋_GB2312" w:hAnsi="仿宋_GB2312" w:eastAsia="仿宋_GB2312" w:cs="仿宋_GB2312"/>
          <w:color w:val="000000"/>
          <w:kern w:val="0"/>
          <w:sz w:val="32"/>
          <w:szCs w:val="32"/>
          <w:u w:val="none"/>
        </w:rPr>
        <w:t>年度办公用品、维修材料等物品的采购均为政采云线上平台采购。政府采购支出总额</w:t>
      </w:r>
      <w:r>
        <w:rPr>
          <w:rFonts w:hint="eastAsia" w:eastAsia="仿宋_GB2312"/>
          <w:sz w:val="32"/>
          <w:szCs w:val="32"/>
          <w:u w:val="none"/>
        </w:rPr>
        <w:t>49.28</w:t>
      </w:r>
      <w:r>
        <w:rPr>
          <w:rFonts w:hint="eastAsia" w:ascii="仿宋_GB2312" w:hAnsi="仿宋_GB2312" w:eastAsia="仿宋_GB2312" w:cs="仿宋_GB2312"/>
          <w:color w:val="000000"/>
          <w:kern w:val="0"/>
          <w:sz w:val="32"/>
          <w:szCs w:val="32"/>
          <w:u w:val="none"/>
        </w:rPr>
        <w:t>万元，其中：政府采购货物支出</w:t>
      </w:r>
      <w:r>
        <w:rPr>
          <w:rFonts w:hint="eastAsia" w:eastAsia="仿宋_GB2312"/>
          <w:color w:val="000000"/>
          <w:sz w:val="32"/>
          <w:szCs w:val="32"/>
          <w:u w:val="none"/>
        </w:rPr>
        <w:t>28.69</w:t>
      </w:r>
      <w:r>
        <w:rPr>
          <w:rFonts w:hint="eastAsia" w:ascii="仿宋_GB2312" w:hAnsi="仿宋_GB2312" w:eastAsia="仿宋_GB2312" w:cs="仿宋_GB2312"/>
          <w:color w:val="000000"/>
          <w:kern w:val="0"/>
          <w:sz w:val="32"/>
          <w:szCs w:val="32"/>
          <w:u w:val="none"/>
        </w:rPr>
        <w:t>万元、</w:t>
      </w:r>
      <w:r>
        <w:rPr>
          <w:rFonts w:eastAsia="仿宋_GB2312"/>
          <w:kern w:val="0"/>
          <w:sz w:val="32"/>
          <w:szCs w:val="32"/>
        </w:rPr>
        <w:t>政府采购工程支出</w:t>
      </w:r>
      <w:r>
        <w:rPr>
          <w:rFonts w:hint="eastAsia" w:eastAsia="仿宋_GB2312"/>
          <w:sz w:val="32"/>
          <w:szCs w:val="32"/>
          <w:u w:val="single"/>
          <w:lang w:val="en-US" w:eastAsia="zh-CN"/>
        </w:rPr>
        <w:t>0</w:t>
      </w:r>
      <w:r>
        <w:rPr>
          <w:rFonts w:eastAsia="仿宋_GB2312"/>
          <w:kern w:val="0"/>
          <w:sz w:val="32"/>
          <w:szCs w:val="32"/>
        </w:rPr>
        <w:t>万元</w:t>
      </w:r>
      <w:r>
        <w:rPr>
          <w:rFonts w:hint="eastAsia" w:eastAsia="仿宋_GB2312"/>
          <w:kern w:val="0"/>
          <w:sz w:val="32"/>
          <w:szCs w:val="32"/>
          <w:lang w:eastAsia="zh-CN"/>
        </w:rPr>
        <w:t>、</w:t>
      </w:r>
      <w:r>
        <w:rPr>
          <w:rFonts w:hint="eastAsia" w:ascii="仿宋_GB2312" w:hAnsi="仿宋_GB2312" w:eastAsia="仿宋_GB2312" w:cs="仿宋_GB2312"/>
          <w:color w:val="000000"/>
          <w:kern w:val="0"/>
          <w:sz w:val="32"/>
          <w:szCs w:val="32"/>
          <w:u w:val="none"/>
        </w:rPr>
        <w:t>政府采购服务支出</w:t>
      </w:r>
      <w:r>
        <w:rPr>
          <w:rFonts w:hint="eastAsia" w:eastAsia="仿宋_GB2312"/>
          <w:color w:val="000000"/>
          <w:sz w:val="32"/>
          <w:szCs w:val="32"/>
          <w:u w:val="none"/>
        </w:rPr>
        <w:t>20.39</w:t>
      </w:r>
      <w:r>
        <w:rPr>
          <w:rFonts w:hint="eastAsia" w:ascii="仿宋_GB2312" w:hAnsi="仿宋_GB2312" w:eastAsia="仿宋_GB2312" w:cs="仿宋_GB2312"/>
          <w:color w:val="000000"/>
          <w:kern w:val="0"/>
          <w:sz w:val="32"/>
          <w:szCs w:val="32"/>
          <w:u w:val="none"/>
        </w:rPr>
        <w:t>万元。授予中小企业合同金额</w:t>
      </w:r>
      <w:r>
        <w:rPr>
          <w:rFonts w:hint="eastAsia" w:eastAsia="仿宋_GB2312"/>
          <w:color w:val="000000"/>
          <w:sz w:val="32"/>
          <w:szCs w:val="32"/>
          <w:u w:val="none"/>
        </w:rPr>
        <w:t>48.06</w:t>
      </w:r>
      <w:r>
        <w:rPr>
          <w:rFonts w:hint="eastAsia" w:ascii="仿宋_GB2312" w:hAnsi="仿宋_GB2312" w:eastAsia="仿宋_GB2312" w:cs="仿宋_GB2312"/>
          <w:color w:val="000000"/>
          <w:kern w:val="0"/>
          <w:sz w:val="32"/>
          <w:szCs w:val="32"/>
          <w:u w:val="none"/>
        </w:rPr>
        <w:t>万元，占政府采购支出总额的</w:t>
      </w:r>
      <w:r>
        <w:rPr>
          <w:rFonts w:hint="eastAsia" w:eastAsia="仿宋_GB2312"/>
          <w:color w:val="000000"/>
          <w:sz w:val="32"/>
          <w:szCs w:val="32"/>
          <w:u w:val="none"/>
        </w:rPr>
        <w:t>97.52</w:t>
      </w:r>
      <w:r>
        <w:rPr>
          <w:rFonts w:eastAsia="仿宋_GB2312"/>
          <w:color w:val="000000"/>
          <w:sz w:val="32"/>
          <w:szCs w:val="32"/>
          <w:u w:val="none"/>
        </w:rPr>
        <w:t>%</w:t>
      </w:r>
      <w:r>
        <w:rPr>
          <w:rFonts w:hint="eastAsia" w:ascii="仿宋_GB2312" w:hAnsi="仿宋_GB2312" w:eastAsia="仿宋_GB2312" w:cs="仿宋_GB2312"/>
          <w:color w:val="000000"/>
          <w:kern w:val="0"/>
          <w:sz w:val="32"/>
          <w:szCs w:val="32"/>
          <w:u w:val="none"/>
        </w:rPr>
        <w:t>，其中：授予小微企业合同金额</w:t>
      </w:r>
      <w:r>
        <w:rPr>
          <w:rFonts w:hint="eastAsia" w:eastAsia="仿宋_GB2312"/>
          <w:color w:val="000000"/>
          <w:sz w:val="32"/>
          <w:szCs w:val="32"/>
          <w:u w:val="none"/>
        </w:rPr>
        <w:t>48.06</w:t>
      </w:r>
      <w:r>
        <w:rPr>
          <w:rFonts w:hint="eastAsia" w:ascii="仿宋_GB2312" w:hAnsi="仿宋_GB2312" w:eastAsia="仿宋_GB2312" w:cs="仿宋_GB2312"/>
          <w:color w:val="000000"/>
          <w:kern w:val="0"/>
          <w:sz w:val="32"/>
          <w:szCs w:val="32"/>
          <w:u w:val="none"/>
        </w:rPr>
        <w:t>元，占政府采购支出总额的</w:t>
      </w:r>
      <w:r>
        <w:rPr>
          <w:rFonts w:hint="eastAsia" w:eastAsia="仿宋_GB2312"/>
          <w:color w:val="000000"/>
          <w:sz w:val="32"/>
          <w:szCs w:val="32"/>
          <w:u w:val="none"/>
        </w:rPr>
        <w:t>97.52</w:t>
      </w:r>
      <w:r>
        <w:rPr>
          <w:rFonts w:eastAsia="仿宋_GB2312"/>
          <w:color w:val="000000"/>
          <w:sz w:val="32"/>
          <w:szCs w:val="32"/>
          <w:u w:val="none"/>
        </w:rPr>
        <w:t>%</w:t>
      </w:r>
      <w:r>
        <w:rPr>
          <w:rFonts w:hint="eastAsia" w:ascii="仿宋_GB2312" w:hAnsi="仿宋_GB2312" w:eastAsia="仿宋_GB2312" w:cs="仿宋_GB2312"/>
          <w:color w:val="000000"/>
          <w:kern w:val="0"/>
          <w:sz w:val="32"/>
          <w:szCs w:val="32"/>
          <w:u w:val="none"/>
        </w:rPr>
        <w:t>。</w:t>
      </w:r>
    </w:p>
    <w:p>
      <w:pPr>
        <w:spacing w:line="600" w:lineRule="exact"/>
        <w:ind w:firstLine="643" w:firstLineChars="200"/>
        <w:outlineLvl w:val="2"/>
        <w:rPr>
          <w:rFonts w:hint="eastAsia" w:ascii="楷体_GB2312" w:eastAsia="楷体_GB2312"/>
          <w:b/>
          <w:kern w:val="0"/>
          <w:sz w:val="32"/>
          <w:szCs w:val="32"/>
          <w:u w:val="none"/>
        </w:rPr>
      </w:pPr>
      <w:r>
        <w:rPr>
          <w:rFonts w:hint="eastAsia" w:ascii="楷体_GB2312" w:eastAsia="楷体_GB2312"/>
          <w:b/>
          <w:kern w:val="0"/>
          <w:sz w:val="32"/>
          <w:szCs w:val="32"/>
          <w:u w:val="none"/>
        </w:rPr>
        <w:t>（四）国有资产占用情况</w:t>
      </w:r>
    </w:p>
    <w:p>
      <w:pPr>
        <w:spacing w:line="600" w:lineRule="exact"/>
        <w:ind w:firstLine="640" w:firstLineChars="200"/>
        <w:rPr>
          <w:rFonts w:eastAsia="仿宋_GB2312"/>
          <w:kern w:val="0"/>
          <w:sz w:val="32"/>
          <w:szCs w:val="32"/>
          <w:u w:val="none"/>
        </w:rPr>
      </w:pPr>
      <w:r>
        <w:rPr>
          <w:rFonts w:eastAsia="仿宋_GB2312"/>
          <w:kern w:val="0"/>
          <w:sz w:val="32"/>
          <w:szCs w:val="32"/>
          <w:u w:val="none"/>
        </w:rPr>
        <w:t>截至</w:t>
      </w:r>
      <w:r>
        <w:rPr>
          <w:rFonts w:hint="eastAsia" w:eastAsia="仿宋_GB2312"/>
          <w:kern w:val="0"/>
          <w:sz w:val="32"/>
          <w:szCs w:val="32"/>
          <w:u w:val="none"/>
        </w:rPr>
        <w:t>2023</w:t>
      </w:r>
      <w:r>
        <w:rPr>
          <w:rFonts w:eastAsia="仿宋_GB2312"/>
          <w:kern w:val="0"/>
          <w:sz w:val="32"/>
          <w:szCs w:val="32"/>
          <w:u w:val="none"/>
        </w:rPr>
        <w:t>年12月31日，本单位共有车辆</w:t>
      </w:r>
      <w:r>
        <w:rPr>
          <w:rFonts w:hint="eastAsia" w:eastAsia="仿宋_GB2312"/>
          <w:sz w:val="32"/>
          <w:szCs w:val="32"/>
          <w:u w:val="none"/>
          <w:lang w:val="en-US" w:eastAsia="zh-CN"/>
        </w:rPr>
        <w:t>0</w:t>
      </w:r>
      <w:r>
        <w:rPr>
          <w:rFonts w:eastAsia="仿宋_GB2312"/>
          <w:kern w:val="0"/>
          <w:sz w:val="32"/>
          <w:szCs w:val="32"/>
          <w:u w:val="none"/>
        </w:rPr>
        <w:t>辆，其中，领导干部用车</w:t>
      </w:r>
      <w:r>
        <w:rPr>
          <w:rFonts w:hint="eastAsia" w:eastAsia="仿宋_GB2312"/>
          <w:sz w:val="32"/>
          <w:szCs w:val="32"/>
          <w:u w:val="none"/>
          <w:lang w:val="en-US" w:eastAsia="zh-CN"/>
        </w:rPr>
        <w:t>0</w:t>
      </w:r>
      <w:r>
        <w:rPr>
          <w:rFonts w:eastAsia="仿宋_GB2312"/>
          <w:kern w:val="0"/>
          <w:sz w:val="32"/>
          <w:szCs w:val="32"/>
          <w:u w:val="none"/>
        </w:rPr>
        <w:t>辆、机要通信用车</w:t>
      </w:r>
      <w:r>
        <w:rPr>
          <w:rFonts w:hint="eastAsia" w:eastAsia="仿宋_GB2312"/>
          <w:sz w:val="32"/>
          <w:szCs w:val="32"/>
          <w:u w:val="none"/>
          <w:lang w:val="en-US" w:eastAsia="zh-CN"/>
        </w:rPr>
        <w:t>0</w:t>
      </w:r>
      <w:r>
        <w:rPr>
          <w:rFonts w:eastAsia="仿宋_GB2312"/>
          <w:kern w:val="0"/>
          <w:sz w:val="32"/>
          <w:szCs w:val="32"/>
          <w:u w:val="none"/>
        </w:rPr>
        <w:t>辆、应急保障用车</w:t>
      </w:r>
      <w:r>
        <w:rPr>
          <w:rFonts w:hint="eastAsia" w:eastAsia="仿宋_GB2312"/>
          <w:sz w:val="32"/>
          <w:szCs w:val="32"/>
          <w:u w:val="none"/>
          <w:lang w:val="en-US" w:eastAsia="zh-CN"/>
        </w:rPr>
        <w:t>0</w:t>
      </w:r>
      <w:r>
        <w:rPr>
          <w:rFonts w:eastAsia="仿宋_GB2312"/>
          <w:kern w:val="0"/>
          <w:sz w:val="32"/>
          <w:szCs w:val="32"/>
          <w:u w:val="none"/>
        </w:rPr>
        <w:t>辆、执法执勤用车</w:t>
      </w:r>
      <w:r>
        <w:rPr>
          <w:rFonts w:hint="eastAsia" w:eastAsia="仿宋_GB2312"/>
          <w:sz w:val="32"/>
          <w:szCs w:val="32"/>
          <w:u w:val="none"/>
          <w:lang w:val="en-US" w:eastAsia="zh-CN"/>
        </w:rPr>
        <w:t>0</w:t>
      </w:r>
      <w:r>
        <w:rPr>
          <w:rFonts w:eastAsia="仿宋_GB2312"/>
          <w:kern w:val="0"/>
          <w:sz w:val="32"/>
          <w:szCs w:val="32"/>
          <w:u w:val="none"/>
        </w:rPr>
        <w:t>辆、特种专业技术用车</w:t>
      </w:r>
      <w:r>
        <w:rPr>
          <w:rFonts w:hint="eastAsia" w:eastAsia="仿宋_GB2312"/>
          <w:sz w:val="32"/>
          <w:szCs w:val="32"/>
          <w:u w:val="none"/>
          <w:lang w:val="en-US" w:eastAsia="zh-CN"/>
        </w:rPr>
        <w:t>0</w:t>
      </w:r>
      <w:r>
        <w:rPr>
          <w:rFonts w:eastAsia="仿宋_GB2312"/>
          <w:kern w:val="0"/>
          <w:sz w:val="32"/>
          <w:szCs w:val="32"/>
          <w:u w:val="none"/>
        </w:rPr>
        <w:t>辆、其他用车</w:t>
      </w:r>
      <w:r>
        <w:rPr>
          <w:rFonts w:hint="eastAsia" w:eastAsia="仿宋_GB2312"/>
          <w:sz w:val="32"/>
          <w:szCs w:val="32"/>
          <w:u w:val="none"/>
          <w:lang w:val="en-US" w:eastAsia="zh-CN"/>
        </w:rPr>
        <w:t>0</w:t>
      </w:r>
      <w:r>
        <w:rPr>
          <w:rFonts w:eastAsia="仿宋_GB2312"/>
          <w:kern w:val="0"/>
          <w:sz w:val="32"/>
          <w:szCs w:val="32"/>
          <w:u w:val="none"/>
        </w:rPr>
        <w:t>辆；单位价值50万元以上通用设备</w:t>
      </w:r>
      <w:r>
        <w:rPr>
          <w:rFonts w:hint="eastAsia" w:eastAsia="仿宋_GB2312"/>
          <w:sz w:val="32"/>
          <w:szCs w:val="32"/>
          <w:u w:val="none"/>
          <w:lang w:val="en-US" w:eastAsia="zh-CN"/>
        </w:rPr>
        <w:t>0</w:t>
      </w:r>
      <w:r>
        <w:rPr>
          <w:rFonts w:eastAsia="仿宋_GB2312"/>
          <w:kern w:val="0"/>
          <w:sz w:val="32"/>
          <w:szCs w:val="32"/>
          <w:u w:val="none"/>
        </w:rPr>
        <w:t>台（套）；单位价值100万元以上专用设备</w:t>
      </w:r>
      <w:r>
        <w:rPr>
          <w:rFonts w:hint="eastAsia" w:eastAsia="仿宋_GB2312"/>
          <w:sz w:val="32"/>
          <w:szCs w:val="32"/>
          <w:u w:val="none"/>
          <w:lang w:val="en-US" w:eastAsia="zh-CN"/>
        </w:rPr>
        <w:t>0</w:t>
      </w:r>
      <w:r>
        <w:rPr>
          <w:rFonts w:eastAsia="仿宋_GB2312"/>
          <w:kern w:val="0"/>
          <w:sz w:val="32"/>
          <w:szCs w:val="32"/>
          <w:u w:val="none"/>
        </w:rPr>
        <w:t>台（套）。</w:t>
      </w:r>
    </w:p>
    <w:p>
      <w:pPr>
        <w:widowControl/>
        <w:spacing w:line="600" w:lineRule="exact"/>
        <w:jc w:val="left"/>
        <w:rPr>
          <w:rFonts w:hint="eastAsia" w:eastAsia="仿宋_GB2312"/>
          <w:color w:val="000000"/>
          <w:kern w:val="0"/>
          <w:sz w:val="32"/>
          <w:szCs w:val="32"/>
          <w:u w:val="none"/>
        </w:rPr>
      </w:pPr>
    </w:p>
    <w:p>
      <w:pPr>
        <w:pStyle w:val="5"/>
        <w:jc w:val="center"/>
        <w:rPr>
          <w:rFonts w:hint="eastAsia"/>
          <w:sz w:val="72"/>
          <w:szCs w:val="72"/>
        </w:rPr>
      </w:pPr>
    </w:p>
    <w:p>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br w:type="page"/>
      </w:r>
      <w:r>
        <w:rPr>
          <w:rFonts w:hint="eastAsia" w:ascii="黑体" w:hAnsi="黑体" w:eastAsia="黑体" w:cs="黑体"/>
          <w:b/>
          <w:kern w:val="0"/>
          <w:sz w:val="44"/>
          <w:szCs w:val="44"/>
        </w:rPr>
        <w:t>第四部分 名词解释</w:t>
      </w:r>
    </w:p>
    <w:p>
      <w:pPr>
        <w:widowControl/>
        <w:jc w:val="left"/>
        <w:rPr>
          <w:rFonts w:hint="eastAsia" w:ascii="宋体" w:hAnsi="宋体" w:cs="黑体"/>
          <w:color w:val="000000"/>
          <w:kern w:val="0"/>
          <w:sz w:val="32"/>
          <w:szCs w:val="32"/>
        </w:rPr>
      </w:pPr>
    </w:p>
    <w:p>
      <w:pPr>
        <w:spacing w:line="560" w:lineRule="atLeast"/>
        <w:ind w:firstLine="643" w:firstLineChars="200"/>
        <w:rPr>
          <w:rFonts w:hint="eastAsia"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（一）机关运行经费</w:t>
      </w:r>
      <w:r>
        <w:rPr>
          <w:rFonts w:hint="eastAsia" w:ascii="仿宋_GB2312" w:hAnsi="仿宋_GB2312" w:eastAsia="仿宋_GB2312" w:cs="仿宋_GB2312"/>
          <w:color w:val="000000"/>
          <w:sz w:val="32"/>
          <w:szCs w:val="32"/>
          <w:shd w:val="clear" w:color="auto" w:fill="FFFFFF"/>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spacing w:line="560" w:lineRule="atLeast"/>
        <w:ind w:firstLine="643" w:firstLineChars="200"/>
        <w:rPr>
          <w:rFonts w:hint="eastAsia" w:ascii="楷体_GB2312" w:hAnsi="楷体_GB2312" w:eastAsia="楷体_GB2312" w:cs="楷体_GB2312"/>
          <w:b/>
          <w:bCs/>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（二）“三公”经费。</w:t>
      </w:r>
      <w:r>
        <w:rPr>
          <w:rFonts w:hint="eastAsia" w:ascii="仿宋_GB2312" w:hAnsi="仿宋_GB2312" w:eastAsia="仿宋_GB2312" w:cs="仿宋_GB2312"/>
          <w:color w:val="000000"/>
          <w:sz w:val="32"/>
          <w:szCs w:val="32"/>
          <w:shd w:val="clear" w:color="auto" w:fill="FFFFFF"/>
        </w:rPr>
        <w:t>纳入财政预决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按规定开支的各类公务接待(含外宾接待)支出。</w:t>
      </w:r>
    </w:p>
    <w:p>
      <w:pPr>
        <w:spacing w:line="560" w:lineRule="atLeast"/>
        <w:ind w:firstLine="643" w:firstLineChars="200"/>
        <w:rPr>
          <w:rFonts w:hint="eastAsia"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（三）基本支出。</w:t>
      </w:r>
      <w:r>
        <w:rPr>
          <w:rFonts w:hint="eastAsia" w:ascii="仿宋_GB2312" w:hAnsi="仿宋_GB2312" w:eastAsia="仿宋_GB2312" w:cs="仿宋_GB2312"/>
          <w:color w:val="000000"/>
          <w:sz w:val="32"/>
          <w:szCs w:val="32"/>
          <w:shd w:val="clear" w:color="auto" w:fill="FFFFFF"/>
        </w:rPr>
        <w:t>指为保障机构正常运转、完成日常工作任务而发生的人员支出和公用支出。</w:t>
      </w:r>
    </w:p>
    <w:p>
      <w:pPr>
        <w:spacing w:line="560" w:lineRule="atLeast"/>
        <w:ind w:firstLine="643" w:firstLineChars="200"/>
        <w:rPr>
          <w:rFonts w:hint="eastAsia"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（四）项目支出。</w:t>
      </w:r>
      <w:r>
        <w:rPr>
          <w:rFonts w:hint="eastAsia" w:ascii="仿宋_GB2312" w:hAnsi="仿宋_GB2312" w:eastAsia="仿宋_GB2312" w:cs="仿宋_GB2312"/>
          <w:color w:val="000000"/>
          <w:sz w:val="32"/>
          <w:szCs w:val="32"/>
          <w:shd w:val="clear" w:color="auto" w:fill="FFFFFF"/>
        </w:rPr>
        <w:t>指在基本支出之外为完成特定行政任务和事业发展目标所发生的支出。</w:t>
      </w:r>
    </w:p>
    <w:p>
      <w:pPr>
        <w:widowControl/>
        <w:jc w:val="left"/>
        <w:rPr>
          <w:rFonts w:ascii="宋体" w:hAnsi="宋体" w:cs="黑体"/>
          <w:color w:val="000000"/>
          <w:kern w:val="0"/>
          <w:sz w:val="32"/>
          <w:szCs w:val="32"/>
        </w:rPr>
      </w:pPr>
    </w:p>
    <w:p>
      <w:pPr>
        <w:widowControl/>
        <w:jc w:val="left"/>
        <w:rPr>
          <w:rFonts w:hint="eastAsia" w:ascii="宋体" w:hAnsi="宋体"/>
          <w:i/>
          <w:color w:val="FF0000"/>
          <w:kern w:val="0"/>
          <w:sz w:val="32"/>
          <w:szCs w:val="32"/>
        </w:rPr>
      </w:pPr>
    </w:p>
    <w:p>
      <w:pPr>
        <w:widowControl/>
        <w:spacing w:line="600" w:lineRule="exact"/>
        <w:jc w:val="center"/>
        <w:rPr>
          <w:rFonts w:hint="eastAsia" w:eastAsia="方正小标宋_GBK"/>
          <w:bCs/>
          <w:kern w:val="0"/>
          <w:sz w:val="36"/>
          <w:szCs w:val="36"/>
        </w:rPr>
      </w:pPr>
    </w:p>
    <w:p>
      <w:pPr>
        <w:widowControl/>
        <w:spacing w:line="600" w:lineRule="exact"/>
        <w:jc w:val="center"/>
        <w:outlineLvl w:val="0"/>
        <w:rPr>
          <w:rFonts w:hint="eastAsia" w:ascii="黑体" w:hAnsi="黑体" w:eastAsia="黑体" w:cs="黑体"/>
          <w:b/>
          <w:kern w:val="0"/>
          <w:sz w:val="44"/>
          <w:szCs w:val="44"/>
        </w:rPr>
      </w:pPr>
      <w:r>
        <w:rPr>
          <w:rFonts w:hint="eastAsia" w:ascii="黑体" w:hAnsi="黑体" w:eastAsia="黑体" w:cs="黑体"/>
          <w:b/>
          <w:kern w:val="0"/>
          <w:sz w:val="44"/>
          <w:szCs w:val="44"/>
        </w:rPr>
        <w:br w:type="page"/>
      </w:r>
      <w:r>
        <w:rPr>
          <w:rFonts w:hint="eastAsia" w:ascii="黑体" w:hAnsi="黑体" w:eastAsia="黑体" w:cs="黑体"/>
          <w:b/>
          <w:kern w:val="0"/>
          <w:sz w:val="44"/>
          <w:szCs w:val="44"/>
        </w:rPr>
        <w:t>第五部分 附件</w:t>
      </w:r>
    </w:p>
    <w:p>
      <w:pPr>
        <w:widowControl/>
        <w:spacing w:line="600" w:lineRule="exact"/>
        <w:jc w:val="center"/>
        <w:rPr>
          <w:rFonts w:ascii="黑体" w:hAnsi="黑体" w:eastAsia="黑体"/>
          <w:bCs/>
          <w:kern w:val="0"/>
          <w:sz w:val="32"/>
          <w:szCs w:val="32"/>
        </w:rPr>
      </w:pPr>
      <w:r>
        <w:rPr>
          <w:rFonts w:hint="eastAsia" w:ascii="黑体" w:hAnsi="黑体" w:eastAsia="黑体" w:cs="黑体"/>
          <w:color w:val="000000"/>
          <w:kern w:val="0"/>
          <w:sz w:val="32"/>
          <w:szCs w:val="32"/>
        </w:rPr>
        <w:t xml:space="preserve"> </w:t>
      </w:r>
      <w:r>
        <w:rPr>
          <w:rFonts w:hint="eastAsia" w:ascii="黑体" w:hAnsi="黑体" w:eastAsia="黑体"/>
          <w:bCs/>
          <w:kern w:val="0"/>
          <w:sz w:val="32"/>
          <w:szCs w:val="32"/>
        </w:rPr>
        <w:t>蓝山县塔峰镇第三完小2023年度部门整体支出             绩效评价情况报告</w:t>
      </w:r>
    </w:p>
    <w:p>
      <w:pPr>
        <w:shd w:val="clear" w:color="auto" w:fill="FFFFFF"/>
        <w:spacing w:line="560" w:lineRule="exact"/>
        <w:jc w:val="both"/>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为进一步规范财政资金管理，牢固树立预算绩效理念，强化支出责任，提高财政资金使用效益，我们根据《蓝山县关于全面推进预算绩效管理的实施意见》，结合我局的具体情况，认真组织开展了2023年度部门绩效自评工作，现将我部门2023年度部门整体支出绩效评价情况报告如下：</w:t>
      </w:r>
    </w:p>
    <w:p>
      <w:pPr>
        <w:spacing w:line="600" w:lineRule="exact"/>
        <w:rPr>
          <w:rFonts w:ascii="黑体" w:hAnsi="黑体" w:eastAsia="黑体" w:cs="楷体_GB2312"/>
          <w:b/>
          <w:bCs/>
          <w:color w:val="000000"/>
          <w:sz w:val="32"/>
          <w:szCs w:val="32"/>
          <w:shd w:val="clear" w:color="auto" w:fill="FFFFFF"/>
        </w:rPr>
      </w:pPr>
      <w:r>
        <w:rPr>
          <w:rFonts w:hint="eastAsia" w:ascii="黑体" w:hAnsi="黑体" w:eastAsia="黑体" w:cs="仿宋_GB2312"/>
          <w:color w:val="000000"/>
          <w:sz w:val="32"/>
          <w:szCs w:val="32"/>
          <w:shd w:val="clear" w:color="auto" w:fill="FFFFFF"/>
        </w:rPr>
        <w:t xml:space="preserve">     </w:t>
      </w:r>
      <w:r>
        <w:rPr>
          <w:rFonts w:hint="eastAsia" w:ascii="黑体" w:hAnsi="黑体" w:eastAsia="黑体" w:cs="楷体_GB2312"/>
          <w:b/>
          <w:bCs/>
          <w:color w:val="000000"/>
          <w:sz w:val="32"/>
          <w:szCs w:val="32"/>
          <w:shd w:val="clear" w:color="auto" w:fill="FFFFFF"/>
        </w:rPr>
        <w:t>一、单位概况</w:t>
      </w:r>
    </w:p>
    <w:p>
      <w:pPr>
        <w:spacing w:line="600" w:lineRule="exact"/>
        <w:rPr>
          <w:rFonts w:ascii="楷体_GB2312" w:hAnsi="楷体_GB2312" w:eastAsia="楷体_GB2312" w:cs="楷体_GB2312"/>
          <w:b/>
          <w:bCs/>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w:t>
      </w:r>
      <w:r>
        <w:rPr>
          <w:rFonts w:hint="eastAsia" w:ascii="楷体_GB2312" w:hAnsi="楷体_GB2312" w:eastAsia="楷体_GB2312" w:cs="楷体_GB2312"/>
          <w:b/>
          <w:bCs/>
          <w:color w:val="000000"/>
          <w:sz w:val="32"/>
          <w:szCs w:val="32"/>
          <w:shd w:val="clear" w:color="auto" w:fill="FFFFFF"/>
        </w:rPr>
        <w:t>（一）基本情况</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1.蓝山县三完小是一个财政全额拨款的事业单位，单位现有校长一名，副校长3名，现有下设机构四个：工会委员会一个，设有工会主席一名;教务处一个，设有教务主任一名，副教导主任一名,政教副主任一名；学校少先队一个，设有辅导员一名；财务室一个，设有会计一名，出纳一名。</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2.学生情况：2023年上期学生1526人，学校班级30个。2023年下期学生1200人，学校班级24个。</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3.人员情况：我校现有教职工68人，（其中在职在编教师68人），退休教师48人。</w:t>
      </w:r>
    </w:p>
    <w:p>
      <w:pPr>
        <w:spacing w:line="600" w:lineRule="exact"/>
        <w:rPr>
          <w:rFonts w:ascii="楷体_GB2312" w:hAnsi="楷体_GB2312" w:eastAsia="楷体_GB2312" w:cs="楷体_GB2312"/>
          <w:b/>
          <w:bCs/>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w:t>
      </w:r>
      <w:r>
        <w:rPr>
          <w:rFonts w:hint="eastAsia" w:ascii="楷体_GB2312" w:hAnsi="楷体_GB2312" w:eastAsia="楷体_GB2312" w:cs="楷体_GB2312"/>
          <w:b/>
          <w:bCs/>
          <w:color w:val="000000"/>
          <w:sz w:val="32"/>
          <w:szCs w:val="32"/>
          <w:shd w:val="clear" w:color="auto" w:fill="FFFFFF"/>
        </w:rPr>
        <w:t>（二）当年取得的主要事业成效</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实施小学义务教育，促进基础义务教育的发展。进行小学学历教育，搞好教育教学工作。</w:t>
      </w:r>
    </w:p>
    <w:p>
      <w:pPr>
        <w:spacing w:line="240" w:lineRule="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 xml:space="preserve">    在教育教学管理方面，认真贯彻落实《关于进一步减轻义务教育阶段学生作业负担和校外培训负担的意见》文件精神和“五项管理”工作要求。 以维护学生安全和校园稳定为中心，以平安校园建设和校园周边环境治理为重点，强化校园内部安全管理。加强校园疫情防控工作，成立疫情防控工作领导小组，制定疫情防控工作实施方案、应急预案，明确工作责任，落实防控工作措施，做实摸排工作，强化值班值守，加强宣传引导，组织全体师生打好疫情防控阻击战。坚持党建引领，认真开展好“三会一课”和主题党日活动，深入开展“党史教育”“五个一”学习</w:t>
      </w:r>
      <w:r>
        <w:rPr>
          <w:rFonts w:hint="eastAsia" w:ascii="仿宋_GB2312" w:hAnsi="仿宋_GB2312" w:eastAsia="仿宋_GB2312" w:cs="仿宋_GB2312"/>
          <w:color w:val="auto"/>
          <w:sz w:val="32"/>
          <w:szCs w:val="32"/>
          <w:shd w:val="clear" w:color="auto" w:fill="FFFFFF"/>
          <w:lang w:eastAsia="zh-CN"/>
        </w:rPr>
        <w:t>党的</w:t>
      </w:r>
      <w:r>
        <w:rPr>
          <w:rFonts w:hint="eastAsia" w:ascii="仿宋_GB2312" w:hAnsi="仿宋_GB2312" w:eastAsia="仿宋_GB2312" w:cs="仿宋_GB2312"/>
          <w:color w:val="auto"/>
          <w:sz w:val="32"/>
          <w:szCs w:val="32"/>
          <w:shd w:val="clear" w:color="auto" w:fill="FFFFFF"/>
        </w:rPr>
        <w:t>二十大精神等活动。 坚持以德育为核心，以培养创新精神和实践能力为重点，围绕“抓落实、促规范、创特色”改进作风，创新观念，狠抓养成教育，以爱国主义教育为主线，以少先队活动为载</w:t>
      </w:r>
      <w:bookmarkStart w:id="5" w:name="_GoBack"/>
      <w:bookmarkEnd w:id="5"/>
      <w:r>
        <w:rPr>
          <w:rFonts w:hint="eastAsia" w:ascii="仿宋_GB2312" w:hAnsi="仿宋_GB2312" w:eastAsia="仿宋_GB2312" w:cs="仿宋_GB2312"/>
          <w:color w:val="auto"/>
          <w:sz w:val="32"/>
          <w:szCs w:val="32"/>
          <w:shd w:val="clear" w:color="auto" w:fill="FFFFFF"/>
        </w:rPr>
        <w:t>体，全面开展了丰富多彩、富有成效的少先队教育活动，使少年儿童在少先队组织中健康成长，全面提高少年儿童的综合素质。结合我校实际，开展了主题班会、谈心谈话、家访和专题讲座等形式多样的心理健康教育活动。 通过开展一系列师德教育活动，切实提高教师的思想政治素质，增强“四个意识”，坚定“四个自信”，坚决做到“两个维护”；提高政治站位，坚定职业信仰。</w:t>
      </w:r>
    </w:p>
    <w:p>
      <w:pPr>
        <w:spacing w:line="600" w:lineRule="exact"/>
        <w:rPr>
          <w:rFonts w:ascii="楷体_GB2312" w:hAnsi="楷体_GB2312" w:eastAsia="楷体_GB2312" w:cs="楷体_GB2312"/>
          <w:b/>
          <w:bCs/>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w:t>
      </w:r>
      <w:r>
        <w:rPr>
          <w:rFonts w:hint="eastAsia" w:ascii="楷体_GB2312" w:hAnsi="楷体_GB2312" w:eastAsia="楷体_GB2312" w:cs="楷体_GB2312"/>
          <w:b/>
          <w:bCs/>
          <w:color w:val="000000"/>
          <w:sz w:val="32"/>
          <w:szCs w:val="32"/>
          <w:shd w:val="clear" w:color="auto" w:fill="FFFFFF"/>
        </w:rPr>
        <w:t>（三）部门整体收支出概况:</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2023年部门收支完成情况：2023年度本部门安排预算收入956.09万元，安排预算支出956.09万元；</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1、收入：决算总收入1150.33万元，其中财政拨款收入1150.33万元，其他收入0万元；</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2、支出：决算总支出1150.33万元，其中财政拨款支出1150.33万元，非财政拨款支出0万元；项目支出0万元。</w:t>
      </w:r>
    </w:p>
    <w:p>
      <w:pPr>
        <w:spacing w:line="600" w:lineRule="exact"/>
        <w:rPr>
          <w:rFonts w:ascii="黑体" w:hAnsi="黑体" w:eastAsia="黑体"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w:t>
      </w:r>
      <w:r>
        <w:rPr>
          <w:rFonts w:hint="eastAsia" w:ascii="黑体" w:hAnsi="黑体" w:eastAsia="黑体" w:cs="仿宋_GB2312"/>
          <w:color w:val="000000"/>
          <w:sz w:val="32"/>
          <w:szCs w:val="32"/>
          <w:shd w:val="clear" w:color="auto" w:fill="FFFFFF"/>
        </w:rPr>
        <w:t xml:space="preserve">   二、整体支出管理及使用情况</w:t>
      </w:r>
    </w:p>
    <w:p>
      <w:pPr>
        <w:spacing w:line="600" w:lineRule="exact"/>
        <w:rPr>
          <w:rFonts w:ascii="楷体_GB2312" w:hAnsi="楷体_GB2312" w:eastAsia="楷体_GB2312" w:cs="楷体_GB2312"/>
          <w:b/>
          <w:bCs/>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w:t>
      </w:r>
      <w:r>
        <w:rPr>
          <w:rFonts w:hint="eastAsia" w:ascii="楷体_GB2312" w:hAnsi="楷体_GB2312" w:eastAsia="楷体_GB2312" w:cs="楷体_GB2312"/>
          <w:b/>
          <w:bCs/>
          <w:color w:val="000000"/>
          <w:sz w:val="32"/>
          <w:szCs w:val="32"/>
          <w:shd w:val="clear" w:color="auto" w:fill="FFFFFF"/>
        </w:rPr>
        <w:t>（一）基本支出管理情况</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1、根据上级文件批复，2023年我部门预算支出956.09万元其中：“三公”经费支出控制数0.5万元，其中：公务接待费0.5万元，公务用车经费（公车运行维护费）0万元。</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2、基本支出决算执行情况：2023年我部门决算支出1150.33万元，其中：工资福利支出948.07万万元，商品和服务支出129万元，对个人和家庭的补助支出39.16万元，“三公”经费支出控制数0万元，其中：公务接待费0万元，公务用车经费（公车运行维护费）0万元。</w:t>
      </w:r>
    </w:p>
    <w:p>
      <w:pPr>
        <w:spacing w:line="600" w:lineRule="exact"/>
        <w:rPr>
          <w:rFonts w:ascii="楷体_GB2312" w:hAnsi="楷体_GB2312" w:eastAsia="楷体_GB2312" w:cs="楷体_GB2312"/>
          <w:b/>
          <w:bCs/>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w:t>
      </w:r>
      <w:r>
        <w:rPr>
          <w:rFonts w:hint="eastAsia" w:ascii="楷体_GB2312" w:hAnsi="楷体_GB2312" w:eastAsia="楷体_GB2312" w:cs="楷体_GB2312"/>
          <w:b/>
          <w:bCs/>
          <w:color w:val="000000"/>
          <w:sz w:val="32"/>
          <w:szCs w:val="32"/>
          <w:shd w:val="clear" w:color="auto" w:fill="FFFFFF"/>
        </w:rPr>
        <w:t>（二）“三公经费”支出和使用情况</w:t>
      </w:r>
    </w:p>
    <w:p>
      <w:pPr>
        <w:spacing w:line="600" w:lineRule="exact"/>
        <w:rPr>
          <w:rFonts w:ascii="仿宋_GB2312" w:hAnsi="仿宋_GB2312" w:eastAsia="仿宋_GB2312" w:cs="仿宋_GB2312"/>
          <w:color w:val="000000"/>
          <w:sz w:val="32"/>
          <w:szCs w:val="32"/>
          <w:shd w:val="clear" w:color="auto" w:fill="FFFFFF"/>
        </w:rPr>
      </w:pPr>
      <w:r>
        <w:rPr>
          <w:rFonts w:hint="eastAsia"/>
        </w:rPr>
        <w:t xml:space="preserve">   </w:t>
      </w:r>
      <w:r>
        <w:rPr>
          <w:rFonts w:hint="eastAsia" w:ascii="仿宋_GB2312" w:hAnsi="仿宋_GB2312" w:eastAsia="仿宋_GB2312" w:cs="仿宋_GB2312"/>
          <w:color w:val="000000"/>
          <w:sz w:val="32"/>
          <w:szCs w:val="32"/>
          <w:shd w:val="clear" w:color="auto" w:fill="FFFFFF"/>
        </w:rPr>
        <w:t xml:space="preserve"> 1、2023年“三公经费”预算数0.5万元，其中：公务接待费0.5万元，公务用车运行费0万元，公务用车购置费0万元，因公出国（境）费0万元。</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2、2023年“三公经费”执行情况：2023年“三公经费”决算数0万元，其中：其中：公务接待费0万元，公务用车运行费0万元，公务用车购置费0万元，因公出国（境）费0万元。</w:t>
      </w:r>
    </w:p>
    <w:p>
      <w:pPr>
        <w:spacing w:line="600" w:lineRule="exact"/>
        <w:rPr>
          <w:rFonts w:ascii="楷体_GB2312" w:hAnsi="楷体_GB2312" w:eastAsia="楷体_GB2312" w:cs="楷体_GB2312"/>
          <w:b/>
          <w:bCs/>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w:t>
      </w:r>
      <w:r>
        <w:rPr>
          <w:rFonts w:hint="eastAsia" w:ascii="楷体_GB2312" w:hAnsi="楷体_GB2312" w:eastAsia="楷体_GB2312" w:cs="楷体_GB2312"/>
          <w:b/>
          <w:bCs/>
          <w:color w:val="000000"/>
          <w:sz w:val="32"/>
          <w:szCs w:val="32"/>
          <w:shd w:val="clear" w:color="auto" w:fill="FFFFFF"/>
        </w:rPr>
        <w:t>（三）项目支出管理和使用情况</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2023年我部门项目绩效目标为0万元，实际执行0万元。</w:t>
      </w:r>
    </w:p>
    <w:p>
      <w:pPr>
        <w:spacing w:line="600" w:lineRule="exact"/>
        <w:rPr>
          <w:rFonts w:ascii="黑体" w:hAnsi="黑体" w:eastAsia="黑体" w:cs="仿宋_GB2312"/>
          <w:color w:val="000000"/>
          <w:sz w:val="32"/>
          <w:szCs w:val="32"/>
          <w:shd w:val="clear" w:color="auto" w:fill="FFFFFF"/>
        </w:rPr>
      </w:pPr>
      <w:r>
        <w:rPr>
          <w:rFonts w:hint="eastAsia" w:ascii="黑体" w:hAnsi="黑体" w:eastAsia="黑体"/>
        </w:rPr>
        <w:t xml:space="preserve">    </w:t>
      </w:r>
      <w:r>
        <w:rPr>
          <w:rFonts w:hint="eastAsia" w:ascii="黑体" w:hAnsi="黑体" w:eastAsia="黑体" w:cs="仿宋_GB2312"/>
          <w:color w:val="000000"/>
          <w:sz w:val="32"/>
          <w:szCs w:val="32"/>
          <w:shd w:val="clear" w:color="auto" w:fill="FFFFFF"/>
        </w:rPr>
        <w:t xml:space="preserve"> 三、绩效评价工作组织实施情况</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根据绩效评价的要求，我们成立了自评工作领导小组，对照自评方案进行研究和布署，按照自评方案的要求，对照各实施项目的内容逐条逐项自评。在自评过程发现问题，查找原因，及时纠正偏差，为下一步工作夯实基础。</w:t>
      </w:r>
    </w:p>
    <w:p>
      <w:pPr>
        <w:spacing w:line="600" w:lineRule="exact"/>
        <w:rPr>
          <w:rFonts w:ascii="黑体" w:hAnsi="黑体" w:eastAsia="黑体"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w:t>
      </w:r>
      <w:r>
        <w:rPr>
          <w:rFonts w:hint="eastAsia" w:ascii="黑体" w:hAnsi="黑体" w:eastAsia="黑体" w:cs="仿宋_GB2312"/>
          <w:color w:val="000000"/>
          <w:sz w:val="32"/>
          <w:szCs w:val="32"/>
          <w:shd w:val="clear" w:color="auto" w:fill="FFFFFF"/>
        </w:rPr>
        <w:t xml:space="preserve">   四、整体支出绩效情况</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从整体情况来看，我部门严格按照年初预算进行部门整体支出。在支出过程中，能严格遵守各项规章制度。实行了先有预算、后有执行、“用钱必问效、无效必问责”的新常态。社会和公众满意度较高。根据对我单位2023年部门整体支出项目绩效评价指标体系和绩效情况的检查，2023年我单位部门整体绩效自评分98.12分，为“优”等级。</w:t>
      </w:r>
    </w:p>
    <w:p>
      <w:pPr>
        <w:spacing w:line="600" w:lineRule="exact"/>
        <w:rPr>
          <w:rFonts w:ascii="黑体" w:hAnsi="黑体" w:eastAsia="黑体"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w:t>
      </w:r>
      <w:r>
        <w:rPr>
          <w:rFonts w:hint="eastAsia" w:ascii="黑体" w:hAnsi="黑体" w:eastAsia="黑体" w:cs="仿宋_GB2312"/>
          <w:color w:val="000000"/>
          <w:sz w:val="32"/>
          <w:szCs w:val="32"/>
          <w:shd w:val="clear" w:color="auto" w:fill="FFFFFF"/>
        </w:rPr>
        <w:t xml:space="preserve">   五、存在的主要问题</w:t>
      </w:r>
    </w:p>
    <w:p>
      <w:pPr>
        <w:spacing w:line="600" w:lineRule="exac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绩效目标的设定需要各个部门分解汇总，全员参与，相互协调，学校对绩效评价还未建立全员参与的意识，部分绩效目标无法量化。应进一步提高绩效目标评价意识和方法，细化财务管理。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_GB2312">
    <w:altName w:val="楷体"/>
    <w:panose1 w:val="00000000000000000000"/>
    <w:charset w:val="86"/>
    <w:family w:val="auto"/>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AF0D35"/>
    <w:multiLevelType w:val="singleLevel"/>
    <w:tmpl w:val="02AF0D35"/>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lhMTEzMmFkOTgyYTQwZTA5MDdjM2NiZjNjOGFlOTIifQ=="/>
  </w:docVars>
  <w:rsids>
    <w:rsidRoot w:val="22C23037"/>
    <w:rsid w:val="22C23037"/>
    <w:rsid w:val="4B3853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nhideWhenUsed/>
    <w:uiPriority w:val="99"/>
    <w:pPr>
      <w:jc w:val="left"/>
    </w:pPr>
    <w:rPr>
      <w:kern w:val="0"/>
      <w:sz w:val="24"/>
      <w:szCs w:val="20"/>
    </w:rPr>
  </w:style>
  <w:style w:type="paragraph" w:customStyle="1" w:styleId="5">
    <w:name w:val="Defaul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6">
    <w:name w:val="List Paragraph"/>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25</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2024-08-05T08:06:00Z</dcterms:created>
  <dc:creator>江山</dc:creator>
  <cp:lastModifiedBy>江山</cp:lastModifiedBy>
  <dcterms:modified xsi:type="dcterms:W3CDTF">2024-08-05T08:06:59Z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F33858CA0A234B3D97F29525B1702E61_11</vt:lpwstr>
  </property>
</Properties>
</file>