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Times New Roman" w:hAnsi="Times New Roman" w:eastAsia="方正小标宋_GBK" w:cs="Times New Roman"/>
          <w:b w:val="0"/>
          <w:bCs/>
          <w:kern w:val="0"/>
          <w:sz w:val="36"/>
          <w:szCs w:val="36"/>
          <w:lang w:val="en-US" w:eastAsia="zh-CN"/>
        </w:rPr>
      </w:pPr>
      <w:r>
        <w:rPr>
          <w:rFonts w:hint="eastAsia" w:ascii="Times New Roman" w:hAnsi="Times New Roman" w:eastAsia="方正小标宋_GBK" w:cs="Times New Roman"/>
          <w:b w:val="0"/>
          <w:bCs/>
          <w:kern w:val="0"/>
          <w:sz w:val="36"/>
          <w:szCs w:val="36"/>
          <w:lang w:val="en-US" w:eastAsia="zh-CN"/>
        </w:rPr>
        <w:t>蓝山县塔峰镇</w:t>
      </w:r>
      <w:r>
        <w:rPr>
          <w:rFonts w:hint="eastAsia" w:eastAsia="方正小标宋_GBK" w:cs="Times New Roman"/>
          <w:b w:val="0"/>
          <w:bCs/>
          <w:kern w:val="0"/>
          <w:sz w:val="36"/>
          <w:szCs w:val="36"/>
          <w:lang w:val="en-US" w:eastAsia="zh-CN"/>
        </w:rPr>
        <w:t>赤蓝桥小学</w:t>
      </w:r>
      <w:r>
        <w:rPr>
          <w:rFonts w:hint="eastAsia" w:ascii="Times New Roman" w:hAnsi="Times New Roman" w:eastAsia="方正小标宋_GBK" w:cs="Times New Roman"/>
          <w:b w:val="0"/>
          <w:bCs/>
          <w:kern w:val="0"/>
          <w:sz w:val="36"/>
          <w:szCs w:val="36"/>
          <w:lang w:val="en-US" w:eastAsia="zh-CN"/>
        </w:rPr>
        <w:t>202</w:t>
      </w:r>
      <w:r>
        <w:rPr>
          <w:rFonts w:hint="eastAsia" w:eastAsia="方正小标宋_GBK" w:cs="Times New Roman"/>
          <w:b w:val="0"/>
          <w:bCs/>
          <w:kern w:val="0"/>
          <w:sz w:val="36"/>
          <w:szCs w:val="36"/>
          <w:lang w:val="en-US" w:eastAsia="zh-CN"/>
        </w:rPr>
        <w:t>3</w:t>
      </w:r>
      <w:r>
        <w:rPr>
          <w:rFonts w:hint="eastAsia" w:ascii="Times New Roman" w:hAnsi="Times New Roman" w:eastAsia="方正小标宋_GBK" w:cs="Times New Roman"/>
          <w:b w:val="0"/>
          <w:bCs/>
          <w:kern w:val="0"/>
          <w:sz w:val="36"/>
          <w:szCs w:val="36"/>
          <w:lang w:val="en-US" w:eastAsia="zh-CN"/>
        </w:rPr>
        <w:t>年度部门整体支出</w:t>
      </w:r>
    </w:p>
    <w:p>
      <w:pPr>
        <w:widowControl/>
        <w:spacing w:line="600" w:lineRule="exact"/>
        <w:jc w:val="center"/>
        <w:rPr>
          <w:rFonts w:hint="default" w:ascii="Times New Roman" w:hAnsi="Times New Roman" w:eastAsia="方正小标宋_GBK" w:cs="Times New Roman"/>
          <w:b w:val="0"/>
          <w:bCs/>
          <w:kern w:val="0"/>
          <w:sz w:val="36"/>
          <w:szCs w:val="36"/>
          <w:lang w:val="en-US" w:eastAsia="zh-CN"/>
        </w:rPr>
      </w:pPr>
      <w:r>
        <w:rPr>
          <w:rFonts w:hint="eastAsia" w:ascii="Times New Roman" w:hAnsi="Times New Roman" w:eastAsia="方正小标宋_GBK" w:cs="Times New Roman"/>
          <w:b w:val="0"/>
          <w:bCs/>
          <w:kern w:val="0"/>
          <w:sz w:val="36"/>
          <w:szCs w:val="36"/>
          <w:lang w:val="en-US" w:eastAsia="zh-CN"/>
        </w:rPr>
        <w:t>绩效评价情况报告</w:t>
      </w:r>
    </w:p>
    <w:p>
      <w:pPr>
        <w:shd w:val="clear" w:color="auto" w:fill="FFFFFF"/>
        <w:spacing w:line="560" w:lineRule="exact"/>
        <w:rPr>
          <w:rFonts w:ascii="仿宋_GB2312" w:hAnsi="仿宋_GB2312" w:eastAsia="仿宋_GB2312" w:cs="仿宋_GB2312"/>
          <w:b/>
          <w:bCs/>
          <w:color w:val="3F3F3F"/>
          <w:sz w:val="32"/>
          <w:szCs w:val="32"/>
        </w:rPr>
      </w:pPr>
    </w:p>
    <w:p>
      <w:pPr>
        <w:widowControl/>
        <w:spacing w:line="600" w:lineRule="exact"/>
        <w:ind w:firstLine="960" w:firstLineChars="300"/>
        <w:rPr>
          <w:rFonts w:hint="eastAsia" w:eastAsia="仿宋_GB2312"/>
          <w:sz w:val="32"/>
          <w:szCs w:val="32"/>
          <w:lang w:val="en-US" w:eastAsia="zh-CN"/>
        </w:rPr>
      </w:pPr>
      <w:r>
        <w:rPr>
          <w:rFonts w:hint="eastAsia" w:eastAsia="仿宋_GB2312"/>
          <w:sz w:val="32"/>
          <w:szCs w:val="32"/>
          <w:lang w:val="en-US" w:eastAsia="zh-CN"/>
        </w:rPr>
        <w:t>为进一步规范财政资金管理，牢固树立预算绩效理念，强化支出责任，提高财政资金使用效益，我们根据《蓝山县关于全面推进预算绩效管理的实施意见》，结合我局的具体情况，认真组织开展了2023年度部门绩效自评工作，现将我部门2023年度部门整体支出绩效评价情况报告如下：</w:t>
      </w:r>
    </w:p>
    <w:p>
      <w:pPr>
        <w:widowControl/>
        <w:spacing w:line="600" w:lineRule="exact"/>
        <w:ind w:firstLine="960" w:firstLineChars="300"/>
        <w:rPr>
          <w:rFonts w:hint="eastAsia" w:eastAsia="仿宋_GB2312"/>
          <w:sz w:val="32"/>
          <w:szCs w:val="32"/>
          <w:lang w:val="en-US" w:eastAsia="zh-CN"/>
        </w:rPr>
      </w:pPr>
      <w:r>
        <w:rPr>
          <w:rFonts w:hint="eastAsia" w:eastAsia="仿宋_GB2312"/>
          <w:sz w:val="32"/>
          <w:szCs w:val="32"/>
          <w:lang w:val="en-US" w:eastAsia="zh-CN"/>
        </w:rPr>
        <w:t>一、单位概况</w:t>
      </w:r>
    </w:p>
    <w:p>
      <w:pPr>
        <w:widowControl/>
        <w:spacing w:line="600" w:lineRule="exact"/>
        <w:ind w:firstLine="960" w:firstLineChars="300"/>
        <w:rPr>
          <w:rFonts w:hint="eastAsia" w:eastAsia="仿宋_GB2312"/>
          <w:sz w:val="32"/>
          <w:szCs w:val="32"/>
          <w:lang w:val="en-US" w:eastAsia="zh-CN"/>
        </w:rPr>
      </w:pPr>
      <w:r>
        <w:rPr>
          <w:rFonts w:hint="eastAsia" w:eastAsia="仿宋_GB2312"/>
          <w:sz w:val="32"/>
          <w:szCs w:val="32"/>
          <w:lang w:val="en-US" w:eastAsia="zh-CN"/>
        </w:rPr>
        <w:t>（一）基本情况</w:t>
      </w:r>
    </w:p>
    <w:p>
      <w:pPr>
        <w:widowControl/>
        <w:spacing w:line="600" w:lineRule="exact"/>
        <w:ind w:firstLine="960" w:firstLineChars="300"/>
        <w:rPr>
          <w:rFonts w:hint="eastAsia" w:eastAsia="仿宋_GB2312"/>
          <w:sz w:val="32"/>
          <w:szCs w:val="32"/>
          <w:lang w:val="en-US" w:eastAsia="zh-CN"/>
        </w:rPr>
      </w:pPr>
      <w:r>
        <w:rPr>
          <w:rFonts w:hint="eastAsia" w:eastAsia="仿宋_GB2312"/>
          <w:sz w:val="32"/>
          <w:szCs w:val="32"/>
          <w:lang w:val="en-US" w:eastAsia="zh-CN"/>
        </w:rPr>
        <w:t>1.蓝山县塔峰镇赤蓝桥小学是一个财政全额拨款的事业单位，单位现有校长一名，副校长4名，现有下设机构四个：工会委员会一个，设有工会主席一名;教务处一个，设有教务主任一名，副教导主任一名；学校少先队一个，设有辅导员一名；财务室一个，设有会计一名，出纳一名。</w:t>
      </w:r>
    </w:p>
    <w:p>
      <w:pPr>
        <w:widowControl/>
        <w:spacing w:line="600" w:lineRule="exact"/>
        <w:ind w:firstLine="960" w:firstLineChars="300"/>
        <w:rPr>
          <w:rFonts w:hint="eastAsia" w:eastAsia="仿宋_GB2312"/>
          <w:sz w:val="32"/>
          <w:szCs w:val="32"/>
          <w:lang w:val="en-US" w:eastAsia="zh-CN"/>
        </w:rPr>
      </w:pPr>
      <w:r>
        <w:rPr>
          <w:rFonts w:hint="eastAsia" w:eastAsia="仿宋_GB2312"/>
          <w:sz w:val="32"/>
          <w:szCs w:val="32"/>
          <w:lang w:val="en-US" w:eastAsia="zh-CN"/>
        </w:rPr>
        <w:t>2.学生情况：2023年上期学生2716人，学校班级59个。</w:t>
      </w:r>
      <w:r>
        <w:rPr>
          <w:rFonts w:hint="eastAsia" w:ascii="仿宋" w:hAnsi="仿宋" w:eastAsia="仿宋" w:cs="仿宋"/>
          <w:bCs/>
          <w:kern w:val="0"/>
          <w:sz w:val="30"/>
          <w:szCs w:val="30"/>
        </w:rPr>
        <w:t>20</w:t>
      </w:r>
      <w:r>
        <w:rPr>
          <w:rFonts w:hint="eastAsia" w:ascii="仿宋" w:hAnsi="仿宋" w:eastAsia="仿宋" w:cs="仿宋"/>
          <w:bCs/>
          <w:kern w:val="0"/>
          <w:sz w:val="30"/>
          <w:szCs w:val="30"/>
          <w:lang w:val="en-US" w:eastAsia="zh-CN"/>
        </w:rPr>
        <w:t>23</w:t>
      </w:r>
      <w:r>
        <w:rPr>
          <w:rFonts w:hint="eastAsia" w:ascii="仿宋" w:hAnsi="仿宋" w:eastAsia="仿宋" w:cs="仿宋"/>
          <w:bCs/>
          <w:kern w:val="0"/>
          <w:sz w:val="30"/>
          <w:szCs w:val="30"/>
        </w:rPr>
        <w:t>年下期有教学班</w:t>
      </w:r>
      <w:r>
        <w:rPr>
          <w:rFonts w:hint="eastAsia" w:ascii="仿宋" w:hAnsi="仿宋" w:eastAsia="仿宋" w:cs="仿宋"/>
          <w:bCs/>
          <w:kern w:val="0"/>
          <w:sz w:val="30"/>
          <w:szCs w:val="30"/>
          <w:u w:val="single"/>
          <w:lang w:val="en-US" w:eastAsia="zh-CN"/>
        </w:rPr>
        <w:t>73</w:t>
      </w:r>
      <w:r>
        <w:rPr>
          <w:rFonts w:hint="eastAsia" w:ascii="仿宋" w:hAnsi="仿宋" w:eastAsia="仿宋" w:cs="仿宋"/>
          <w:bCs/>
          <w:kern w:val="0"/>
          <w:sz w:val="30"/>
          <w:szCs w:val="30"/>
        </w:rPr>
        <w:t>个，学生</w:t>
      </w:r>
      <w:r>
        <w:rPr>
          <w:rFonts w:hint="eastAsia" w:ascii="仿宋" w:hAnsi="仿宋" w:eastAsia="仿宋" w:cs="仿宋"/>
          <w:bCs/>
          <w:kern w:val="0"/>
          <w:sz w:val="30"/>
          <w:szCs w:val="30"/>
          <w:u w:val="single"/>
          <w:lang w:val="en-US" w:eastAsia="zh-CN"/>
        </w:rPr>
        <w:t>3361</w:t>
      </w:r>
      <w:r>
        <w:rPr>
          <w:rFonts w:hint="eastAsia" w:ascii="仿宋" w:hAnsi="仿宋" w:eastAsia="仿宋" w:cs="仿宋"/>
          <w:bCs/>
          <w:kern w:val="0"/>
          <w:sz w:val="30"/>
          <w:szCs w:val="30"/>
        </w:rPr>
        <w:t>人。</w:t>
      </w:r>
    </w:p>
    <w:p>
      <w:pPr>
        <w:widowControl/>
        <w:spacing w:line="600" w:lineRule="exact"/>
        <w:ind w:firstLine="960" w:firstLineChars="300"/>
        <w:rPr>
          <w:rFonts w:hint="eastAsia" w:eastAsia="仿宋_GB2312"/>
          <w:sz w:val="32"/>
          <w:szCs w:val="32"/>
          <w:lang w:val="en-US" w:eastAsia="zh-CN"/>
        </w:rPr>
      </w:pPr>
      <w:r>
        <w:rPr>
          <w:rFonts w:hint="eastAsia" w:eastAsia="仿宋_GB2312" w:cs="Times New Roman"/>
          <w:sz w:val="32"/>
          <w:szCs w:val="32"/>
          <w:lang w:val="en-US" w:eastAsia="zh-CN"/>
        </w:rPr>
        <w:t>3、</w:t>
      </w:r>
      <w:r>
        <w:rPr>
          <w:rFonts w:hint="eastAsia" w:eastAsia="仿宋_GB2312"/>
          <w:sz w:val="32"/>
          <w:szCs w:val="32"/>
        </w:rPr>
        <w:t>人员情况：</w:t>
      </w:r>
      <w:r>
        <w:rPr>
          <w:rFonts w:hint="eastAsia" w:eastAsia="仿宋_GB2312"/>
          <w:sz w:val="32"/>
          <w:szCs w:val="32"/>
          <w:lang w:val="en-US" w:eastAsia="zh-CN"/>
        </w:rPr>
        <w:t>我校现有事业编制人数144人，（其中在职在编教师144人），退休教师0人。学校聘用临时工作人员29人。</w:t>
      </w:r>
    </w:p>
    <w:p>
      <w:pPr>
        <w:widowControl/>
        <w:spacing w:line="600" w:lineRule="exact"/>
        <w:ind w:firstLine="960" w:firstLineChars="300"/>
        <w:rPr>
          <w:rFonts w:hint="eastAsia" w:eastAsia="仿宋_GB2312"/>
          <w:sz w:val="32"/>
          <w:szCs w:val="32"/>
          <w:lang w:val="en-US" w:eastAsia="zh-CN"/>
        </w:rPr>
      </w:pPr>
      <w:r>
        <w:rPr>
          <w:rFonts w:hint="eastAsia" w:eastAsia="仿宋_GB2312"/>
          <w:sz w:val="32"/>
          <w:szCs w:val="32"/>
          <w:lang w:val="en-US" w:eastAsia="zh-CN"/>
        </w:rPr>
        <w:t>（二）当年取得的主要事业成效</w:t>
      </w:r>
    </w:p>
    <w:p>
      <w:pPr>
        <w:widowControl/>
        <w:spacing w:line="600" w:lineRule="exact"/>
        <w:ind w:firstLine="960" w:firstLineChars="300"/>
        <w:rPr>
          <w:rFonts w:hint="eastAsia" w:eastAsia="仿宋_GB2312"/>
          <w:sz w:val="32"/>
          <w:szCs w:val="32"/>
          <w:lang w:val="en-US" w:eastAsia="zh-CN"/>
        </w:rPr>
      </w:pPr>
      <w:r>
        <w:rPr>
          <w:rFonts w:hint="eastAsia" w:eastAsia="仿宋_GB2312"/>
          <w:sz w:val="32"/>
          <w:szCs w:val="32"/>
          <w:lang w:val="en-US" w:eastAsia="zh-CN"/>
        </w:rPr>
        <w:t>实施小学义务教育，促进基础义务教育的发展。进行小学学历教育，搞好教育教学工作。</w:t>
      </w:r>
    </w:p>
    <w:p>
      <w:pPr>
        <w:widowControl/>
        <w:spacing w:line="600" w:lineRule="exact"/>
        <w:ind w:firstLine="960" w:firstLineChars="300"/>
        <w:rPr>
          <w:rFonts w:hint="eastAsia" w:eastAsia="仿宋_GB2312"/>
          <w:sz w:val="32"/>
          <w:szCs w:val="32"/>
          <w:lang w:val="en-US" w:eastAsia="zh-CN"/>
        </w:rPr>
      </w:pPr>
      <w:r>
        <w:rPr>
          <w:rFonts w:hint="eastAsia" w:eastAsia="仿宋_GB2312"/>
          <w:sz w:val="32"/>
          <w:szCs w:val="32"/>
          <w:lang w:val="en-US" w:eastAsia="zh-CN"/>
        </w:rPr>
        <w:t>开展了“以体健人、以体促智”的阳光体育活动、“围棋进校园”活动、开展心理健康教育。通过以上活动我校已形成了“动起来、笑起来、活起来”的良好校风。在今年的兵乒球田径运动会上五年级代表对取得了全县团体总分第五名的好成绩，在全县阳光体育展示中我校四年级的孩子们的室内操也获得了评委的赞赏！</w:t>
      </w:r>
    </w:p>
    <w:p>
      <w:pPr>
        <w:widowControl/>
        <w:spacing w:line="600" w:lineRule="exact"/>
        <w:ind w:firstLine="960" w:firstLineChars="300"/>
        <w:rPr>
          <w:rFonts w:hint="eastAsia" w:eastAsia="仿宋_GB2312"/>
          <w:sz w:val="32"/>
          <w:szCs w:val="32"/>
          <w:lang w:val="en-US" w:eastAsia="zh-CN"/>
        </w:rPr>
      </w:pPr>
      <w:r>
        <w:rPr>
          <w:rFonts w:hint="eastAsia" w:eastAsia="仿宋_GB2312"/>
          <w:sz w:val="32"/>
          <w:szCs w:val="32"/>
          <w:lang w:val="en-US" w:eastAsia="zh-CN"/>
        </w:rPr>
        <w:t>在新生入学开始就多次开展了习惯养成名师讲座和班主任培训，培养学生良好习惯、注重品行。</w:t>
      </w:r>
    </w:p>
    <w:p>
      <w:pPr>
        <w:widowControl/>
        <w:spacing w:line="600" w:lineRule="exact"/>
        <w:ind w:firstLine="960" w:firstLineChars="300"/>
        <w:rPr>
          <w:rFonts w:hint="default" w:eastAsia="仿宋_GB2312"/>
          <w:sz w:val="32"/>
          <w:szCs w:val="32"/>
          <w:lang w:val="en-US" w:eastAsia="zh-CN"/>
        </w:rPr>
      </w:pPr>
      <w:r>
        <w:rPr>
          <w:rFonts w:hint="eastAsia" w:eastAsia="仿宋_GB2312"/>
          <w:sz w:val="32"/>
          <w:szCs w:val="32"/>
          <w:lang w:val="en-US" w:eastAsia="zh-CN"/>
        </w:rPr>
        <w:t>发挥骨干教师带头作用，开展青蓝教师结对活动；按年级组开展集体备课，开展教研活动，通过以上活动，我校形成了良好的教学教研氛围，今年有二十五位教师获县精品课，八位教师获市、省精品课，一位教师获部级精品课。在2023年年度考核中，我校被评为优秀单位。</w:t>
      </w:r>
    </w:p>
    <w:p>
      <w:pPr>
        <w:widowControl/>
        <w:spacing w:line="600" w:lineRule="exact"/>
        <w:ind w:firstLine="960" w:firstLineChars="300"/>
        <w:rPr>
          <w:rFonts w:hint="eastAsia" w:eastAsia="仿宋_GB2312"/>
          <w:sz w:val="32"/>
          <w:szCs w:val="32"/>
          <w:lang w:val="en-US" w:eastAsia="zh-CN"/>
        </w:rPr>
      </w:pPr>
      <w:r>
        <w:rPr>
          <w:rFonts w:hint="eastAsia" w:eastAsia="仿宋_GB2312"/>
          <w:sz w:val="32"/>
          <w:szCs w:val="32"/>
          <w:lang w:val="en-US" w:eastAsia="zh-CN"/>
        </w:rPr>
        <w:t>（三）部门整体收支出概况:</w:t>
      </w:r>
    </w:p>
    <w:p>
      <w:pPr>
        <w:widowControl/>
        <w:spacing w:line="600" w:lineRule="exact"/>
        <w:ind w:firstLine="960" w:firstLineChars="300"/>
        <w:rPr>
          <w:rFonts w:hint="eastAsia" w:eastAsia="仿宋_GB2312"/>
          <w:sz w:val="32"/>
          <w:szCs w:val="32"/>
          <w:lang w:val="en-US" w:eastAsia="zh-CN"/>
        </w:rPr>
      </w:pPr>
      <w:r>
        <w:rPr>
          <w:rFonts w:hint="eastAsia" w:eastAsia="仿宋_GB2312"/>
          <w:sz w:val="32"/>
          <w:szCs w:val="32"/>
          <w:lang w:val="en-US" w:eastAsia="zh-CN"/>
        </w:rPr>
        <w:t>2023年部门收支完成情况：2022年度本部门安排预算收入1900.39万元，安排预算支出1900.39万元；</w:t>
      </w:r>
    </w:p>
    <w:p>
      <w:pPr>
        <w:widowControl/>
        <w:spacing w:line="600" w:lineRule="exact"/>
        <w:ind w:firstLine="960" w:firstLineChars="300"/>
        <w:rPr>
          <w:rFonts w:hint="eastAsia" w:eastAsia="仿宋_GB2312"/>
          <w:sz w:val="32"/>
          <w:szCs w:val="32"/>
          <w:lang w:val="en-US" w:eastAsia="zh-CN"/>
        </w:rPr>
      </w:pPr>
      <w:r>
        <w:rPr>
          <w:rFonts w:hint="eastAsia" w:eastAsia="仿宋_GB2312"/>
          <w:sz w:val="32"/>
          <w:szCs w:val="32"/>
          <w:lang w:val="en-US" w:eastAsia="zh-CN"/>
        </w:rPr>
        <w:t>1、收入：决算总收入1900.39万元，其中财政拨款收入1383.12万元，其他收入517.27万元；</w:t>
      </w:r>
    </w:p>
    <w:p>
      <w:pPr>
        <w:widowControl/>
        <w:spacing w:line="600" w:lineRule="exact"/>
        <w:ind w:firstLine="960" w:firstLineChars="300"/>
        <w:rPr>
          <w:rFonts w:hint="default" w:eastAsia="仿宋_GB2312"/>
          <w:sz w:val="32"/>
          <w:szCs w:val="32"/>
          <w:lang w:val="en-US" w:eastAsia="zh-CN"/>
        </w:rPr>
      </w:pPr>
      <w:r>
        <w:rPr>
          <w:rFonts w:hint="eastAsia" w:eastAsia="仿宋_GB2312"/>
          <w:sz w:val="32"/>
          <w:szCs w:val="32"/>
          <w:lang w:val="en-US" w:eastAsia="zh-CN"/>
        </w:rPr>
        <w:t>2、支出：决算总支出1900.39万元，其中财政拨款支出1383.12万元，非财政拨款支出517.27万元；项目支出0万元。</w:t>
      </w:r>
    </w:p>
    <w:p>
      <w:pPr>
        <w:widowControl/>
        <w:spacing w:line="600" w:lineRule="exact"/>
        <w:ind w:firstLine="960" w:firstLineChars="300"/>
        <w:rPr>
          <w:rFonts w:hint="eastAsia" w:eastAsia="仿宋_GB2312"/>
          <w:sz w:val="32"/>
          <w:szCs w:val="32"/>
          <w:lang w:val="en-US" w:eastAsia="zh-CN"/>
        </w:rPr>
      </w:pPr>
      <w:r>
        <w:rPr>
          <w:rFonts w:hint="eastAsia" w:eastAsia="仿宋_GB2312"/>
          <w:sz w:val="32"/>
          <w:szCs w:val="32"/>
          <w:lang w:val="en-US" w:eastAsia="zh-CN"/>
        </w:rPr>
        <w:t>二、整体支出管理及使用情况</w:t>
      </w:r>
    </w:p>
    <w:p>
      <w:pPr>
        <w:widowControl/>
        <w:spacing w:line="600" w:lineRule="exact"/>
        <w:ind w:firstLine="960" w:firstLineChars="300"/>
        <w:rPr>
          <w:rFonts w:hint="eastAsia" w:eastAsia="仿宋_GB2312"/>
          <w:sz w:val="32"/>
          <w:szCs w:val="32"/>
          <w:lang w:val="en-US" w:eastAsia="zh-CN"/>
        </w:rPr>
      </w:pPr>
      <w:r>
        <w:rPr>
          <w:rFonts w:hint="eastAsia" w:eastAsia="仿宋_GB2312"/>
          <w:sz w:val="32"/>
          <w:szCs w:val="32"/>
          <w:lang w:val="en-US" w:eastAsia="zh-CN"/>
        </w:rPr>
        <w:t>（一）基本支出管理情况</w:t>
      </w:r>
    </w:p>
    <w:p>
      <w:pPr>
        <w:widowControl/>
        <w:spacing w:line="600" w:lineRule="exact"/>
        <w:ind w:firstLine="960" w:firstLineChars="300"/>
        <w:rPr>
          <w:rFonts w:hint="eastAsia" w:eastAsia="仿宋_GB2312"/>
          <w:sz w:val="32"/>
          <w:szCs w:val="32"/>
          <w:lang w:val="en-US" w:eastAsia="zh-CN"/>
        </w:rPr>
      </w:pPr>
      <w:r>
        <w:rPr>
          <w:rFonts w:hint="eastAsia" w:eastAsia="仿宋_GB2312"/>
          <w:sz w:val="32"/>
          <w:szCs w:val="32"/>
          <w:lang w:val="en-US" w:eastAsia="zh-CN"/>
        </w:rPr>
        <w:t>1、根据上级文件批复，2023年我部门一般公共预算财政拨款预算支出1383.12万元，其中：工资福利支出1144.19万元，商品和服务支出220.43万元，对个人和家庭的补助支出1.75万元，资本性支出16.75万元。“三公”经费支出控制数0.5万元，其中：公务接待费0.5万元，公务用车经费（公车运行维护费）0万元。</w:t>
      </w:r>
    </w:p>
    <w:p>
      <w:pPr>
        <w:widowControl/>
        <w:spacing w:line="600" w:lineRule="exact"/>
        <w:ind w:firstLine="960" w:firstLineChars="300"/>
        <w:rPr>
          <w:rFonts w:hint="eastAsia" w:eastAsia="仿宋_GB2312"/>
          <w:sz w:val="32"/>
          <w:szCs w:val="32"/>
          <w:lang w:val="en-US" w:eastAsia="zh-CN"/>
        </w:rPr>
      </w:pPr>
      <w:r>
        <w:rPr>
          <w:rFonts w:hint="eastAsia" w:eastAsia="仿宋_GB2312"/>
          <w:sz w:val="32"/>
          <w:szCs w:val="32"/>
          <w:lang w:val="en-US" w:eastAsia="zh-CN"/>
        </w:rPr>
        <w:t>2、基本支出决算执行情况：2023年我部门一般公共预算财政拨款预算支出1383.12万元，决算支出1383.12万元，其中：工资福利支出1144.19万元，商品和服务支出220.43万元，对个人和家庭的补助支出1.75万元，资本性支出16.75万元。“三公”经费支出控制数0.5万元，其中：公务接待费0.5万元，公务用车经费（公车运行维护费）0万元。</w:t>
      </w:r>
    </w:p>
    <w:p>
      <w:pPr>
        <w:widowControl/>
        <w:spacing w:line="600" w:lineRule="exact"/>
        <w:ind w:firstLine="960" w:firstLineChars="300"/>
        <w:rPr>
          <w:rFonts w:hint="eastAsia" w:eastAsia="仿宋_GB2312"/>
          <w:sz w:val="32"/>
          <w:szCs w:val="32"/>
          <w:lang w:val="en-US" w:eastAsia="zh-CN"/>
        </w:rPr>
      </w:pPr>
    </w:p>
    <w:p>
      <w:pPr>
        <w:widowControl/>
        <w:spacing w:line="600" w:lineRule="exact"/>
        <w:ind w:firstLine="320" w:firstLineChars="100"/>
        <w:rPr>
          <w:rFonts w:hint="eastAsia" w:eastAsia="仿宋_GB2312"/>
          <w:sz w:val="32"/>
          <w:szCs w:val="32"/>
          <w:lang w:val="en-US" w:eastAsia="zh-CN"/>
        </w:rPr>
      </w:pPr>
      <w:r>
        <w:rPr>
          <w:rFonts w:hint="eastAsia" w:eastAsia="仿宋_GB2312"/>
          <w:sz w:val="32"/>
          <w:szCs w:val="32"/>
          <w:lang w:val="en-US" w:eastAsia="zh-CN"/>
        </w:rPr>
        <w:t>（二）“三公经费”支出和使用情况</w:t>
      </w:r>
    </w:p>
    <w:p>
      <w:pPr>
        <w:widowControl/>
        <w:spacing w:line="600" w:lineRule="exact"/>
        <w:ind w:firstLine="960" w:firstLineChars="300"/>
        <w:rPr>
          <w:rFonts w:hint="default" w:eastAsia="仿宋_GB2312"/>
          <w:sz w:val="32"/>
          <w:szCs w:val="32"/>
          <w:lang w:val="en-US" w:eastAsia="zh-CN"/>
        </w:rPr>
      </w:pPr>
      <w:r>
        <w:rPr>
          <w:rFonts w:hint="eastAsia" w:eastAsia="仿宋_GB2312"/>
          <w:sz w:val="32"/>
          <w:szCs w:val="32"/>
          <w:lang w:val="en-US" w:eastAsia="zh-CN"/>
        </w:rPr>
        <w:t>1、2023年“三公经费”预算数0.5万元，其中：公务接待费0.5万元，公务用车运行费0万元，公务用车购置费0万元，因公出国（境）费0万元。</w:t>
      </w:r>
    </w:p>
    <w:p>
      <w:pPr>
        <w:widowControl/>
        <w:spacing w:line="600" w:lineRule="exact"/>
        <w:ind w:firstLine="960" w:firstLineChars="300"/>
        <w:rPr>
          <w:rFonts w:hint="eastAsia" w:eastAsia="仿宋_GB2312"/>
          <w:sz w:val="32"/>
          <w:szCs w:val="32"/>
          <w:lang w:val="en-US" w:eastAsia="zh-CN"/>
        </w:rPr>
      </w:pPr>
      <w:r>
        <w:rPr>
          <w:rFonts w:hint="eastAsia" w:eastAsia="仿宋_GB2312"/>
          <w:sz w:val="32"/>
          <w:szCs w:val="32"/>
          <w:lang w:val="en-US" w:eastAsia="zh-CN"/>
        </w:rPr>
        <w:t>2、2023年“三公经费”执行情况：2022年“三公经费”决算数0.18万元，其中：其中：公务接待费0.18万元，公务用车运行费0万元，公务用车购置费0万元，因公出国（境）费0万元。</w:t>
      </w:r>
    </w:p>
    <w:p>
      <w:pPr>
        <w:widowControl/>
        <w:spacing w:line="600" w:lineRule="exact"/>
        <w:ind w:firstLine="960" w:firstLineChars="300"/>
        <w:rPr>
          <w:rFonts w:hint="eastAsia" w:eastAsia="仿宋_GB2312"/>
          <w:sz w:val="32"/>
          <w:szCs w:val="32"/>
          <w:lang w:val="en-US" w:eastAsia="zh-CN"/>
        </w:rPr>
      </w:pPr>
      <w:r>
        <w:rPr>
          <w:rFonts w:hint="eastAsia" w:eastAsia="仿宋_GB2312"/>
          <w:sz w:val="32"/>
          <w:szCs w:val="32"/>
          <w:lang w:val="en-US" w:eastAsia="zh-CN"/>
        </w:rPr>
        <w:t>（三）项目支出管理和使用情况</w:t>
      </w:r>
    </w:p>
    <w:p>
      <w:pPr>
        <w:widowControl/>
        <w:spacing w:line="600" w:lineRule="exact"/>
        <w:ind w:firstLine="960" w:firstLineChars="300"/>
        <w:rPr>
          <w:rFonts w:hint="eastAsia" w:eastAsia="仿宋_GB2312"/>
          <w:sz w:val="32"/>
          <w:szCs w:val="32"/>
          <w:lang w:val="en-US" w:eastAsia="zh-CN"/>
        </w:rPr>
      </w:pPr>
      <w:r>
        <w:rPr>
          <w:rFonts w:hint="eastAsia" w:eastAsia="仿宋_GB2312"/>
          <w:sz w:val="32"/>
          <w:szCs w:val="32"/>
          <w:lang w:val="en-US" w:eastAsia="zh-CN"/>
        </w:rPr>
        <w:t>2023年我部门项目绩效目标为0万元，实际执行0万元。</w:t>
      </w:r>
    </w:p>
    <w:p>
      <w:pPr>
        <w:widowControl/>
        <w:spacing w:line="600" w:lineRule="exact"/>
        <w:ind w:firstLine="960" w:firstLineChars="300"/>
        <w:rPr>
          <w:rFonts w:hint="eastAsia" w:eastAsia="仿宋_GB2312"/>
          <w:sz w:val="32"/>
          <w:szCs w:val="32"/>
          <w:lang w:val="en-US" w:eastAsia="zh-CN"/>
        </w:rPr>
      </w:pPr>
      <w:r>
        <w:rPr>
          <w:rFonts w:hint="eastAsia" w:eastAsia="仿宋_GB2312"/>
          <w:sz w:val="32"/>
          <w:szCs w:val="32"/>
          <w:lang w:val="en-US" w:eastAsia="zh-CN"/>
        </w:rPr>
        <w:t>三、绩效评价工作组织实施情况</w:t>
      </w:r>
    </w:p>
    <w:p>
      <w:pPr>
        <w:widowControl/>
        <w:spacing w:line="600" w:lineRule="exact"/>
        <w:ind w:firstLine="960" w:firstLineChars="300"/>
        <w:rPr>
          <w:rFonts w:hint="eastAsia" w:eastAsia="仿宋_GB2312"/>
          <w:sz w:val="32"/>
          <w:szCs w:val="32"/>
          <w:lang w:val="en-US" w:eastAsia="zh-CN"/>
        </w:rPr>
      </w:pPr>
      <w:r>
        <w:rPr>
          <w:rFonts w:hint="eastAsia" w:eastAsia="仿宋_GB2312"/>
          <w:sz w:val="32"/>
          <w:szCs w:val="32"/>
          <w:lang w:val="en-US" w:eastAsia="zh-CN"/>
        </w:rPr>
        <w:t>根据绩效评价的要求，我们成立了自评工作领导小组，对照自评方案进行研究和布署，按照自评方案的要求，对照各实施项目的内容逐条逐项自评。在自评过程发现问题，查找原因，及时纠正偏差，为下一步工作夯实基础。</w:t>
      </w:r>
    </w:p>
    <w:p>
      <w:pPr>
        <w:widowControl/>
        <w:spacing w:line="600" w:lineRule="exact"/>
        <w:ind w:firstLine="960" w:firstLineChars="300"/>
        <w:rPr>
          <w:rFonts w:hint="eastAsia" w:eastAsia="仿宋_GB2312"/>
          <w:sz w:val="32"/>
          <w:szCs w:val="32"/>
          <w:lang w:val="en-US" w:eastAsia="zh-CN"/>
        </w:rPr>
      </w:pPr>
      <w:r>
        <w:rPr>
          <w:rFonts w:hint="eastAsia" w:eastAsia="仿宋_GB2312"/>
          <w:sz w:val="32"/>
          <w:szCs w:val="32"/>
          <w:lang w:val="en-US" w:eastAsia="zh-CN"/>
        </w:rPr>
        <w:t>四、整体支出绩效情况</w:t>
      </w:r>
    </w:p>
    <w:p>
      <w:pPr>
        <w:widowControl/>
        <w:spacing w:line="600" w:lineRule="exact"/>
        <w:ind w:firstLine="960" w:firstLineChars="300"/>
        <w:rPr>
          <w:rFonts w:hint="eastAsia" w:eastAsia="仿宋_GB2312"/>
          <w:sz w:val="32"/>
          <w:szCs w:val="32"/>
          <w:lang w:val="en-US" w:eastAsia="zh-CN"/>
        </w:rPr>
      </w:pPr>
      <w:r>
        <w:rPr>
          <w:rFonts w:hint="eastAsia" w:eastAsia="仿宋_GB2312"/>
          <w:sz w:val="32"/>
          <w:szCs w:val="32"/>
          <w:lang w:val="en-US" w:eastAsia="zh-CN"/>
        </w:rPr>
        <w:t>从整体情况来看，我部门严格按照年初预算进行部门整体支出。在支出过程中，能严格遵守各项规章制度。实行了先有预算、后有执行、“用钱必问效、无效必问责”的新常态。社会和公众满意度较高。根据对我单位2023年部门整体支出项目绩效评价指标体系和绩效情况的检查，2023</w:t>
      </w:r>
      <w:bookmarkStart w:id="0" w:name="_GoBack"/>
      <w:bookmarkEnd w:id="0"/>
      <w:r>
        <w:rPr>
          <w:rFonts w:hint="eastAsia" w:eastAsia="仿宋_GB2312"/>
          <w:sz w:val="32"/>
          <w:szCs w:val="32"/>
          <w:lang w:val="en-US" w:eastAsia="zh-CN"/>
        </w:rPr>
        <w:t>年我单位部门整体绩效自评分94分，为“优”等级。</w:t>
      </w:r>
    </w:p>
    <w:p>
      <w:pPr>
        <w:widowControl/>
        <w:spacing w:line="600" w:lineRule="exact"/>
        <w:ind w:firstLine="960" w:firstLineChars="300"/>
        <w:rPr>
          <w:rFonts w:hint="eastAsia" w:eastAsia="仿宋_GB2312"/>
          <w:sz w:val="32"/>
          <w:szCs w:val="32"/>
          <w:lang w:val="en-US" w:eastAsia="zh-CN"/>
        </w:rPr>
      </w:pPr>
      <w:r>
        <w:rPr>
          <w:rFonts w:hint="eastAsia" w:eastAsia="仿宋_GB2312"/>
          <w:sz w:val="32"/>
          <w:szCs w:val="32"/>
          <w:lang w:val="en-US" w:eastAsia="zh-CN"/>
        </w:rPr>
        <w:t>五、存在的主要问题</w:t>
      </w:r>
    </w:p>
    <w:p>
      <w:pPr>
        <w:widowControl/>
        <w:spacing w:line="600" w:lineRule="exact"/>
        <w:ind w:firstLine="960" w:firstLineChars="300"/>
        <w:rPr>
          <w:rFonts w:hint="eastAsia" w:eastAsia="仿宋_GB2312"/>
          <w:sz w:val="32"/>
          <w:szCs w:val="32"/>
          <w:lang w:val="en-US" w:eastAsia="zh-CN"/>
        </w:rPr>
      </w:pPr>
      <w:r>
        <w:rPr>
          <w:rFonts w:hint="eastAsia" w:eastAsia="仿宋_GB2312"/>
          <w:sz w:val="32"/>
          <w:szCs w:val="32"/>
          <w:lang w:val="en-US" w:eastAsia="zh-CN"/>
        </w:rPr>
        <w:t>绩效目标的设定需要各个部门分解汇总，全员参与，相互协调，学校对绩效评价还未建立全员参与的意识，部分绩效目标无法量化。应进一步提高绩效目标评价意识和方法，细化财务管理。</w:t>
      </w:r>
    </w:p>
    <w:p>
      <w:pPr>
        <w:widowControl/>
        <w:spacing w:line="600" w:lineRule="exact"/>
        <w:ind w:firstLine="960" w:firstLineChars="300"/>
        <w:rPr>
          <w:rFonts w:hint="default"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mMjBhZmY4ZmI0NjkxOTAwYzc2YTdkMTRhYWU2NGQifQ=="/>
  </w:docVars>
  <w:rsids>
    <w:rsidRoot w:val="00000000"/>
    <w:rsid w:val="0C4E4B43"/>
    <w:rsid w:val="18060211"/>
    <w:rsid w:val="6ADC23AB"/>
    <w:rsid w:val="78E808B2"/>
    <w:rsid w:val="7FDD3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333333"/>
      <w:u w:val="none"/>
    </w:rPr>
  </w:style>
  <w:style w:type="character" w:styleId="7">
    <w:name w:val="Hyperlink"/>
    <w:basedOn w:val="5"/>
    <w:uiPriority w:val="0"/>
    <w:rPr>
      <w:color w:val="333333"/>
      <w:u w:val="none"/>
    </w:rPr>
  </w:style>
  <w:style w:type="paragraph" w:styleId="8">
    <w:name w:val="List Paragraph"/>
    <w:basedOn w:val="1"/>
    <w:qFormat/>
    <w:uiPriority w:val="34"/>
    <w:pPr>
      <w:ind w:firstLine="420" w:firstLineChars="200"/>
    </w:pPr>
    <w:rPr>
      <w:rFonts w:ascii="Calibri" w:hAnsi="Calibri"/>
      <w:szCs w:val="22"/>
    </w:rPr>
  </w:style>
  <w:style w:type="character" w:customStyle="1" w:styleId="9">
    <w:name w:val="white"/>
    <w:basedOn w:val="5"/>
    <w:uiPriority w:val="0"/>
    <w:rPr>
      <w:rFonts w:ascii="黑体" w:hAnsi="黑体" w:eastAsia="黑体" w:cs="黑体"/>
    </w:rPr>
  </w:style>
  <w:style w:type="character" w:customStyle="1" w:styleId="10">
    <w:name w:val="hover11"/>
    <w:basedOn w:val="5"/>
    <w:autoRedefine/>
    <w:qFormat/>
    <w:uiPriority w:val="0"/>
    <w:rPr>
      <w:color w:val="FFFFFF"/>
    </w:rPr>
  </w:style>
  <w:style w:type="character" w:customStyle="1" w:styleId="11">
    <w:name w:val="page_next"/>
    <w:basedOn w:val="5"/>
    <w:uiPriority w:val="0"/>
  </w:style>
  <w:style w:type="character" w:customStyle="1" w:styleId="12">
    <w:name w:val="active"/>
    <w:basedOn w:val="5"/>
    <w:uiPriority w:val="0"/>
    <w:rPr>
      <w:color w:val="FFFFFF"/>
    </w:rPr>
  </w:style>
  <w:style w:type="character" w:customStyle="1" w:styleId="13">
    <w:name w:val="page_prev"/>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1621</Words>
  <Characters>1779</Characters>
  <Lines>0</Lines>
  <Paragraphs>0</Paragraphs>
  <TotalTime>6</TotalTime>
  <ScaleCrop>false</ScaleCrop>
  <LinksUpToDate>false</LinksUpToDate>
  <CharactersWithSpaces>1779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57469</dc:creator>
  <cp:lastModifiedBy>Administrator</cp:lastModifiedBy>
  <dcterms:modified xsi:type="dcterms:W3CDTF">2024-06-18T08:59:00Z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30AE9AB1F7D14802B9AC8293872E6C5C_13</vt:lpwstr>
  </property>
</Properties>
</file>