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1B28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蓝山县楠市镇中心卫生院整体绩支出绩效自评报告</w:t>
      </w:r>
    </w:p>
    <w:p w14:paraId="0F68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、县医共体、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局正确领导下，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坚持以“人的健康为中心”工作目标，积极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探索解决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看病难、看病贵、看病远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的问题，强化疾病预防控制体系及医疗救治体系建设，深化卫生改革，全面加强内部管理和人才培养，促进全镇卫生工作全面发展。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全员职工团结一致、积极进取，认真落实上级布置的各项工作，取得了一定的成效。现将2023年来我院工作情况汇报如下：</w:t>
      </w:r>
    </w:p>
    <w:p w14:paraId="5A9B5B67">
      <w:pPr>
        <w:pStyle w:val="5"/>
        <w:spacing w:line="600" w:lineRule="exact"/>
        <w:ind w:firstLine="640" w:firstLineChars="200"/>
        <w:outlineLvl w:val="1"/>
        <w:rPr>
          <w:rFonts w:hAnsi="黑体" w:cs="Times New Roman"/>
          <w:color w:val="auto"/>
          <w:sz w:val="32"/>
          <w:szCs w:val="32"/>
          <w:u w:val="none"/>
        </w:rPr>
      </w:pPr>
      <w:r>
        <w:rPr>
          <w:rFonts w:hAnsi="黑体" w:cs="Times New Roman"/>
          <w:color w:val="auto"/>
          <w:sz w:val="32"/>
          <w:szCs w:val="32"/>
          <w:u w:val="none"/>
        </w:rPr>
        <w:t>一、收入支出决算总体情况说明</w:t>
      </w:r>
    </w:p>
    <w:p w14:paraId="4C6A70BF">
      <w:pPr>
        <w:pStyle w:val="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</w:rPr>
        <w:t>年度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收、支总计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1144.66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万元。与20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年相比，增加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76.3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7.14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%，主要是因为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财政加大对基层卫生院的投入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20E15408">
      <w:pPr>
        <w:pStyle w:val="5"/>
        <w:spacing w:line="600" w:lineRule="exact"/>
        <w:ind w:firstLine="640" w:firstLineChars="200"/>
        <w:outlineLvl w:val="1"/>
        <w:rPr>
          <w:rFonts w:hAnsi="黑体" w:cs="Times New Roman"/>
          <w:color w:val="auto"/>
          <w:sz w:val="32"/>
          <w:szCs w:val="32"/>
          <w:u w:val="none"/>
        </w:rPr>
      </w:pPr>
      <w:r>
        <w:rPr>
          <w:rFonts w:hAnsi="黑体" w:cs="Times New Roman"/>
          <w:color w:val="auto"/>
          <w:sz w:val="32"/>
          <w:szCs w:val="32"/>
          <w:u w:val="none"/>
        </w:rPr>
        <w:t>二、收入决算情况说明</w:t>
      </w:r>
    </w:p>
    <w:p w14:paraId="32C9F13F">
      <w:pPr>
        <w:pStyle w:val="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本年收入合计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1144.66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万元，其中：财政拨款收入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622.12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54.35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%；上级补助收入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%；事业收入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522.54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45.62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%；经营收入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%；附属单位上缴收入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%；其他收入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%。</w:t>
      </w:r>
    </w:p>
    <w:p w14:paraId="4A97D07F">
      <w:pPr>
        <w:pStyle w:val="5"/>
        <w:spacing w:line="600" w:lineRule="exact"/>
        <w:ind w:firstLine="640" w:firstLineChars="200"/>
        <w:outlineLvl w:val="1"/>
        <w:rPr>
          <w:rFonts w:hAnsi="黑体" w:cs="Times New Roman"/>
          <w:color w:val="auto"/>
          <w:sz w:val="32"/>
          <w:szCs w:val="32"/>
          <w:u w:val="none"/>
        </w:rPr>
      </w:pPr>
      <w:r>
        <w:rPr>
          <w:rFonts w:hAnsi="黑体" w:cs="Times New Roman"/>
          <w:color w:val="auto"/>
          <w:sz w:val="32"/>
          <w:szCs w:val="32"/>
          <w:u w:val="none"/>
        </w:rPr>
        <w:t>三、支出决算情况说明</w:t>
      </w:r>
    </w:p>
    <w:p w14:paraId="3E5DBA34">
      <w:pPr>
        <w:pStyle w:val="5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本年支出合计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1144.66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万元，其中：基本支出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804.81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70.31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339.85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29.69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%；上缴上级支出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%；经营支出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%；对附属单位补助支出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%。</w:t>
      </w:r>
    </w:p>
    <w:p w14:paraId="2188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2"/>
          <w:szCs w:val="32"/>
        </w:rPr>
        <w:t>医院基本情况：</w:t>
      </w:r>
    </w:p>
    <w:p w14:paraId="7B330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目前蓝山县楠市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院共有职工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名；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医院设有内儿科、外科、妇科、中医科、手术室、</w:t>
      </w:r>
      <w:r>
        <w:rPr>
          <w:rFonts w:hint="eastAsia" w:ascii="仿宋" w:hAnsi="仿宋" w:eastAsia="仿宋" w:cs="仿宋"/>
          <w:sz w:val="32"/>
          <w:szCs w:val="32"/>
        </w:rPr>
        <w:t>门诊部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发热诊室、肠道门诊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等临床科室，预检分诊、</w:t>
      </w:r>
      <w:r>
        <w:rPr>
          <w:rFonts w:hint="eastAsia" w:ascii="仿宋" w:hAnsi="仿宋" w:eastAsia="仿宋" w:cs="仿宋"/>
          <w:sz w:val="32"/>
          <w:szCs w:val="32"/>
        </w:rPr>
        <w:t>收费室、药房、检验科、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彩超室、心电图室、DR室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远程视频会诊中心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等辅助科室，院办、财务室、医保科、党建办、</w:t>
      </w:r>
      <w:r>
        <w:rPr>
          <w:rFonts w:hint="eastAsia" w:ascii="仿宋" w:hAnsi="仿宋" w:eastAsia="仿宋" w:cs="仿宋"/>
          <w:sz w:val="32"/>
          <w:szCs w:val="32"/>
        </w:rPr>
        <w:t>公卫办、卫监室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后勤等职能科室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住院部病床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3C0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辖区内共有个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1个社区、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7个</w:t>
      </w:r>
      <w:r>
        <w:rPr>
          <w:rFonts w:hint="eastAsia" w:ascii="仿宋" w:hAnsi="仿宋" w:eastAsia="仿宋" w:cs="仿宋"/>
          <w:sz w:val="32"/>
          <w:szCs w:val="32"/>
        </w:rPr>
        <w:t>行政村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个村卫生室，共有2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名乡村医生，空白村共有0个。</w:t>
      </w:r>
    </w:p>
    <w:p w14:paraId="55A02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32"/>
          <w:szCs w:val="32"/>
        </w:rPr>
        <w:t>工作开展情况：</w:t>
      </w:r>
    </w:p>
    <w:p w14:paraId="6CE656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按照医共体的要求加强内部管理，制定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并实施</w:t>
      </w:r>
      <w:r>
        <w:rPr>
          <w:rFonts w:hint="eastAsia" w:ascii="仿宋" w:hAnsi="仿宋" w:eastAsia="仿宋" w:cs="仿宋"/>
          <w:sz w:val="32"/>
          <w:szCs w:val="32"/>
        </w:rPr>
        <w:t>了各项规章制度，一切重大工作均服从总院安排。</w:t>
      </w:r>
    </w:p>
    <w:p w14:paraId="0A4055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规范整理院容院貌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医共体以来，投入大量的资金使我院院容院貌焕然一新，门诊楼、住院部、公卫楼、整体内外环境的打造，改善了老百姓的就医环境和就医需求，改善了职工的工作环境，为职工创造了舒心、安心、满意的工作场地留住了人才。接待了省、市、各县级及本县医疗行政主管部门的考察指导，圆满完成了优质服务基层行、清廉医院、120急救转运点的建设。</w:t>
      </w:r>
    </w:p>
    <w:p w14:paraId="11555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落实了</w:t>
      </w:r>
      <w:r>
        <w:rPr>
          <w:rFonts w:hint="eastAsia" w:ascii="仿宋" w:hAnsi="仿宋" w:eastAsia="仿宋" w:cs="仿宋"/>
          <w:b/>
          <w:sz w:val="32"/>
          <w:szCs w:val="32"/>
        </w:rPr>
        <w:t>基层首诊，双向转诊：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落实了基层首诊，双向转诊制度，轻症患者在村卫生室治疗，一般常见多发疾病在楠市分院治疗，大病、复杂性疾病、危急重病上转医共体总院治疗。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120楠市急救转运站救护车免费接诊急救病人。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总院住院病人稳定期下转楠市分院治疗，治愈后返村卫生室跟踪管理。</w:t>
      </w:r>
    </w:p>
    <w:p w14:paraId="0178A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医疗资源下沉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：邀请总院各科专家来楠市分院坐诊、会诊、查房、手术和授课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常态化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提高了医务人员的整体素质、救治能力、医患沟通技巧，实现了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“让群众在家门口都能看上大专家”。</w:t>
      </w:r>
    </w:p>
    <w:p w14:paraId="2753F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“一院一特色”建设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类外科手术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621人次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，服务全县群众，周边县市也有患者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前来治疗。遵照习近平总书记“信中医、学中医、用中医” 的指示，大力发展应用中医药和中医适宜技术，为群众解除病痛。</w:t>
      </w:r>
    </w:p>
    <w:p w14:paraId="6C55A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县乡村一体化建设：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紧密型医共体通过总院、分院、各村卫生室紧密联系，通过云视讯互联互通，会诊、开会、学习、布置日常工作。</w:t>
      </w:r>
    </w:p>
    <w:p w14:paraId="2ACCE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医共体内横向联合：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医共体内与土市分院、祠市分院的公共卫生工作相互协作，与土市分院、祠市分院的检验、照片资源共享。各分院一般外科病人推荐来楠市分院手术，为群众减轻医疗费用，节约医保资金。</w:t>
      </w:r>
    </w:p>
    <w:p w14:paraId="6D73A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县域医疗副中心建设：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与周边分院实施了医疗资源共享，土市、祠市分院的照片、化验可在楠市医院检查，节约了医疗资源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避免患者来回奔波，方便群众就医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794D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120急救站建设：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急救转运点合理布局、改善硬件设施，重新规划了医务人员值班室，安排两组人员24小时值班，为老百姓提供了24小时急救服务。建设了调度副中心，配备了两台救护车，车内配备了除颤仪、心电监护等各种急救设备和抢救药物。极大地缩短了楠市、土市、祠市区域病人的院前急救时间，为抢救病人，挽救生命赢得了机会。</w:t>
      </w:r>
    </w:p>
    <w:p w14:paraId="74BD1A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医共体宣传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:通过院内和各村固定宣传栏、微信群、朋友圈、公众号、新闻报道、媒体文章、发放宣传单、与群众直接交流沟通，宣传医共体的医疗技术、检查设备、服务能力。医共体在群众中的知晓率和影响力不断上升。</w:t>
      </w:r>
    </w:p>
    <w:p w14:paraId="0DBC7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通过不断努力，让“小病不出村，常见病不出乡，大病不出县”的医改理念落到实处，群众的满意度不断上升。</w:t>
      </w:r>
    </w:p>
    <w:p w14:paraId="51036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人才的培养：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年派送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医生、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士、村医到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进修、培训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，提升医疗服务水平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团结协作精神。</w:t>
      </w:r>
    </w:p>
    <w:p w14:paraId="34138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基本医疗情况</w:t>
      </w:r>
    </w:p>
    <w:p w14:paraId="76FC0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楠市分院总收入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万，其中门诊病人数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23714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，出院病人数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C5FA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年手术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621台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（其中门诊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台，住院手术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落实双向转诊制度，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全年上转病人346人次，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比上一年度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134人次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增加192人次，增加136%，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下转回访214人次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3C91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与其他单位协作化验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3228人次涉及金额41.2万元，DR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141人次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金额为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8027元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560DC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共体楠市分院的社会影响力不断提升，不仅服务于本镇辖区群众，还辐射到周边祠市镇、总市片、土市镇；宁远县冷水镇、太平镇等区域约15万人口。本县各乡镇、新田、宁远、嘉禾、临武、广东、广西均有病人来院手术。</w:t>
      </w:r>
    </w:p>
    <w:p w14:paraId="225BF5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、基本公卫情况</w:t>
      </w:r>
    </w:p>
    <w:p w14:paraId="12A49D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居民健康档案管理31081人，更新率100%，其中老年人4082人，管理率100%，体检人数3154人，体检率77.25%，儿童2096人，管理率100%；高血压管理2029人，管理率99.17%，糖尿病692人，管理率94.7%，严重精神障碍145人，管理率100%；孕产妇136人，管理率100%；脱贫户、监测户1777人，管理率100%；家庭医生签约31023人，同比去年增长91%；预防接种疫苗接种1507人，其中二类疫苗收入39.4万元。</w:t>
      </w:r>
    </w:p>
    <w:p w14:paraId="15DAB8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存在的不足和困难：</w:t>
      </w:r>
    </w:p>
    <w:p w14:paraId="12CF1F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因医保政策的改变，中药、B超、放射、理疗及住院床位费交上一年度有下降。</w:t>
      </w:r>
    </w:p>
    <w:p w14:paraId="2E6F8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医院的业务楼老旧，房间不足且设置不合理；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急需建设一栋现代化的综合性医技楼。</w:t>
      </w:r>
    </w:p>
    <w:p w14:paraId="562D0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公租房欠缺，不能满足职工住宿；</w:t>
      </w:r>
    </w:p>
    <w:p w14:paraId="28CBB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大型医疗设备欠缺：CT、 磁共振；</w:t>
      </w:r>
    </w:p>
    <w:p w14:paraId="2E68D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科室设置欠缺（妇产科、五官科、儿科、血液透析科），导致服务能力遇到瓶颈，无法进一步拓展业务。</w:t>
      </w:r>
    </w:p>
    <w:p w14:paraId="3E575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正市区的专业技术人员、设施设备严重不足，导致正市区医疗服务能力下降。</w:t>
      </w:r>
    </w:p>
    <w:p w14:paraId="4C625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下一步计划</w:t>
      </w:r>
    </w:p>
    <w:p w14:paraId="224E0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完成医共体总院安排的各项任务，完成政府交办的其它任务，在此基础上巩固成绩。</w:t>
      </w:r>
    </w:p>
    <w:p w14:paraId="4FE69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重点探索谋划正市办事处医院的医疗业务管理改革计划，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改善就医环境，选派骨干人员提供24小时医疗服务。安排车辆免费接诊正市患病群众来楠市分院&amp;医共体总院住院治疗，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就近服务正市区域的群众，</w:t>
      </w:r>
    </w:p>
    <w:p w14:paraId="6B8AB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宣传力度，扩大医共体的影响力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不断增加服务人群基数，留住本县病人，努力做到小病不出乡，大病不出县。</w:t>
      </w:r>
    </w:p>
    <w:p w14:paraId="73764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读懂医保政策，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提升专业技术能力，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提升服务能力，增收节支。提升干部职工待遇。</w:t>
      </w:r>
    </w:p>
    <w:p w14:paraId="69297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“一院一特色”建设重点加强改进中医科及外科。</w:t>
      </w:r>
    </w:p>
    <w:p w14:paraId="158F6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加强基本公共卫生人员、乡村医生的管理、业务培训，进一步务实各项工作，打造基本医疗和基本公卫相辅相成的团队成员。</w:t>
      </w:r>
    </w:p>
    <w:p w14:paraId="1391C3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抓管理、抓质量、注重人才培养，严与人性化相结合的管理方法；细化、落实医院各项规章制度。</w:t>
      </w:r>
    </w:p>
    <w:p w14:paraId="4E79EC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实现“由粗到细再精、外树形象、内强素质”的工作目标。</w:t>
      </w:r>
    </w:p>
    <w:p w14:paraId="68548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今后我院干部职工将攻坚克难，不忘初心，砥砺前行。把楠市分院建设成群众心目中的好医院。完成上级领导和医共体交办的各项任务。</w:t>
      </w:r>
    </w:p>
    <w:p w14:paraId="4DBB4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楠市镇中心卫生院</w:t>
      </w:r>
    </w:p>
    <w:p w14:paraId="55783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OThlZTJjYzQwMjQwZmYxZDFhNjVkY2IwMDBiZDAifQ=="/>
  </w:docVars>
  <w:rsids>
    <w:rsidRoot w:val="2284419A"/>
    <w:rsid w:val="01545A05"/>
    <w:rsid w:val="08CB362C"/>
    <w:rsid w:val="118F65E6"/>
    <w:rsid w:val="12900868"/>
    <w:rsid w:val="12AA36D7"/>
    <w:rsid w:val="183028D1"/>
    <w:rsid w:val="18505DD0"/>
    <w:rsid w:val="1D74500E"/>
    <w:rsid w:val="213251ED"/>
    <w:rsid w:val="2284419A"/>
    <w:rsid w:val="230153EE"/>
    <w:rsid w:val="236D6896"/>
    <w:rsid w:val="2B3C2EE3"/>
    <w:rsid w:val="321D1F3A"/>
    <w:rsid w:val="372431A9"/>
    <w:rsid w:val="387D1862"/>
    <w:rsid w:val="441D7E54"/>
    <w:rsid w:val="452B5FB0"/>
    <w:rsid w:val="52565254"/>
    <w:rsid w:val="53C8086B"/>
    <w:rsid w:val="5FA02703"/>
    <w:rsid w:val="60012F62"/>
    <w:rsid w:val="64507CF7"/>
    <w:rsid w:val="69AE677E"/>
    <w:rsid w:val="6B106AA6"/>
    <w:rsid w:val="6C414BA6"/>
    <w:rsid w:val="72C07522"/>
    <w:rsid w:val="73E334C8"/>
    <w:rsid w:val="7B8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2773</Words>
  <Characters>2997</Characters>
  <Lines>0</Lines>
  <Paragraphs>0</Paragraphs>
  <TotalTime>1</TotalTime>
  <ScaleCrop>false</ScaleCrop>
  <LinksUpToDate>false</LinksUpToDate>
  <CharactersWithSpaces>3041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2023-12-08T02:58:00Z</dcterms:created>
  <dc:creator>Administrator</dc:creator>
  <cp:lastModifiedBy>Zss</cp:lastModifiedBy>
  <cp:lastPrinted>2023-12-20T03:30:00Z</cp:lastPrinted>
  <dcterms:modified xsi:type="dcterms:W3CDTF">2024-07-26T09:24:00Z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280173A7ACA74B5BA447CA01290D6B6A_13</vt:lpwstr>
  </property>
</Properties>
</file>