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9C1657">
      <w:pPr>
        <w:rPr>
          <w:rFonts w:hint="eastAsia" w:ascii="楷体" w:hAnsi="楷体" w:eastAsia="楷体" w:cs="楷体"/>
          <w:bCs/>
          <w:sz w:val="32"/>
          <w:szCs w:val="32"/>
        </w:rPr>
      </w:pPr>
    </w:p>
    <w:p w14:paraId="1C11EB7D">
      <w:pPr>
        <w:jc w:val="center"/>
        <w:outlineLvl w:val="0"/>
        <w:rPr>
          <w:rFonts w:hint="eastAsia" w:ascii="楷体" w:hAnsi="楷体" w:eastAsia="楷体" w:cs="楷体"/>
          <w:b/>
          <w:sz w:val="36"/>
          <w:szCs w:val="36"/>
        </w:rPr>
      </w:pPr>
      <w:r>
        <w:rPr>
          <w:rFonts w:hint="eastAsia" w:ascii="楷体" w:hAnsi="楷体" w:eastAsia="楷体" w:cs="楷体"/>
          <w:b/>
          <w:sz w:val="36"/>
          <w:szCs w:val="36"/>
        </w:rPr>
        <w:t>蓝山县农机事务中心2023年度部门</w:t>
      </w:r>
    </w:p>
    <w:p w14:paraId="7683D2C1">
      <w:pPr>
        <w:jc w:val="center"/>
        <w:outlineLvl w:val="0"/>
        <w:rPr>
          <w:rFonts w:hint="eastAsia" w:ascii="楷体" w:hAnsi="楷体" w:eastAsia="楷体" w:cs="楷体"/>
          <w:b/>
          <w:sz w:val="36"/>
          <w:szCs w:val="36"/>
        </w:rPr>
      </w:pPr>
      <w:r>
        <w:rPr>
          <w:rFonts w:hint="eastAsia" w:ascii="楷体" w:hAnsi="楷体" w:eastAsia="楷体" w:cs="楷体"/>
          <w:b/>
          <w:sz w:val="36"/>
          <w:szCs w:val="36"/>
        </w:rPr>
        <w:t>整体绩效评价报告</w:t>
      </w:r>
    </w:p>
    <w:p w14:paraId="3A3926BB">
      <w:pPr>
        <w:keepNext w:val="0"/>
        <w:keepLines w:val="0"/>
        <w:pageBreakBefore w:val="0"/>
        <w:widowControl/>
        <w:kinsoku/>
        <w:wordWrap/>
        <w:overflowPunct/>
        <w:topLinePunct w:val="0"/>
        <w:autoSpaceDE/>
        <w:autoSpaceDN/>
        <w:bidi w:val="0"/>
        <w:adjustRightInd w:val="0"/>
        <w:snapToGrid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根据《中共中央 国务院 关于全面实施预算绩效管理的意见》（中发[2018]34号）和</w:t>
      </w:r>
      <w:r>
        <w:rPr>
          <w:rFonts w:hint="eastAsia" w:ascii="仿宋_GB2312" w:hAnsi="仿宋_GB2312" w:eastAsia="仿宋_GB2312" w:cs="仿宋_GB2312"/>
          <w:bCs/>
          <w:sz w:val="32"/>
          <w:szCs w:val="32"/>
        </w:rPr>
        <w:t>中共湖南省委办公厅 湖南省人民政府办公厅《关于全面实施预算绩效管理的实施意见》（湘办发[2019]10号）及</w:t>
      </w:r>
      <w:r>
        <w:rPr>
          <w:rFonts w:hint="eastAsia" w:ascii="仿宋_GB2312" w:hAnsi="仿宋_GB2312" w:eastAsia="仿宋_GB2312" w:cs="仿宋_GB2312"/>
          <w:sz w:val="32"/>
          <w:szCs w:val="32"/>
        </w:rPr>
        <w:t>《湖南省预算支出绩效评价管理办法》（湘财绩[2023]7号）要求，</w:t>
      </w:r>
      <w:r>
        <w:rPr>
          <w:rFonts w:hint="eastAsia" w:ascii="仿宋_GB2312" w:hAnsi="仿宋_GB2312" w:eastAsia="仿宋_GB2312" w:cs="仿宋_GB2312"/>
          <w:bCs/>
          <w:sz w:val="32"/>
          <w:szCs w:val="32"/>
        </w:rPr>
        <w:t>《蓝山县财政局关于开展2023年度财政支出绩效自评工作的通知》</w:t>
      </w:r>
      <w:r>
        <w:rPr>
          <w:rFonts w:hint="eastAsia" w:ascii="仿宋_GB2312" w:hAnsi="仿宋_GB2312" w:eastAsia="仿宋_GB2312" w:cs="仿宋_GB2312"/>
          <w:sz w:val="32"/>
          <w:szCs w:val="32"/>
        </w:rPr>
        <w:t>要求</w:t>
      </w:r>
      <w:r>
        <w:rPr>
          <w:rFonts w:hint="eastAsia" w:ascii="仿宋_GB2312" w:hAnsi="仿宋_GB2312" w:eastAsia="仿宋_GB2312" w:cs="仿宋_GB2312"/>
          <w:bCs/>
          <w:sz w:val="32"/>
          <w:szCs w:val="32"/>
        </w:rPr>
        <w:t>，我单位领导高度重视，认真组织，对2023年部门整体支出进行了绩效自评，现将我单位部门整体支出绩效自评情况报告如下：</w:t>
      </w:r>
    </w:p>
    <w:p w14:paraId="3D8FAE13">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一、部门（单位）概况</w:t>
      </w:r>
    </w:p>
    <w:p w14:paraId="4C15D61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(一）部门基本情况</w:t>
      </w:r>
    </w:p>
    <w:p w14:paraId="7CC2D2E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111111"/>
          <w:sz w:val="32"/>
          <w:szCs w:val="32"/>
          <w:shd w:val="clear" w:color="auto" w:fill="FFFFFF"/>
        </w:rPr>
      </w:pPr>
      <w:r>
        <w:rPr>
          <w:rFonts w:hint="eastAsia" w:ascii="仿宋_GB2312" w:hAnsi="仿宋_GB2312" w:eastAsia="仿宋_GB2312" w:cs="仿宋_GB2312"/>
          <w:color w:val="0000FF"/>
          <w:sz w:val="32"/>
          <w:szCs w:val="32"/>
        </w:rPr>
        <w:t>1.基本情况</w:t>
      </w:r>
      <w:r>
        <w:rPr>
          <w:rFonts w:hint="eastAsia" w:ascii="仿宋_GB2312" w:hAnsi="仿宋_GB2312" w:eastAsia="仿宋_GB2312" w:cs="仿宋_GB2312"/>
          <w:sz w:val="32"/>
          <w:szCs w:val="32"/>
        </w:rPr>
        <w:t>：</w:t>
      </w:r>
      <w:r>
        <w:rPr>
          <w:rFonts w:hint="eastAsia" w:ascii="仿宋_GB2312" w:hAnsi="仿宋_GB2312" w:eastAsia="仿宋_GB2312" w:cs="仿宋_GB2312"/>
          <w:color w:val="000000"/>
          <w:sz w:val="32"/>
          <w:szCs w:val="32"/>
          <w:shd w:val="clear" w:color="auto" w:fill="FFFFFF"/>
          <w:lang w:bidi="ar"/>
        </w:rPr>
        <w:t>蓝山县农机事务中心于2023年3月4日成立，系县农业农村局所属副科级事业参公单位，</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"https://ditu.so.com/?pid=7b195f43388343ff&amp;src=onebox-map_new_singleC_new_gov-address" \t "https://www.so.com/_blank" </w:instrText>
      </w:r>
      <w:r>
        <w:rPr>
          <w:rFonts w:hint="eastAsia" w:ascii="仿宋_GB2312" w:hAnsi="仿宋_GB2312" w:eastAsia="仿宋_GB2312" w:cs="仿宋_GB2312"/>
          <w:sz w:val="32"/>
          <w:szCs w:val="32"/>
        </w:rPr>
        <w:fldChar w:fldCharType="separate"/>
      </w:r>
      <w:r>
        <w:rPr>
          <w:rStyle w:val="9"/>
          <w:rFonts w:hint="eastAsia" w:ascii="仿宋_GB2312" w:hAnsi="仿宋_GB2312" w:eastAsia="仿宋_GB2312" w:cs="仿宋_GB2312"/>
          <w:color w:val="111111"/>
          <w:sz w:val="32"/>
          <w:szCs w:val="32"/>
          <w:u w:val="none"/>
          <w:shd w:val="clear" w:color="auto" w:fill="FFFFFF"/>
        </w:rPr>
        <w:t>位于蓝山县古城路</w:t>
      </w:r>
      <w:r>
        <w:rPr>
          <w:rStyle w:val="9"/>
          <w:rFonts w:hint="eastAsia" w:ascii="仿宋_GB2312" w:hAnsi="仿宋_GB2312" w:eastAsia="仿宋_GB2312" w:cs="仿宋_GB2312"/>
          <w:color w:val="111111"/>
          <w:sz w:val="32"/>
          <w:szCs w:val="32"/>
          <w:u w:val="none"/>
          <w:shd w:val="clear" w:color="auto" w:fill="FFFFFF"/>
        </w:rPr>
        <w:fldChar w:fldCharType="end"/>
      </w:r>
      <w:r>
        <w:rPr>
          <w:rFonts w:hint="eastAsia" w:ascii="仿宋_GB2312" w:hAnsi="仿宋_GB2312" w:eastAsia="仿宋_GB2312" w:cs="仿宋_GB2312"/>
          <w:color w:val="111111"/>
          <w:sz w:val="32"/>
          <w:szCs w:val="32"/>
          <w:shd w:val="clear" w:color="auto" w:fill="FFFFFF"/>
        </w:rPr>
        <w:t>53号。</w:t>
      </w:r>
    </w:p>
    <w:p w14:paraId="59219147">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sz w:val="32"/>
          <w:szCs w:val="32"/>
          <w:shd w:val="clear" w:color="auto" w:fill="FFFFFF"/>
          <w:lang w:bidi="ar"/>
        </w:rPr>
      </w:pPr>
      <w:r>
        <w:rPr>
          <w:rFonts w:hint="eastAsia" w:ascii="仿宋_GB2312" w:hAnsi="仿宋_GB2312" w:eastAsia="仿宋_GB2312" w:cs="仿宋_GB2312"/>
          <w:color w:val="0000FF"/>
          <w:sz w:val="32"/>
          <w:szCs w:val="32"/>
          <w:shd w:val="clear" w:color="auto" w:fill="FFFFFF"/>
        </w:rPr>
        <w:t>2.工作职责：</w:t>
      </w:r>
      <w:r>
        <w:rPr>
          <w:rFonts w:hint="eastAsia" w:ascii="仿宋_GB2312" w:hAnsi="仿宋_GB2312" w:eastAsia="仿宋_GB2312" w:cs="仿宋_GB2312"/>
          <w:color w:val="000000"/>
          <w:sz w:val="32"/>
          <w:szCs w:val="32"/>
          <w:shd w:val="clear" w:color="auto" w:fill="FFFFFF"/>
          <w:lang w:bidi="ar"/>
        </w:rPr>
        <w:fldChar w:fldCharType="begin"/>
      </w:r>
      <w:r>
        <w:rPr>
          <w:rFonts w:hint="eastAsia" w:ascii="仿宋_GB2312" w:hAnsi="仿宋_GB2312" w:eastAsia="仿宋_GB2312" w:cs="仿宋_GB2312"/>
          <w:color w:val="000000"/>
          <w:sz w:val="32"/>
          <w:szCs w:val="32"/>
          <w:shd w:val="clear" w:color="auto" w:fill="FFFFFF"/>
          <w:lang w:bidi="ar"/>
        </w:rPr>
        <w:instrText xml:space="preserve"> = 1 \* GB3 \* MERGEFORMAT </w:instrText>
      </w:r>
      <w:r>
        <w:rPr>
          <w:rFonts w:hint="eastAsia" w:ascii="仿宋_GB2312" w:hAnsi="仿宋_GB2312" w:eastAsia="仿宋_GB2312" w:cs="仿宋_GB2312"/>
          <w:color w:val="000000"/>
          <w:sz w:val="32"/>
          <w:szCs w:val="32"/>
          <w:shd w:val="clear" w:color="auto" w:fill="FFFFFF"/>
          <w:lang w:bidi="ar"/>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color w:val="000000"/>
          <w:sz w:val="32"/>
          <w:szCs w:val="32"/>
          <w:shd w:val="clear" w:color="auto" w:fill="FFFFFF"/>
          <w:lang w:bidi="ar"/>
        </w:rPr>
        <w:fldChar w:fldCharType="end"/>
      </w:r>
      <w:r>
        <w:rPr>
          <w:rFonts w:hint="eastAsia" w:ascii="仿宋_GB2312" w:hAnsi="仿宋_GB2312" w:eastAsia="仿宋_GB2312" w:cs="仿宋_GB2312"/>
          <w:color w:val="000000"/>
          <w:sz w:val="32"/>
          <w:szCs w:val="32"/>
          <w:shd w:val="clear" w:color="auto" w:fill="FFFFFF"/>
          <w:lang w:bidi="ar"/>
        </w:rPr>
        <w:t xml:space="preserve">组织指导全县农机推广、服务体系建设和农机投入抗灾救灾等工作,研究拟定有关农机安全生产、作业规范和监督管理等规范性文件,提出全县农机化发展方向、中长期发展规划及重大技术措施建议。 </w:t>
      </w:r>
      <w:r>
        <w:rPr>
          <w:rFonts w:hint="eastAsia" w:ascii="仿宋_GB2312" w:hAnsi="仿宋_GB2312" w:eastAsia="仿宋_GB2312" w:cs="仿宋_GB2312"/>
          <w:color w:val="000000"/>
          <w:sz w:val="32"/>
          <w:szCs w:val="32"/>
          <w:shd w:val="clear" w:color="auto" w:fill="FFFFFF"/>
          <w:lang w:bidi="ar"/>
        </w:rPr>
        <w:fldChar w:fldCharType="begin"/>
      </w:r>
      <w:r>
        <w:rPr>
          <w:rFonts w:hint="eastAsia" w:ascii="仿宋_GB2312" w:hAnsi="仿宋_GB2312" w:eastAsia="仿宋_GB2312" w:cs="仿宋_GB2312"/>
          <w:color w:val="000000"/>
          <w:sz w:val="32"/>
          <w:szCs w:val="32"/>
          <w:shd w:val="clear" w:color="auto" w:fill="FFFFFF"/>
          <w:lang w:bidi="ar"/>
        </w:rPr>
        <w:instrText xml:space="preserve"> = 2 \* GB3 \* MERGEFORMAT </w:instrText>
      </w:r>
      <w:r>
        <w:rPr>
          <w:rFonts w:hint="eastAsia" w:ascii="仿宋_GB2312" w:hAnsi="仿宋_GB2312" w:eastAsia="仿宋_GB2312" w:cs="仿宋_GB2312"/>
          <w:color w:val="000000"/>
          <w:sz w:val="32"/>
          <w:szCs w:val="32"/>
          <w:shd w:val="clear" w:color="auto" w:fill="FFFFFF"/>
          <w:lang w:bidi="ar"/>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color w:val="000000"/>
          <w:sz w:val="32"/>
          <w:szCs w:val="32"/>
          <w:shd w:val="clear" w:color="auto" w:fill="FFFFFF"/>
          <w:lang w:bidi="ar"/>
        </w:rPr>
        <w:fldChar w:fldCharType="end"/>
      </w:r>
      <w:r>
        <w:rPr>
          <w:rFonts w:hint="eastAsia" w:ascii="仿宋_GB2312" w:hAnsi="仿宋_GB2312" w:eastAsia="仿宋_GB2312" w:cs="仿宋_GB2312"/>
          <w:color w:val="000000"/>
          <w:sz w:val="32"/>
          <w:szCs w:val="32"/>
          <w:shd w:val="clear" w:color="auto" w:fill="FFFFFF"/>
          <w:lang w:bidi="ar"/>
        </w:rPr>
        <w:t xml:space="preserve">负责农机化技术培训和农机购置补贴工作; </w:t>
      </w:r>
      <w:r>
        <w:rPr>
          <w:rFonts w:hint="eastAsia" w:ascii="仿宋_GB2312" w:hAnsi="仿宋_GB2312" w:eastAsia="仿宋_GB2312" w:cs="仿宋_GB2312"/>
          <w:color w:val="000000"/>
          <w:sz w:val="32"/>
          <w:szCs w:val="32"/>
          <w:shd w:val="clear" w:color="auto" w:fill="FFFFFF"/>
          <w:lang w:bidi="ar"/>
        </w:rPr>
        <w:fldChar w:fldCharType="begin"/>
      </w:r>
      <w:r>
        <w:rPr>
          <w:rFonts w:hint="eastAsia" w:ascii="仿宋_GB2312" w:hAnsi="仿宋_GB2312" w:eastAsia="仿宋_GB2312" w:cs="仿宋_GB2312"/>
          <w:color w:val="000000"/>
          <w:sz w:val="32"/>
          <w:szCs w:val="32"/>
          <w:shd w:val="clear" w:color="auto" w:fill="FFFFFF"/>
          <w:lang w:bidi="ar"/>
        </w:rPr>
        <w:instrText xml:space="preserve"> = 3 \* GB3 \* MERGEFORMAT </w:instrText>
      </w:r>
      <w:r>
        <w:rPr>
          <w:rFonts w:hint="eastAsia" w:ascii="仿宋_GB2312" w:hAnsi="仿宋_GB2312" w:eastAsia="仿宋_GB2312" w:cs="仿宋_GB2312"/>
          <w:color w:val="000000"/>
          <w:sz w:val="32"/>
          <w:szCs w:val="32"/>
          <w:shd w:val="clear" w:color="auto" w:fill="FFFFFF"/>
          <w:lang w:bidi="ar"/>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color w:val="000000"/>
          <w:sz w:val="32"/>
          <w:szCs w:val="32"/>
          <w:shd w:val="clear" w:color="auto" w:fill="FFFFFF"/>
          <w:lang w:bidi="ar"/>
        </w:rPr>
        <w:fldChar w:fldCharType="end"/>
      </w:r>
      <w:r>
        <w:rPr>
          <w:rFonts w:hint="eastAsia" w:ascii="仿宋_GB2312" w:hAnsi="仿宋_GB2312" w:eastAsia="仿宋_GB2312" w:cs="仿宋_GB2312"/>
          <w:color w:val="000000"/>
          <w:sz w:val="32"/>
          <w:szCs w:val="32"/>
          <w:shd w:val="clear" w:color="auto" w:fill="FFFFFF"/>
          <w:lang w:bidi="ar"/>
        </w:rPr>
        <w:t xml:space="preserve">组织实施拖拉机、联合收割机等农业机械的安全监理和牌证管理工作;负责农机安全生产工作; </w:t>
      </w:r>
      <w:r>
        <w:rPr>
          <w:rFonts w:hint="eastAsia" w:ascii="仿宋_GB2312" w:hAnsi="仿宋_GB2312" w:eastAsia="仿宋_GB2312" w:cs="仿宋_GB2312"/>
          <w:color w:val="000000"/>
          <w:sz w:val="32"/>
          <w:szCs w:val="32"/>
          <w:shd w:val="clear" w:color="auto" w:fill="FFFFFF"/>
          <w:lang w:bidi="ar"/>
        </w:rPr>
        <w:fldChar w:fldCharType="begin"/>
      </w:r>
      <w:r>
        <w:rPr>
          <w:rFonts w:hint="eastAsia" w:ascii="仿宋_GB2312" w:hAnsi="仿宋_GB2312" w:eastAsia="仿宋_GB2312" w:cs="仿宋_GB2312"/>
          <w:color w:val="000000"/>
          <w:sz w:val="32"/>
          <w:szCs w:val="32"/>
          <w:shd w:val="clear" w:color="auto" w:fill="FFFFFF"/>
          <w:lang w:bidi="ar"/>
        </w:rPr>
        <w:instrText xml:space="preserve"> = 4 \* GB3 \* MERGEFORMAT </w:instrText>
      </w:r>
      <w:r>
        <w:rPr>
          <w:rFonts w:hint="eastAsia" w:ascii="仿宋_GB2312" w:hAnsi="仿宋_GB2312" w:eastAsia="仿宋_GB2312" w:cs="仿宋_GB2312"/>
          <w:color w:val="000000"/>
          <w:sz w:val="32"/>
          <w:szCs w:val="32"/>
          <w:shd w:val="clear" w:color="auto" w:fill="FFFFFF"/>
          <w:lang w:bidi="ar"/>
        </w:rPr>
        <w:fldChar w:fldCharType="separate"/>
      </w:r>
      <w:r>
        <w:rPr>
          <w:rFonts w:hint="eastAsia" w:ascii="仿宋_GB2312" w:hAnsi="仿宋_GB2312" w:eastAsia="仿宋_GB2312" w:cs="仿宋_GB2312"/>
          <w:sz w:val="32"/>
          <w:szCs w:val="32"/>
        </w:rPr>
        <w:t>④</w:t>
      </w:r>
      <w:r>
        <w:rPr>
          <w:rFonts w:hint="eastAsia" w:ascii="仿宋_GB2312" w:hAnsi="仿宋_GB2312" w:eastAsia="仿宋_GB2312" w:cs="仿宋_GB2312"/>
          <w:color w:val="000000"/>
          <w:sz w:val="32"/>
          <w:szCs w:val="32"/>
          <w:shd w:val="clear" w:color="auto" w:fill="FFFFFF"/>
          <w:lang w:bidi="ar"/>
        </w:rPr>
        <w:fldChar w:fldCharType="end"/>
      </w:r>
      <w:r>
        <w:rPr>
          <w:rFonts w:hint="eastAsia" w:ascii="仿宋_GB2312" w:hAnsi="仿宋_GB2312" w:eastAsia="仿宋_GB2312" w:cs="仿宋_GB2312"/>
          <w:color w:val="000000"/>
          <w:sz w:val="32"/>
          <w:szCs w:val="32"/>
          <w:shd w:val="clear" w:color="auto" w:fill="FFFFFF"/>
          <w:lang w:bidi="ar"/>
        </w:rPr>
        <w:t>负责农机社会化服务产业发展工作等以及县委、县政府交办的其他工作。</w:t>
      </w:r>
    </w:p>
    <w:p w14:paraId="77CF34D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111111"/>
          <w:sz w:val="32"/>
          <w:szCs w:val="32"/>
          <w:shd w:val="clear" w:color="auto" w:fill="FFFFFF"/>
        </w:rPr>
      </w:pPr>
      <w:r>
        <w:rPr>
          <w:rFonts w:hint="eastAsia" w:ascii="仿宋_GB2312" w:hAnsi="仿宋_GB2312" w:eastAsia="仿宋_GB2312" w:cs="仿宋_GB2312"/>
          <w:color w:val="0000FF"/>
          <w:sz w:val="32"/>
          <w:szCs w:val="32"/>
          <w:shd w:val="clear" w:color="auto" w:fill="FFFFFF"/>
        </w:rPr>
        <w:t>3.机构设置：</w:t>
      </w:r>
      <w:r>
        <w:rPr>
          <w:rFonts w:hint="eastAsia" w:ascii="仿宋_GB2312" w:hAnsi="仿宋_GB2312" w:eastAsia="仿宋_GB2312" w:cs="仿宋_GB2312"/>
          <w:color w:val="111111"/>
          <w:sz w:val="32"/>
          <w:szCs w:val="32"/>
          <w:shd w:val="clear" w:color="auto" w:fill="FFFFFF"/>
        </w:rPr>
        <w:t>单位为副科级事业</w:t>
      </w:r>
      <w:r>
        <w:rPr>
          <w:rFonts w:hint="eastAsia" w:ascii="仿宋_GB2312" w:hAnsi="仿宋_GB2312" w:eastAsia="仿宋_GB2312" w:cs="仿宋_GB2312"/>
          <w:color w:val="000000"/>
          <w:sz w:val="32"/>
          <w:szCs w:val="32"/>
          <w:shd w:val="clear" w:color="auto" w:fill="FFFFFF"/>
          <w:lang w:bidi="ar"/>
        </w:rPr>
        <w:t>参公</w:t>
      </w:r>
      <w:r>
        <w:rPr>
          <w:rFonts w:hint="eastAsia" w:ascii="仿宋_GB2312" w:hAnsi="仿宋_GB2312" w:eastAsia="仿宋_GB2312" w:cs="仿宋_GB2312"/>
          <w:color w:val="111111"/>
          <w:sz w:val="32"/>
          <w:szCs w:val="32"/>
          <w:shd w:val="clear" w:color="auto" w:fill="FFFFFF"/>
        </w:rPr>
        <w:t>单位,内设综合股、生产服务股、产业发展股、技术推广股和安全监理股等五个职能股室。</w:t>
      </w:r>
    </w:p>
    <w:p w14:paraId="632A48EF">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color w:val="4F81BD" w:themeColor="accent1"/>
          <w:sz w:val="32"/>
          <w:szCs w:val="32"/>
          <w14:textFill>
            <w14:solidFill>
              <w14:schemeClr w14:val="accent1"/>
            </w14:solidFill>
          </w14:textFill>
        </w:rPr>
        <w:t>4.人员及公车情况：</w:t>
      </w:r>
      <w:r>
        <w:rPr>
          <w:rFonts w:hint="eastAsia" w:ascii="仿宋_GB2312" w:hAnsi="仿宋_GB2312" w:eastAsia="仿宋_GB2312" w:cs="仿宋_GB2312"/>
          <w:color w:val="111111"/>
          <w:sz w:val="32"/>
          <w:szCs w:val="32"/>
          <w:shd w:val="clear" w:color="auto" w:fill="FFFFFF"/>
        </w:rPr>
        <w:t>核定全额拨款事业编制61人，现有工作人员35人。</w:t>
      </w:r>
      <w:r>
        <w:rPr>
          <w:rFonts w:hint="eastAsia" w:ascii="仿宋_GB2312" w:hAnsi="仿宋_GB2312" w:eastAsia="仿宋_GB2312" w:cs="仿宋_GB2312"/>
          <w:bCs/>
          <w:sz w:val="32"/>
          <w:szCs w:val="32"/>
        </w:rPr>
        <w:t>退休人员31人，遗属抚养人员6人，临时人员3人，公车改革后，现有车辆编制0台，因2014年开展农机安全互助保险工作,业绩突出,被省农机局评为先进单位,奖励车1台,实有车辆1台。</w:t>
      </w:r>
    </w:p>
    <w:p w14:paraId="683CE159">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（二）部门（单位）整体收支规模、使用方向和主要内容、涉及范围等</w:t>
      </w:r>
    </w:p>
    <w:p w14:paraId="029DFC16">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color w:val="FF0000"/>
          <w:sz w:val="32"/>
          <w:szCs w:val="32"/>
        </w:rPr>
      </w:pPr>
      <w:r>
        <w:rPr>
          <w:rFonts w:hint="eastAsia" w:ascii="仿宋_GB2312" w:hAnsi="仿宋_GB2312" w:eastAsia="仿宋_GB2312" w:cs="仿宋_GB2312"/>
          <w:bCs/>
          <w:sz w:val="32"/>
          <w:szCs w:val="32"/>
        </w:rPr>
        <w:t>我单位2023年收到财政资金1476.67万元，年初结转结余0元，合计1476.67万元。其中基本支出461.20万元，项目支出1015.47万元；2023年全年实际支出1476.67元；结余财政资金0元。基本支出结余0 元，项目支出结余0元。</w:t>
      </w:r>
    </w:p>
    <w:p w14:paraId="01DC88ED">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1.基本支出461.20万元（保工资）（保运转）：</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工资福利支出359.2万元，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商品和服务支出44.2万元，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对个人和家庭的补助57.8万元</w:t>
      </w:r>
    </w:p>
    <w:p w14:paraId="047D90AB">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其中：人员经费417万元及公用经费44.20万元。分别为</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2019999其他一般公共服务支出0.97万元，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2080505机关事业单位基本养老保险缴费支出34.81万元，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2080711就业见习补贴0.38万元，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4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④</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2080801死亡抚恤35.88万元，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5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⑤</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2080802伤残抚恤1.28万元，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6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⑥</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2101102事业单位医疗9.92万元，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5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⑤</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2120199其他城乡社区管理事务支出0.06万元，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6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⑥</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2130104事业运行0.66万元，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7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⑦</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2130101行政运行363.64万元，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9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⑨</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2010301行政运行13.6万元。</w:t>
      </w:r>
    </w:p>
    <w:p w14:paraId="6023ACCF">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2.项目支出1015.47万元（保民生，主要是发放农机购置及报废补贴，机插机抛秧作业补贴等涉农资金）：</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工资福利支出5.88万元，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商品和服务支出18.14万元，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对个人和家庭的补助991.45万元。</w:t>
      </w:r>
    </w:p>
    <w:p w14:paraId="53A9585B">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其中：</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2013299其他组织事务支出3.98万元，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2019999其他一般公共服务支出0.75万元，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2130104项目管理经费36.44万元，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4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④</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2220199其他粮油物资事务支出133.81万元，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5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⑤</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2130101办公费用补助94.63万元，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6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⑥</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2130122一品一特建设补助745.86万元。</w:t>
      </w:r>
    </w:p>
    <w:p w14:paraId="22AF6EE8">
      <w:pPr>
        <w:pStyle w:val="5"/>
        <w:keepNext w:val="0"/>
        <w:keepLines w:val="0"/>
        <w:pageBreakBefore w:val="0"/>
        <w:kinsoku/>
        <w:wordWrap/>
        <w:overflowPunct/>
        <w:topLinePunct w:val="0"/>
        <w:autoSpaceDE/>
        <w:autoSpaceDN/>
        <w:bidi w:val="0"/>
        <w:spacing w:beforeAutospacing="0" w:afterAutospacing="0" w:line="52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二、部门整体支出管理及使用情况</w:t>
      </w:r>
    </w:p>
    <w:p w14:paraId="3F3E7793">
      <w:pPr>
        <w:pStyle w:val="5"/>
        <w:keepNext w:val="0"/>
        <w:keepLines w:val="0"/>
        <w:pageBreakBefore w:val="0"/>
        <w:kinsoku/>
        <w:wordWrap/>
        <w:overflowPunct/>
        <w:topLinePunct w:val="0"/>
        <w:autoSpaceDE/>
        <w:autoSpaceDN/>
        <w:bidi w:val="0"/>
        <w:spacing w:beforeAutospacing="0" w:afterAutospacing="0" w:line="52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一）基本支出管理情况</w:t>
      </w:r>
    </w:p>
    <w:p w14:paraId="5A7E0C35">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1.本年预算指标可用情况</w:t>
      </w:r>
    </w:p>
    <w:p w14:paraId="30A723DF">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color w:val="FF0000"/>
          <w:sz w:val="32"/>
          <w:szCs w:val="32"/>
        </w:rPr>
      </w:pPr>
      <w:r>
        <w:rPr>
          <w:rFonts w:hint="eastAsia" w:ascii="仿宋_GB2312" w:hAnsi="仿宋_GB2312" w:eastAsia="仿宋_GB2312" w:cs="仿宋_GB2312"/>
          <w:bCs/>
          <w:sz w:val="32"/>
          <w:szCs w:val="32"/>
        </w:rPr>
        <w:t>我单位2023年收到财政资金1476.67万元，年初结转结余0元，合计1476.67万元。其中基本支出461.20万元，项目支出1015.47万元；2023年全年实际支出1476.67元；结余财政资金0元。基本支出结余0元，项目支出结余0元。</w:t>
      </w:r>
    </w:p>
    <w:p w14:paraId="1717FAF4">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2.基本支出预算执行情况</w:t>
      </w:r>
      <w:r>
        <w:rPr>
          <w:rFonts w:hint="eastAsia" w:ascii="仿宋_GB2312" w:hAnsi="仿宋_GB2312" w:eastAsia="仿宋_GB2312" w:cs="仿宋_GB2312"/>
          <w:bCs/>
          <w:sz w:val="32"/>
          <w:szCs w:val="32"/>
        </w:rPr>
        <w:t>1.基本支出461.20万元（保工资）（保运转）：</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工资福利支出359.2万元，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商品和服务支出44.2万元，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对个人和家庭的补助57.8万元</w:t>
      </w:r>
    </w:p>
    <w:p w14:paraId="0E032D6C">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其中：人员经费417万元及公用经费44.20万元。分别为</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2019999其他一般公共服务支出0.97万元，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2080505机关事业单位基本养老保险缴费支出34.81万元，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2080711就业见习补贴0.38万元，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4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④</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2080801死亡抚恤35.88万元，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5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⑤</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2080802伤残抚恤1.28万元，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6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⑥</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2101102事业单位医疗9.92万元，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5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⑤</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2120199其他城乡社区管理事务支出0.06万元，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6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⑥</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2130104事业运行0.66万元，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7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⑦</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2130101行政运行363.64万元，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9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⑨</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2010301行政运行13.6万元。</w:t>
      </w:r>
    </w:p>
    <w:p w14:paraId="2AF2465A">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（二）“三公经费”支出使用和管理情况</w:t>
      </w:r>
    </w:p>
    <w:p w14:paraId="2B81B46D">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1.本年“三公经费”预算情况</w:t>
      </w:r>
    </w:p>
    <w:p w14:paraId="29F38940">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2023年我单位三公经费预算数为：出国出境0万元，公务接待费2.5万元，公车运行维护费用及购置费用0万元。</w:t>
      </w:r>
    </w:p>
    <w:p w14:paraId="7EE512F2">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2.“三公经费”预算执行情况</w:t>
      </w:r>
    </w:p>
    <w:p w14:paraId="3514BEAF">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2023年我单位三公经费执行数为：出国出境0万元，公务接待费0.1388万元，公车运行维护费用及购置费用0万元。</w:t>
      </w:r>
    </w:p>
    <w:p w14:paraId="77E40149">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3.与上年比较，“三公经费”控制情况</w:t>
      </w:r>
    </w:p>
    <w:p w14:paraId="011232D4">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2023年我单位三公经费预算数未超过2022年预算数，执行数未超过预算数。</w:t>
      </w:r>
    </w:p>
    <w:p w14:paraId="3234924F">
      <w:pPr>
        <w:pStyle w:val="5"/>
        <w:keepNext w:val="0"/>
        <w:keepLines w:val="0"/>
        <w:pageBreakBefore w:val="0"/>
        <w:kinsoku/>
        <w:wordWrap/>
        <w:overflowPunct/>
        <w:topLinePunct w:val="0"/>
        <w:autoSpaceDE/>
        <w:autoSpaceDN/>
        <w:bidi w:val="0"/>
        <w:spacing w:beforeAutospacing="0" w:afterAutospacing="0" w:line="52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（三）专项资金管理和使用情况</w:t>
      </w:r>
    </w:p>
    <w:p w14:paraId="25DDA962">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1.专项资金预算投入情况</w:t>
      </w:r>
    </w:p>
    <w:p w14:paraId="43B7DAEC">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2023年我单位专项资金为项目支出1015.47万元（保民生，主要是发放农机购置及报废补贴，机插机抛秧作业补贴等涉农资金）。</w:t>
      </w:r>
    </w:p>
    <w:p w14:paraId="7F566869">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2.专项资金实际投入使用情况</w:t>
      </w:r>
    </w:p>
    <w:p w14:paraId="30F0700B">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项目支出1015.47万元：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工资福利支出5.88万元，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商品和服务支出18.14万元，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对个人和家庭的补助991.45万元。</w:t>
      </w:r>
    </w:p>
    <w:p w14:paraId="13071F0E">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其中：</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1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2013299其他组织事务支出3.98万元，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2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2019999其他一般公共服务支出0.75万元，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3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2130104项目管理经费36.44万元，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4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④</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2220199其他粮油物资事务支出133.81万元，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5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⑤</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2130101办公费用补助94.63万元，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6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⑥</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2130122一品一特建设补助745.86万元。</w:t>
      </w:r>
    </w:p>
    <w:p w14:paraId="133F1363">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3.项目资金管理情况。</w:t>
      </w:r>
    </w:p>
    <w:p w14:paraId="75D77263">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上述资金在上级部门拨付后，资金使用上严格遵守《湖南省省级财政专项资金管理办法》相关规定，按照“专款专用”原则，严格落实专项资金，严格落实专项资金的使用审批手续，资金按时拨付到户。</w:t>
      </w:r>
    </w:p>
    <w:p w14:paraId="654C2D5C">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（四）项目支出管理和使用情况</w:t>
      </w:r>
    </w:p>
    <w:p w14:paraId="367503C1">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1.项目资金预算投入情况</w:t>
      </w:r>
    </w:p>
    <w:p w14:paraId="421DDB14">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2023年我单位专项资金为项目资金1015.47万元（保民生，主要是发放农机购置及报废补贴，机插机抛秧作业补贴等涉农资金）。</w:t>
      </w:r>
    </w:p>
    <w:p w14:paraId="0E6A718D">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2.项目资金实际投入使用情况</w:t>
      </w:r>
    </w:p>
    <w:p w14:paraId="2492D530">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项目支出1015.47万元：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1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工资福利支出5.88万元，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2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商品和服务支出18.14万元，</w:t>
      </w:r>
      <w:r>
        <w:rPr>
          <w:rFonts w:hint="eastAsia" w:ascii="仿宋_GB2312" w:hAnsi="仿宋_GB2312" w:eastAsia="仿宋_GB2312" w:cs="仿宋_GB2312"/>
          <w:bCs/>
          <w:sz w:val="32"/>
          <w:szCs w:val="32"/>
        </w:rPr>
        <w:fldChar w:fldCharType="begin"/>
      </w:r>
      <w:r>
        <w:rPr>
          <w:rFonts w:hint="eastAsia" w:ascii="仿宋_GB2312" w:hAnsi="仿宋_GB2312" w:eastAsia="仿宋_GB2312" w:cs="仿宋_GB2312"/>
          <w:bCs/>
          <w:sz w:val="32"/>
          <w:szCs w:val="32"/>
        </w:rPr>
        <w:instrText xml:space="preserve"> = 3 \* GB3 \* MERGEFORMAT </w:instrText>
      </w:r>
      <w:r>
        <w:rPr>
          <w:rFonts w:hint="eastAsia" w:ascii="仿宋_GB2312" w:hAnsi="仿宋_GB2312" w:eastAsia="仿宋_GB2312" w:cs="仿宋_GB2312"/>
          <w:bCs/>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bCs/>
          <w:sz w:val="32"/>
          <w:szCs w:val="32"/>
        </w:rPr>
        <w:fldChar w:fldCharType="end"/>
      </w:r>
      <w:r>
        <w:rPr>
          <w:rFonts w:hint="eastAsia" w:ascii="仿宋_GB2312" w:hAnsi="仿宋_GB2312" w:eastAsia="仿宋_GB2312" w:cs="仿宋_GB2312"/>
          <w:bCs/>
          <w:sz w:val="32"/>
          <w:szCs w:val="32"/>
        </w:rPr>
        <w:t>对个人和家庭的补助991.45万元。</w:t>
      </w:r>
    </w:p>
    <w:p w14:paraId="3009574C">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其中：</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1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①</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2013299其他组织事务支出3.98万元，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2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②</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2019999其他一般公共服务支出0.75万元，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3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③</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2130104项目管理经费36.44万元，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4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④</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2220199其他粮油物资事务支出133.81万元，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5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⑤</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2130101办公费用补助94.63万元，</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 6 \* GB3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⑥</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2130122一品一特建设补助745.86万元。</w:t>
      </w:r>
    </w:p>
    <w:p w14:paraId="7166D5AC">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主要是以下项目：</w:t>
      </w:r>
    </w:p>
    <w:p w14:paraId="11202A3D">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1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⑴</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.农机购置补贴（上级拨入）507.92万元，发放2022年第二批农机购置补贴及2023年第一批农机购置补贴。</w:t>
      </w:r>
    </w:p>
    <w:p w14:paraId="1A01184A">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2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⑵</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2021年第三批农机购置补贴22.57万元。</w:t>
      </w:r>
    </w:p>
    <w:p w14:paraId="370D9637">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3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⑶</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.2022年第二批农机购置补贴233.87万元。</w:t>
      </w:r>
    </w:p>
    <w:p w14:paraId="1F4892D3">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4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⑷</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.2022年农机合作社建设资金45万元。</w:t>
      </w:r>
    </w:p>
    <w:p w14:paraId="3E357022">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5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⑸</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2022年水稻机插机抛秧作业补贴133.81万元。</w:t>
      </w:r>
    </w:p>
    <w:p w14:paraId="231BAD22">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3.项目资金管理情况。</w:t>
      </w:r>
    </w:p>
    <w:p w14:paraId="77CDB097">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上述资金在上级部门拨付后，资金使用上严格遵守《湖南省省级财政专项资金管理办法》相关规定，按照“专款专用”原则，严格落实专项资金，严格落实专项资金的使用审批手续，资金按时拨付到户。</w:t>
      </w:r>
    </w:p>
    <w:p w14:paraId="28FC7663">
      <w:pPr>
        <w:pStyle w:val="5"/>
        <w:keepNext w:val="0"/>
        <w:keepLines w:val="0"/>
        <w:pageBreakBefore w:val="0"/>
        <w:kinsoku/>
        <w:wordWrap/>
        <w:overflowPunct/>
        <w:topLinePunct w:val="0"/>
        <w:autoSpaceDE/>
        <w:autoSpaceDN/>
        <w:bidi w:val="0"/>
        <w:spacing w:beforeAutospacing="0" w:afterAutospacing="0" w:line="52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三、部门（单位）绩效评价工作组织实施情况</w:t>
      </w:r>
    </w:p>
    <w:p w14:paraId="26832373">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b/>
          <w:bCs/>
          <w:color w:val="FF0000"/>
          <w:sz w:val="32"/>
          <w:szCs w:val="32"/>
        </w:rPr>
      </w:pPr>
      <w:r>
        <w:rPr>
          <w:rFonts w:hint="eastAsia" w:ascii="仿宋_GB2312" w:hAnsi="仿宋_GB2312" w:eastAsia="仿宋_GB2312" w:cs="仿宋_GB2312"/>
          <w:bCs/>
          <w:sz w:val="32"/>
          <w:szCs w:val="32"/>
        </w:rPr>
        <w:t>根据蓝山县财政局关于开展2023年度财政支出绩效自评工作的通知》</w:t>
      </w:r>
      <w:r>
        <w:rPr>
          <w:rFonts w:hint="eastAsia" w:ascii="仿宋_GB2312" w:hAnsi="仿宋_GB2312" w:eastAsia="仿宋_GB2312" w:cs="仿宋_GB2312"/>
          <w:sz w:val="32"/>
          <w:szCs w:val="32"/>
        </w:rPr>
        <w:t>要求</w:t>
      </w:r>
      <w:r>
        <w:rPr>
          <w:rFonts w:hint="eastAsia" w:ascii="仿宋_GB2312" w:hAnsi="仿宋_GB2312" w:eastAsia="仿宋_GB2312" w:cs="仿宋_GB2312"/>
          <w:bCs/>
          <w:sz w:val="32"/>
          <w:szCs w:val="32"/>
        </w:rPr>
        <w:t>，我单位领导高度重视，认真组织，经中心领导会议研究，成立了</w:t>
      </w:r>
      <w:r>
        <w:rPr>
          <w:rFonts w:hint="eastAsia" w:ascii="仿宋_GB2312" w:hAnsi="仿宋_GB2312" w:eastAsia="仿宋_GB2312" w:cs="仿宋_GB2312"/>
          <w:sz w:val="32"/>
          <w:szCs w:val="32"/>
        </w:rPr>
        <w:t>绩效评价工作小组，制定了绩效评价方案。由我中心主任黄积忠担任组长，各股室负责人为成员，办公室设在财务室，会计牵头收集相关资料，小组成员审查核实情况、财务室撰写与提交评价报告等。</w:t>
      </w:r>
    </w:p>
    <w:p w14:paraId="0FF3AAC1">
      <w:pPr>
        <w:pStyle w:val="5"/>
        <w:keepNext w:val="0"/>
        <w:keepLines w:val="0"/>
        <w:pageBreakBefore w:val="0"/>
        <w:kinsoku/>
        <w:wordWrap/>
        <w:overflowPunct/>
        <w:topLinePunct w:val="0"/>
        <w:autoSpaceDE/>
        <w:autoSpaceDN/>
        <w:bidi w:val="0"/>
        <w:spacing w:beforeAutospacing="0" w:afterAutospacing="0" w:line="520" w:lineRule="exact"/>
        <w:ind w:firstLine="643" w:firstLineChars="200"/>
        <w:jc w:val="both"/>
        <w:textAlignment w:val="auto"/>
        <w:rPr>
          <w:rFonts w:hint="eastAsia" w:ascii="仿宋_GB2312" w:hAnsi="仿宋_GB2312" w:eastAsia="仿宋_GB2312" w:cs="仿宋_GB2312"/>
          <w:color w:val="FF0000"/>
          <w:sz w:val="32"/>
          <w:szCs w:val="32"/>
        </w:rPr>
      </w:pPr>
      <w:r>
        <w:rPr>
          <w:rFonts w:hint="eastAsia" w:ascii="仿宋_GB2312" w:hAnsi="仿宋_GB2312" w:eastAsia="仿宋_GB2312" w:cs="仿宋_GB2312"/>
          <w:b/>
          <w:bCs/>
          <w:sz w:val="32"/>
          <w:szCs w:val="32"/>
        </w:rPr>
        <w:t>四、部门（单位）整体支出绩效情况</w:t>
      </w:r>
    </w:p>
    <w:p w14:paraId="11EA5587">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我中心的年度总体预期目标是：1.对所管辖农机事务工作进行指导协调和服务，维护农机等补贴人员的稳定，管理本中心退休人员。2.做好农机购置及机插机补贴等工作，3.协助解决（农机公司，农机修配厂）职工住房、社保、医保等民生问题，将矛盾以大化小，做到将事情处理在萌芽状态;4.单位退休人员较多，继续做好退休人员的服务工作，单位工作经费少，能确保单位能正常运转完成县委县政府和上级有关部门下达的其他工作任务。</w:t>
      </w:r>
    </w:p>
    <w:p w14:paraId="65DFE459">
      <w:pPr>
        <w:keepNext w:val="0"/>
        <w:keepLines w:val="0"/>
        <w:pageBreakBefore w:val="0"/>
        <w:kinsoku/>
        <w:wordWrap/>
        <w:overflowPunct/>
        <w:topLinePunct w:val="0"/>
        <w:autoSpaceDE/>
        <w:autoSpaceDN/>
        <w:bidi w:val="0"/>
        <w:spacing w:line="520" w:lineRule="exact"/>
        <w:ind w:firstLine="643" w:firstLineChars="200"/>
        <w:jc w:val="both"/>
        <w:textAlignment w:val="auto"/>
        <w:rPr>
          <w:rFonts w:hint="eastAsia" w:ascii="仿宋_GB2312" w:hAnsi="仿宋_GB2312" w:eastAsia="仿宋_GB2312" w:cs="仿宋_GB2312"/>
          <w:b/>
          <w:bCs/>
          <w:sz w:val="32"/>
          <w:szCs w:val="32"/>
          <w14:textFill>
            <w14:gradFill>
              <w14:gsLst>
                <w14:gs w14:pos="0">
                  <w14:srgbClr w14:val="14CD68"/>
                </w14:gs>
                <w14:gs w14:pos="100000">
                  <w14:srgbClr w14:val="0B6E38"/>
                </w14:gs>
              </w14:gsLst>
              <w14:lin w14:ang="0" w14:scaled="0"/>
            </w14:gradFill>
          </w14:textFill>
        </w:rPr>
      </w:pPr>
      <w:r>
        <w:rPr>
          <w:rFonts w:hint="eastAsia" w:ascii="仿宋_GB2312" w:hAnsi="仿宋_GB2312" w:eastAsia="仿宋_GB2312" w:cs="仿宋_GB2312"/>
          <w:b/>
          <w:bCs/>
          <w:sz w:val="32"/>
          <w:szCs w:val="32"/>
          <w14:textFill>
            <w14:gradFill>
              <w14:gsLst>
                <w14:gs w14:pos="0">
                  <w14:srgbClr w14:val="14CD68"/>
                </w14:gs>
                <w14:gs w14:pos="100000">
                  <w14:srgbClr w14:val="0B6E38"/>
                </w14:gs>
              </w14:gsLst>
              <w14:lin w14:ang="0" w14:scaled="0"/>
            </w14:gradFill>
          </w14:textFill>
        </w:rPr>
        <w:t>公用经费绩效情况：</w:t>
      </w:r>
    </w:p>
    <w:p w14:paraId="59480F09">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color w:val="FF0000"/>
          <w:sz w:val="32"/>
          <w:szCs w:val="32"/>
        </w:rPr>
      </w:pPr>
      <w:r>
        <w:rPr>
          <w:rFonts w:hint="eastAsia" w:ascii="仿宋_GB2312" w:hAnsi="仿宋_GB2312" w:eastAsia="仿宋_GB2312" w:cs="仿宋_GB2312"/>
          <w:sz w:val="32"/>
          <w:szCs w:val="32"/>
        </w:rPr>
        <w:t>2023年预算执行数为1476.67万元,其中基本支出461.20万元，项目支出1015.47万元，均在预算控制内。2022年预算执行数1235.14万元，2023年较2022年增长了241.53万元增长率为19.55%。主要原因加大对农机购置补贴的资金投入,项目支出增加。</w:t>
      </w:r>
    </w:p>
    <w:p w14:paraId="3C75AAE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2023年,我单位积极履职，强化管理，较好的完成了年度工作目标。通过加强预算收支管理,不断建立健全内部管理制度，梳理内部管理流程，部门整体支出管理水平得到提升。</w:t>
      </w:r>
    </w:p>
    <w:p w14:paraId="092A4992">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14:textFill>
            <w14:gradFill>
              <w14:gsLst>
                <w14:gs w14:pos="0">
                  <w14:srgbClr w14:val="14CD68"/>
                </w14:gs>
                <w14:gs w14:pos="100000">
                  <w14:srgbClr w14:val="035C7D"/>
                </w14:gs>
              </w14:gsLst>
              <w14:lin w14:ang="0" w14:scaled="0"/>
            </w14:gradFill>
          </w14:textFill>
        </w:rPr>
        <w:t>项目资金绩效情况：</w:t>
      </w:r>
    </w:p>
    <w:p w14:paraId="36551DDD">
      <w:pPr>
        <w:keepNext w:val="0"/>
        <w:keepLines w:val="0"/>
        <w:pageBreakBefore w:val="0"/>
        <w:kinsoku/>
        <w:wordWrap/>
        <w:overflowPunct/>
        <w:topLinePunct w:val="0"/>
        <w:autoSpaceDE/>
        <w:autoSpaceDN/>
        <w:bidi w:val="0"/>
        <w:spacing w:line="52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(一).经济性。</w:t>
      </w:r>
      <w:r>
        <w:rPr>
          <w:rFonts w:hint="eastAsia" w:ascii="仿宋_GB2312" w:hAnsi="仿宋_GB2312" w:eastAsia="仿宋_GB2312" w:cs="仿宋_GB2312"/>
          <w:sz w:val="32"/>
          <w:szCs w:val="32"/>
        </w:rPr>
        <w:t>经济性分析主要是对成本（预算）控制、节约等情况进行分析</w:t>
      </w:r>
    </w:p>
    <w:p w14:paraId="7A67671F">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color w:val="FF0000"/>
          <w:sz w:val="32"/>
          <w:szCs w:val="32"/>
        </w:rPr>
      </w:pPr>
      <w:r>
        <w:rPr>
          <w:rFonts w:hint="eastAsia" w:ascii="仿宋_GB2312" w:hAnsi="仿宋_GB2312" w:eastAsia="仿宋_GB2312" w:cs="仿宋_GB2312"/>
          <w:sz w:val="32"/>
          <w:szCs w:val="32"/>
        </w:rPr>
        <w:t>2023年预算执行数为1476.67万元,其中基本支出461.20万元，项目支出1015.47万元，均在预算控制内。2022年预算执行数1235.14万元，2023年较2022年增长了241.53万元增长率为19.55%。主要原因加大对农机购置补贴的资金投入,项目支出增加。</w:t>
      </w:r>
    </w:p>
    <w:p w14:paraId="6BEC072C">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中心2023年项目支出主要是以下项目:</w:t>
      </w:r>
    </w:p>
    <w:p w14:paraId="58DC0703">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1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⑴</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.农机购置补贴（上级拨入）507.92万元（发放2022年第二批农机购置补贴及2023年第一批农机购置补贴）。</w:t>
      </w:r>
    </w:p>
    <w:p w14:paraId="0C05EAD0">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经费来源：湘财预【2022】0259号文件；湘财预【2023】0151号文件；湘财农指【2023】0039号文件；湘财预【2022】0284号文件.</w:t>
      </w:r>
    </w:p>
    <w:p w14:paraId="64B80930">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2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⑵</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2021年第三批农机购置补贴22.57万元。经费来源：湘财预【2022】0259号文件</w:t>
      </w:r>
    </w:p>
    <w:p w14:paraId="160E5AFE">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3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⑶</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.2022年第二批农机购置补贴233.87万元。经费来源：湘财预【2022】0259号文件</w:t>
      </w:r>
    </w:p>
    <w:p w14:paraId="16E9BC6B">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4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⑷</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.2022年农机合作社建设资金45万元。经费来源：湘财预【2022】0166号文件</w:t>
      </w:r>
    </w:p>
    <w:p w14:paraId="09899298">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5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⑸</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2022年水稻机插机抛秧作业补贴133.81万元。经费来源：湘财预【2022】0105号文件</w:t>
      </w:r>
    </w:p>
    <w:p w14:paraId="7DC989F0">
      <w:pPr>
        <w:keepNext w:val="0"/>
        <w:keepLines w:val="0"/>
        <w:pageBreakBefore w:val="0"/>
        <w:kinsoku/>
        <w:wordWrap/>
        <w:overflowPunct/>
        <w:topLinePunct w:val="0"/>
        <w:autoSpaceDE/>
        <w:autoSpaceDN/>
        <w:bidi w:val="0"/>
        <w:spacing w:line="52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各项目款项均已拨付到位，项目成效达到预期值。</w:t>
      </w:r>
    </w:p>
    <w:p w14:paraId="37BDA949">
      <w:pPr>
        <w:pStyle w:val="5"/>
        <w:keepNext w:val="0"/>
        <w:keepLines w:val="0"/>
        <w:pageBreakBefore w:val="0"/>
        <w:numPr>
          <w:ilvl w:val="0"/>
          <w:numId w:val="1"/>
        </w:numPr>
        <w:kinsoku/>
        <w:wordWrap/>
        <w:overflowPunct/>
        <w:topLinePunct w:val="0"/>
        <w:autoSpaceDE/>
        <w:autoSpaceDN/>
        <w:bidi w:val="0"/>
        <w:spacing w:beforeAutospacing="0" w:afterAutospacing="0" w:line="520" w:lineRule="exact"/>
        <w:ind w:firstLine="643"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效率性和有效性。</w:t>
      </w:r>
    </w:p>
    <w:p w14:paraId="02141AF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（一）产出指标完成情况分析：</w:t>
      </w:r>
    </w:p>
    <w:p w14:paraId="585BD145">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（1）数量指标；</w:t>
      </w:r>
    </w:p>
    <w:p w14:paraId="557825D9">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color w:val="00B050"/>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1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⑴</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.农机购置补贴（上级拨入）507.92万元</w:t>
      </w:r>
      <w:r>
        <w:rPr>
          <w:rFonts w:hint="eastAsia" w:ascii="仿宋_GB2312" w:hAnsi="仿宋_GB2312" w:eastAsia="仿宋_GB2312" w:cs="仿宋_GB2312"/>
          <w:color w:val="00B050"/>
          <w:sz w:val="32"/>
          <w:szCs w:val="32"/>
        </w:rPr>
        <w:t>（发放2022年第二批农机购置补贴158台（套）（0259号文件）；2023年第一批农机购置补贴2023年第一批199台（套）（0284号文件，0151号文件，0039号文件）。</w:t>
      </w:r>
    </w:p>
    <w:p w14:paraId="7D50E83E">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color w:val="00B050"/>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2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⑵</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2021年第三批农机购置补贴22.57万元。</w:t>
      </w:r>
      <w:r>
        <w:rPr>
          <w:rFonts w:hint="eastAsia" w:ascii="仿宋_GB2312" w:hAnsi="仿宋_GB2312" w:eastAsia="仿宋_GB2312" w:cs="仿宋_GB2312"/>
          <w:color w:val="00B050"/>
          <w:sz w:val="32"/>
          <w:szCs w:val="32"/>
        </w:rPr>
        <w:t>（发放2021年第三批补贴农机具216台（套））。</w:t>
      </w:r>
    </w:p>
    <w:p w14:paraId="23EAA0BD">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color w:val="00B050"/>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3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⑶</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.2022年第二批农机购置补贴233.87万元。</w:t>
      </w:r>
      <w:r>
        <w:rPr>
          <w:rFonts w:hint="eastAsia" w:ascii="仿宋_GB2312" w:hAnsi="仿宋_GB2312" w:eastAsia="仿宋_GB2312" w:cs="仿宋_GB2312"/>
          <w:color w:val="00B050"/>
          <w:sz w:val="32"/>
          <w:szCs w:val="32"/>
        </w:rPr>
        <w:t>（2022年第一批及报废补贴计324台（套））。</w:t>
      </w:r>
    </w:p>
    <w:p w14:paraId="7B254334">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color w:val="00B050"/>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4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⑷</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sz w:val="32"/>
          <w:szCs w:val="32"/>
        </w:rPr>
        <w:t>.2022年农机合作社建设资金45万元。</w:t>
      </w:r>
      <w:r>
        <w:rPr>
          <w:rFonts w:hint="eastAsia" w:ascii="仿宋_GB2312" w:hAnsi="仿宋_GB2312" w:eastAsia="仿宋_GB2312" w:cs="仿宋_GB2312"/>
          <w:color w:val="00B050"/>
          <w:sz w:val="32"/>
          <w:szCs w:val="32"/>
        </w:rPr>
        <w:t>（2个合作社分别为蓝山县裕家农机合作社建设，蓝山县舜隆农机合作社建设，）。</w:t>
      </w:r>
    </w:p>
    <w:p w14:paraId="5F902C35">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color w:val="00B050"/>
          <w:sz w:val="32"/>
          <w:szCs w:val="32"/>
        </w:rPr>
      </w:pPr>
      <w:r>
        <w:rPr>
          <w:rFonts w:hint="eastAsia" w:ascii="仿宋_GB2312" w:hAnsi="仿宋_GB2312" w:eastAsia="仿宋_GB2312" w:cs="仿宋_GB2312"/>
          <w:b/>
          <w:bCs/>
          <w:sz w:val="32"/>
          <w:szCs w:val="32"/>
        </w:rPr>
        <w:fldChar w:fldCharType="begin"/>
      </w:r>
      <w:r>
        <w:rPr>
          <w:rFonts w:hint="eastAsia" w:ascii="仿宋_GB2312" w:hAnsi="仿宋_GB2312" w:eastAsia="仿宋_GB2312" w:cs="仿宋_GB2312"/>
          <w:b/>
          <w:bCs/>
          <w:sz w:val="32"/>
          <w:szCs w:val="32"/>
        </w:rPr>
        <w:instrText xml:space="preserve"> = 5 \* GB2 \* MERGEFORMAT </w:instrText>
      </w:r>
      <w:r>
        <w:rPr>
          <w:rFonts w:hint="eastAsia" w:ascii="仿宋_GB2312" w:hAnsi="仿宋_GB2312" w:eastAsia="仿宋_GB2312" w:cs="仿宋_GB2312"/>
          <w:b/>
          <w:bCs/>
          <w:sz w:val="32"/>
          <w:szCs w:val="32"/>
        </w:rPr>
        <w:fldChar w:fldCharType="separate"/>
      </w:r>
      <w:r>
        <w:rPr>
          <w:rFonts w:hint="eastAsia" w:ascii="仿宋_GB2312" w:hAnsi="仿宋_GB2312" w:eastAsia="仿宋_GB2312" w:cs="仿宋_GB2312"/>
          <w:b/>
          <w:bCs/>
          <w:sz w:val="32"/>
          <w:szCs w:val="32"/>
        </w:rPr>
        <w:t>⑸</w:t>
      </w:r>
      <w:r>
        <w:rPr>
          <w:rFonts w:hint="eastAsia" w:ascii="仿宋_GB2312" w:hAnsi="仿宋_GB2312" w:eastAsia="仿宋_GB2312" w:cs="仿宋_GB2312"/>
          <w:b/>
          <w:bCs/>
          <w:sz w:val="32"/>
          <w:szCs w:val="32"/>
        </w:rPr>
        <w:fldChar w:fldCharType="end"/>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2022年水稻机插机抛秧作业补贴133.81万元。</w:t>
      </w:r>
      <w:r>
        <w:rPr>
          <w:rFonts w:hint="eastAsia" w:ascii="仿宋_GB2312" w:hAnsi="仿宋_GB2312" w:eastAsia="仿宋_GB2312" w:cs="仿宋_GB2312"/>
          <w:color w:val="00B050"/>
          <w:sz w:val="32"/>
          <w:szCs w:val="32"/>
        </w:rPr>
        <w:t>（发放2022年机插机抛秧作业补贴计20590.89亩。）</w:t>
      </w:r>
    </w:p>
    <w:p w14:paraId="38FCD31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（2）质量指标；截止2023年12月31日，经相关部门严格监督核实，农机购置及机插机抛秧作业属实，符合补贴政策。</w:t>
      </w:r>
    </w:p>
    <w:p w14:paraId="563AA0B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（3）时效指标；所有项目均按照计划如期完成，已及时足额发放。</w:t>
      </w:r>
    </w:p>
    <w:p w14:paraId="2233C53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（4）成本指标：所有项目在达到验收合格的前提下，在预算范围内。</w:t>
      </w:r>
    </w:p>
    <w:p w14:paraId="3721FF8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（二）效益指标完成情况分析：</w:t>
      </w:r>
    </w:p>
    <w:p w14:paraId="2E541C5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（1）经济效益指标；推动现代农业机械化发展，为农户提供全程机械化服务，提高农业生产力。</w:t>
      </w:r>
    </w:p>
    <w:p w14:paraId="6BCFB74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（2）社会效益指标；推动现代农业机械化发展，为农户提供全程机械化服务，提高农业生产力。</w:t>
      </w:r>
    </w:p>
    <w:p w14:paraId="1AB6124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（3）生态效益指标；该项目符合环保要求。</w:t>
      </w:r>
    </w:p>
    <w:p w14:paraId="55E8FE2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（4）可持续影响指标。该项目可持续推动现代农业机械化发展，为农户提供全程机械化服务，提高农业生产力。</w:t>
      </w:r>
    </w:p>
    <w:p w14:paraId="666ABA0A">
      <w:pPr>
        <w:pStyle w:val="5"/>
        <w:keepNext w:val="0"/>
        <w:keepLines w:val="0"/>
        <w:pageBreakBefore w:val="0"/>
        <w:kinsoku/>
        <w:wordWrap/>
        <w:overflowPunct/>
        <w:topLinePunct w:val="0"/>
        <w:autoSpaceDE/>
        <w:autoSpaceDN/>
        <w:bidi w:val="0"/>
        <w:spacing w:beforeAutospacing="0" w:afterAutospacing="0" w:line="520" w:lineRule="exact"/>
        <w:ind w:firstLine="640" w:firstLineChars="200"/>
        <w:jc w:val="both"/>
        <w:textAlignment w:val="auto"/>
        <w:rPr>
          <w:rFonts w:hint="eastAsia" w:ascii="仿宋_GB2312" w:hAnsi="仿宋_GB2312" w:eastAsia="仿宋_GB2312" w:cs="仿宋_GB2312"/>
          <w:color w:val="FF0000"/>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b/>
          <w:bCs/>
          <w:sz w:val="32"/>
          <w:szCs w:val="32"/>
        </w:rPr>
        <w:t>三）可持续性。</w:t>
      </w:r>
    </w:p>
    <w:p w14:paraId="2770015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农机合作社建设，农机购置及作业补贴等项目可持续推动现代农业机械化发展，为农户提供全程机械化服务，提高农业生产力。</w:t>
      </w:r>
    </w:p>
    <w:p w14:paraId="0EF0ACDE">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（四）社会和公众满意度。</w:t>
      </w:r>
    </w:p>
    <w:p w14:paraId="42248BF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该项目群众满意度较高，农业生产作业效率有了很大的提高。</w:t>
      </w:r>
    </w:p>
    <w:p w14:paraId="0F19D82D">
      <w:pPr>
        <w:pStyle w:val="5"/>
        <w:keepNext w:val="0"/>
        <w:keepLines w:val="0"/>
        <w:pageBreakBefore w:val="0"/>
        <w:kinsoku/>
        <w:wordWrap/>
        <w:overflowPunct/>
        <w:topLinePunct w:val="0"/>
        <w:autoSpaceDE/>
        <w:autoSpaceDN/>
        <w:bidi w:val="0"/>
        <w:spacing w:beforeAutospacing="0" w:afterAutospacing="0" w:line="520" w:lineRule="exact"/>
        <w:ind w:firstLine="643"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五、存在的主要问题</w:t>
      </w:r>
    </w:p>
    <w:p w14:paraId="6D86E33A">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1.各项综合协调机制尚未健全，人力物力财力需要进一步给予保障，经费保障有待加强。 </w:t>
      </w:r>
    </w:p>
    <w:p w14:paraId="6AC820B4">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2.人员严重缺编与工作任务繁重矛盾日益突出。</w:t>
      </w:r>
    </w:p>
    <w:p w14:paraId="1A9B8451">
      <w:pPr>
        <w:keepNext w:val="0"/>
        <w:keepLines w:val="0"/>
        <w:pageBreakBefore w:val="0"/>
        <w:kinsoku/>
        <w:wordWrap/>
        <w:overflowPunct/>
        <w:topLinePunct w:val="0"/>
        <w:autoSpaceDE/>
        <w:autoSpaceDN/>
        <w:bidi w:val="0"/>
        <w:spacing w:line="520" w:lineRule="exact"/>
        <w:ind w:firstLine="643" w:firstLineChars="200"/>
        <w:textAlignment w:val="auto"/>
        <w:rPr>
          <w:rFonts w:hint="eastAsia" w:ascii="仿宋_GB2312" w:hAnsi="仿宋_GB2312" w:eastAsia="仿宋_GB2312" w:cs="仿宋_GB2312"/>
          <w:b/>
          <w:color w:val="FF0000"/>
          <w:sz w:val="32"/>
          <w:szCs w:val="32"/>
        </w:rPr>
      </w:pPr>
      <w:r>
        <w:rPr>
          <w:rFonts w:hint="eastAsia" w:ascii="仿宋_GB2312" w:hAnsi="仿宋_GB2312" w:eastAsia="仿宋_GB2312" w:cs="仿宋_GB2312"/>
          <w:b/>
          <w:bCs/>
          <w:sz w:val="32"/>
          <w:szCs w:val="32"/>
        </w:rPr>
        <w:t>六、</w:t>
      </w:r>
      <w:r>
        <w:rPr>
          <w:rFonts w:hint="eastAsia" w:ascii="仿宋_GB2312" w:hAnsi="仿宋_GB2312" w:eastAsia="仿宋_GB2312" w:cs="仿宋_GB2312"/>
          <w:b/>
          <w:sz w:val="32"/>
          <w:szCs w:val="32"/>
        </w:rPr>
        <w:t>后续的工作计划</w:t>
      </w:r>
    </w:p>
    <w:p w14:paraId="5B2FD2B1">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1. 加强财务管理，严格财务审核。在费用报账支付时，按照预算规定的费用项目和用途进行资金使用审核、列报支付、财务核算，杜绝超支现象的发生。</w:t>
      </w:r>
    </w:p>
    <w:p w14:paraId="54B2C424">
      <w:pPr>
        <w:keepNext w:val="0"/>
        <w:keepLines w:val="0"/>
        <w:pageBreakBefore w:val="0"/>
        <w:kinsoku/>
        <w:wordWrap/>
        <w:overflowPunct/>
        <w:topLinePunct w:val="0"/>
        <w:autoSpaceDE/>
        <w:autoSpaceDN/>
        <w:bidi w:val="0"/>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持续抓好“三公”经费控制管理。严格控制“三公”经费的规模和比例，把关“三公”经费支出的审核、审批，杜绝挪用和挤占其他预算资金行为；进一步细化“三公”经费的管理，合理压缩“三公”经费支出。</w:t>
      </w:r>
    </w:p>
    <w:p w14:paraId="691B6BDF">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3.加强项目开展进度的跟踪，开展项目绩效评价，确保项目绩效目标的完成。</w:t>
      </w:r>
    </w:p>
    <w:p w14:paraId="5C063F3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color="auto" w:fill="FFFFFF"/>
          <w:lang w:bidi="ar"/>
        </w:rPr>
        <w:t>4.继续贯彻落实党中央和国务院关于农机</w:t>
      </w:r>
      <w:r>
        <w:rPr>
          <w:rFonts w:hint="eastAsia" w:ascii="仿宋_GB2312" w:hAnsi="仿宋_GB2312" w:eastAsia="仿宋_GB2312" w:cs="仿宋_GB2312"/>
          <w:color w:val="333333"/>
          <w:spacing w:val="8"/>
          <w:sz w:val="32"/>
          <w:szCs w:val="32"/>
          <w:shd w:val="clear" w:color="auto" w:fill="FFFFFF"/>
          <w:lang w:bidi="ar"/>
        </w:rPr>
        <w:t>工作的方针政策和决策部署</w:t>
      </w:r>
      <w:r>
        <w:rPr>
          <w:rFonts w:hint="eastAsia" w:ascii="仿宋_GB2312" w:hAnsi="仿宋_GB2312" w:eastAsia="仿宋_GB2312" w:cs="仿宋_GB2312"/>
          <w:color w:val="000000"/>
          <w:sz w:val="32"/>
          <w:szCs w:val="32"/>
          <w:shd w:val="clear" w:color="auto" w:fill="FFFFFF"/>
          <w:lang w:bidi="ar"/>
        </w:rPr>
        <w:t>，全面落实省、市、县委</w:t>
      </w:r>
      <w:r>
        <w:rPr>
          <w:rFonts w:hint="eastAsia" w:ascii="仿宋_GB2312" w:hAnsi="仿宋_GB2312" w:eastAsia="仿宋_GB2312" w:cs="仿宋_GB2312"/>
          <w:color w:val="000000"/>
          <w:sz w:val="32"/>
          <w:szCs w:val="32"/>
          <w:shd w:val="clear" w:color="auto" w:fill="FFFFFF"/>
          <w:lang w:eastAsia="zh-CN" w:bidi="ar"/>
        </w:rPr>
        <w:t>县</w:t>
      </w:r>
      <w:bookmarkStart w:id="0" w:name="_GoBack"/>
      <w:bookmarkEnd w:id="0"/>
      <w:r>
        <w:rPr>
          <w:rFonts w:hint="eastAsia" w:ascii="仿宋_GB2312" w:hAnsi="仿宋_GB2312" w:eastAsia="仿宋_GB2312" w:cs="仿宋_GB2312"/>
          <w:color w:val="000000"/>
          <w:sz w:val="32"/>
          <w:szCs w:val="32"/>
          <w:shd w:val="clear" w:color="auto" w:fill="FFFFFF"/>
          <w:lang w:bidi="ar"/>
        </w:rPr>
        <w:t>政府关于农机工作的部署要求，在履行职责过程中坚持和加强党对农机工作的集中统一领导。继续</w:t>
      </w:r>
      <w:r>
        <w:rPr>
          <w:rFonts w:hint="eastAsia" w:ascii="仿宋_GB2312" w:hAnsi="仿宋_GB2312" w:eastAsia="仿宋_GB2312" w:cs="仿宋_GB2312"/>
          <w:color w:val="111111"/>
          <w:sz w:val="32"/>
          <w:szCs w:val="32"/>
          <w:shd w:val="clear" w:color="auto" w:fill="FFFFFF"/>
        </w:rPr>
        <w:t>履行组织协调农机的购置，使用和维护工作职责。</w:t>
      </w:r>
      <w:r>
        <w:rPr>
          <w:rFonts w:hint="eastAsia" w:ascii="仿宋_GB2312" w:hAnsi="仿宋_GB2312" w:eastAsia="仿宋_GB2312" w:cs="仿宋_GB2312"/>
          <w:sz w:val="32"/>
          <w:szCs w:val="32"/>
          <w:shd w:val="clear" w:color="auto" w:fill="FFFFFF"/>
          <w:lang w:bidi="ar"/>
        </w:rPr>
        <w:t>完成县委、县政府和县农业农村局交办的其他任务。</w:t>
      </w:r>
      <w:r>
        <w:rPr>
          <w:rFonts w:hint="eastAsia" w:ascii="仿宋_GB2312" w:hAnsi="仿宋_GB2312" w:eastAsia="仿宋_GB2312" w:cs="仿宋_GB2312"/>
          <w:sz w:val="32"/>
          <w:szCs w:val="32"/>
        </w:rPr>
        <w:t>持续推动现代农机合作社发展，为农户提供全程机械化服务，提高农业作业效率。</w:t>
      </w:r>
    </w:p>
    <w:p w14:paraId="76B364A9">
      <w:pPr>
        <w:ind w:firstLine="640" w:firstLineChars="200"/>
        <w:rPr>
          <w:rFonts w:hint="eastAsia" w:ascii="楷体" w:hAnsi="楷体" w:eastAsia="楷体" w:cs="楷体"/>
          <w:bCs/>
          <w:sz w:val="32"/>
          <w:szCs w:val="32"/>
        </w:rPr>
      </w:pPr>
    </w:p>
    <w:p w14:paraId="5B299F21">
      <w:pPr>
        <w:ind w:firstLine="643" w:firstLineChars="200"/>
        <w:jc w:val="right"/>
        <w:rPr>
          <w:rFonts w:hint="eastAsia" w:ascii="楷体" w:hAnsi="楷体" w:eastAsia="楷体" w:cs="楷体"/>
          <w:b/>
          <w:sz w:val="32"/>
          <w:szCs w:val="32"/>
        </w:rPr>
      </w:pPr>
      <w:r>
        <w:rPr>
          <w:rFonts w:hint="eastAsia" w:ascii="楷体" w:hAnsi="楷体" w:eastAsia="楷体" w:cs="楷体"/>
          <w:b/>
          <w:sz w:val="32"/>
          <w:szCs w:val="32"/>
        </w:rPr>
        <w:t xml:space="preserve">2024年5月14日 </w:t>
      </w:r>
    </w:p>
    <w:p w14:paraId="66CA9904">
      <w:pPr>
        <w:ind w:firstLine="643" w:firstLineChars="200"/>
        <w:rPr>
          <w:rFonts w:hint="eastAsia" w:ascii="楷体" w:hAnsi="楷体" w:eastAsia="楷体" w:cs="楷体"/>
          <w:b/>
          <w:color w:val="FF0000"/>
          <w:sz w:val="32"/>
          <w:szCs w:val="32"/>
        </w:rPr>
      </w:pPr>
    </w:p>
    <w:p w14:paraId="055D1B1A">
      <w:pPr>
        <w:ind w:firstLine="643" w:firstLineChars="200"/>
        <w:rPr>
          <w:rFonts w:hint="eastAsia" w:ascii="楷体" w:hAnsi="楷体" w:eastAsia="楷体" w:cs="楷体"/>
          <w:b/>
          <w:sz w:val="32"/>
          <w:szCs w:val="32"/>
        </w:rPr>
      </w:pPr>
    </w:p>
    <w:p w14:paraId="5FE57675">
      <w:pPr>
        <w:ind w:firstLine="643" w:firstLineChars="200"/>
        <w:rPr>
          <w:rFonts w:hint="eastAsia" w:ascii="楷体" w:hAnsi="楷体" w:eastAsia="楷体" w:cs="楷体"/>
          <w:b/>
          <w:sz w:val="32"/>
          <w:szCs w:val="32"/>
        </w:rPr>
      </w:pPr>
    </w:p>
    <w:p w14:paraId="00FE4152">
      <w:pPr>
        <w:ind w:firstLine="643" w:firstLineChars="200"/>
        <w:rPr>
          <w:rFonts w:hint="eastAsia" w:ascii="楷体" w:hAnsi="楷体" w:eastAsia="楷体" w:cs="楷体"/>
          <w:b/>
          <w:sz w:val="32"/>
          <w:szCs w:val="32"/>
        </w:rPr>
      </w:pPr>
    </w:p>
    <w:p w14:paraId="351C9FF6">
      <w:pPr>
        <w:ind w:firstLine="643" w:firstLineChars="200"/>
        <w:rPr>
          <w:rFonts w:hint="eastAsia" w:ascii="楷体" w:hAnsi="楷体" w:eastAsia="楷体" w:cs="楷体"/>
          <w:b/>
          <w:sz w:val="32"/>
          <w:szCs w:val="32"/>
        </w:rPr>
      </w:pPr>
    </w:p>
    <w:p w14:paraId="26316A8D">
      <w:pPr>
        <w:ind w:firstLine="643" w:firstLineChars="200"/>
        <w:rPr>
          <w:rFonts w:hint="eastAsia" w:ascii="楷体" w:hAnsi="楷体" w:eastAsia="楷体" w:cs="楷体"/>
          <w:b/>
          <w:sz w:val="32"/>
          <w:szCs w:val="32"/>
        </w:rPr>
      </w:pPr>
    </w:p>
    <w:p w14:paraId="50D15B75">
      <w:pPr>
        <w:ind w:firstLine="643" w:firstLineChars="200"/>
        <w:rPr>
          <w:rFonts w:hint="eastAsia" w:ascii="楷体" w:hAnsi="楷体" w:eastAsia="楷体" w:cs="楷体"/>
          <w:b/>
          <w:sz w:val="32"/>
          <w:szCs w:val="32"/>
        </w:rPr>
      </w:pPr>
    </w:p>
    <w:p w14:paraId="0AAE6A7E">
      <w:pPr>
        <w:ind w:firstLine="643" w:firstLineChars="200"/>
        <w:rPr>
          <w:rFonts w:hint="eastAsia" w:ascii="楷体" w:hAnsi="楷体" w:eastAsia="楷体" w:cs="楷体"/>
          <w:b/>
          <w:sz w:val="32"/>
          <w:szCs w:val="32"/>
        </w:rPr>
      </w:pPr>
    </w:p>
    <w:p w14:paraId="60380A6F">
      <w:pPr>
        <w:ind w:firstLine="643" w:firstLineChars="200"/>
        <w:rPr>
          <w:rFonts w:hint="eastAsia" w:ascii="楷体" w:hAnsi="楷体" w:eastAsia="楷体" w:cs="楷体"/>
          <w:b/>
          <w:sz w:val="32"/>
          <w:szCs w:val="32"/>
        </w:rPr>
      </w:pPr>
    </w:p>
    <w:p w14:paraId="60F53A09">
      <w:pPr>
        <w:ind w:firstLine="643" w:firstLineChars="200"/>
        <w:rPr>
          <w:rFonts w:hint="eastAsia" w:ascii="楷体" w:hAnsi="楷体" w:eastAsia="楷体" w:cs="楷体"/>
          <w:b/>
          <w:sz w:val="32"/>
          <w:szCs w:val="32"/>
        </w:rPr>
      </w:pPr>
    </w:p>
    <w:p w14:paraId="3AC052D2">
      <w:pPr>
        <w:ind w:firstLine="643" w:firstLineChars="200"/>
        <w:rPr>
          <w:rFonts w:hint="eastAsia" w:ascii="楷体" w:hAnsi="楷体" w:eastAsia="楷体" w:cs="楷体"/>
          <w:b/>
          <w:sz w:val="32"/>
          <w:szCs w:val="32"/>
        </w:rPr>
      </w:pPr>
    </w:p>
    <w:p w14:paraId="7F361D2C">
      <w:pPr>
        <w:ind w:firstLine="643" w:firstLineChars="200"/>
        <w:rPr>
          <w:rFonts w:hint="eastAsia" w:ascii="楷体" w:hAnsi="楷体" w:eastAsia="楷体" w:cs="楷体"/>
          <w:b/>
          <w:sz w:val="32"/>
          <w:szCs w:val="32"/>
        </w:rPr>
      </w:pPr>
    </w:p>
    <w:sectPr>
      <w:footerReference r:id="rId4" w:type="default"/>
      <w:footerReference r:id="rId5" w:type="even"/>
      <w:pgSz w:w="11906" w:h="16838"/>
      <w:pgMar w:top="1440" w:right="1123" w:bottom="930" w:left="1406" w:header="851" w:footer="1361" w:gutter="0"/>
      <w:pgNumType w:start="4"/>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CAA3C">
    <w:pPr>
      <w:pStyle w:val="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57CA8">
    <w:pPr>
      <w:pStyle w:val="2"/>
      <w:framePr w:wrap="around" w:vAnchor="text" w:hAnchor="margin" w:xAlign="outside" w:y="1"/>
      <w:rPr>
        <w:rStyle w:val="8"/>
      </w:rPr>
    </w:pPr>
    <w:r>
      <w:fldChar w:fldCharType="begin"/>
    </w:r>
    <w:r>
      <w:rPr>
        <w:rStyle w:val="8"/>
      </w:rPr>
      <w:instrText xml:space="preserve">PAGE  </w:instrText>
    </w:r>
    <w:r>
      <w:fldChar w:fldCharType="separate"/>
    </w:r>
    <w:r>
      <w:fldChar w:fldCharType="end"/>
    </w:r>
  </w:p>
  <w:p w14:paraId="6F5C0A07">
    <w:pPr>
      <w:pStyle w:val="2"/>
      <w:ind w:right="360" w:firstLine="360"/>
    </w:pPr>
    <w:r>
      <w:rPr>
        <w:rFonts w:hint="eastAsia"/>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2CFC8B"/>
    <w:multiLevelType w:val="singleLevel"/>
    <w:tmpl w:val="C02CFC8B"/>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noPunctuationKerning w:val="1"/>
  <w:characterSpacingControl w:val="doNotCompress"/>
  <w:footnotePr>
    <w:footnote w:id="0"/>
    <w:footnote w:id="1"/>
  </w:footnotePr>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lhMTEzMmFkOTgyYTQwZTA5MDdjM2NiZjNjOGFlOTIifQ=="/>
    <w:docVar w:name="KSO_WPS_MARK_KEY" w:val="977dd0c3-1418-43d5-9d62-3a2993d7e152"/>
  </w:docVars>
  <w:rsids>
    <w:rsidRoot w:val="008C1FD3"/>
    <w:rsid w:val="000F40E9"/>
    <w:rsid w:val="00687E51"/>
    <w:rsid w:val="008C1FD3"/>
    <w:rsid w:val="00F719AE"/>
    <w:rsid w:val="017E6F26"/>
    <w:rsid w:val="01B5047C"/>
    <w:rsid w:val="02B81FC4"/>
    <w:rsid w:val="0473605D"/>
    <w:rsid w:val="049F343C"/>
    <w:rsid w:val="04B04EDD"/>
    <w:rsid w:val="05A94AB8"/>
    <w:rsid w:val="06BB1041"/>
    <w:rsid w:val="083E2F6B"/>
    <w:rsid w:val="09FD729B"/>
    <w:rsid w:val="0D09780D"/>
    <w:rsid w:val="0D3055A0"/>
    <w:rsid w:val="0D4B17AB"/>
    <w:rsid w:val="0EAB2689"/>
    <w:rsid w:val="0F001FF3"/>
    <w:rsid w:val="0FAF1EE1"/>
    <w:rsid w:val="0FB94AA9"/>
    <w:rsid w:val="0FCD17DE"/>
    <w:rsid w:val="0FFA1E6E"/>
    <w:rsid w:val="102C2BA1"/>
    <w:rsid w:val="108B5AB3"/>
    <w:rsid w:val="12255C4E"/>
    <w:rsid w:val="12A83906"/>
    <w:rsid w:val="12EC6EE1"/>
    <w:rsid w:val="138228A6"/>
    <w:rsid w:val="13D470FC"/>
    <w:rsid w:val="14A27D77"/>
    <w:rsid w:val="14EF637E"/>
    <w:rsid w:val="158305A9"/>
    <w:rsid w:val="15A922C4"/>
    <w:rsid w:val="163122FE"/>
    <w:rsid w:val="166636FC"/>
    <w:rsid w:val="16765945"/>
    <w:rsid w:val="169B3A7C"/>
    <w:rsid w:val="16B65E5D"/>
    <w:rsid w:val="18BE612E"/>
    <w:rsid w:val="1C0B0B03"/>
    <w:rsid w:val="1CDF74BF"/>
    <w:rsid w:val="1D144C6E"/>
    <w:rsid w:val="1D1A76AB"/>
    <w:rsid w:val="1D2D4358"/>
    <w:rsid w:val="1D316D67"/>
    <w:rsid w:val="1E4075E6"/>
    <w:rsid w:val="20C938C2"/>
    <w:rsid w:val="21D97A24"/>
    <w:rsid w:val="221A44CE"/>
    <w:rsid w:val="233F7E6C"/>
    <w:rsid w:val="23B95C6C"/>
    <w:rsid w:val="245F4340"/>
    <w:rsid w:val="24C747C6"/>
    <w:rsid w:val="28CD1A76"/>
    <w:rsid w:val="2D792E9C"/>
    <w:rsid w:val="2EA65243"/>
    <w:rsid w:val="2ECC009C"/>
    <w:rsid w:val="333003F3"/>
    <w:rsid w:val="3625769A"/>
    <w:rsid w:val="37EA34C5"/>
    <w:rsid w:val="38E075A3"/>
    <w:rsid w:val="39346C55"/>
    <w:rsid w:val="3A125FC3"/>
    <w:rsid w:val="3A3758E9"/>
    <w:rsid w:val="3B343BD6"/>
    <w:rsid w:val="3BE617FF"/>
    <w:rsid w:val="3BE92650"/>
    <w:rsid w:val="3CFE449C"/>
    <w:rsid w:val="3D9923BD"/>
    <w:rsid w:val="40777598"/>
    <w:rsid w:val="40786313"/>
    <w:rsid w:val="40D0614F"/>
    <w:rsid w:val="41011906"/>
    <w:rsid w:val="44C70A24"/>
    <w:rsid w:val="44FE5207"/>
    <w:rsid w:val="452847AC"/>
    <w:rsid w:val="455235D7"/>
    <w:rsid w:val="46921AAD"/>
    <w:rsid w:val="47E0136E"/>
    <w:rsid w:val="49F25388"/>
    <w:rsid w:val="4A051D27"/>
    <w:rsid w:val="4A1C1F96"/>
    <w:rsid w:val="4B7D6ED4"/>
    <w:rsid w:val="4CA83BB4"/>
    <w:rsid w:val="4CAC7EE5"/>
    <w:rsid w:val="4EA05DC4"/>
    <w:rsid w:val="4F005452"/>
    <w:rsid w:val="4F9C3DCC"/>
    <w:rsid w:val="50AF0495"/>
    <w:rsid w:val="50D80274"/>
    <w:rsid w:val="51004D18"/>
    <w:rsid w:val="51196F82"/>
    <w:rsid w:val="525A1D1D"/>
    <w:rsid w:val="52BE7431"/>
    <w:rsid w:val="53F817ED"/>
    <w:rsid w:val="54541428"/>
    <w:rsid w:val="55A84294"/>
    <w:rsid w:val="56205857"/>
    <w:rsid w:val="57652999"/>
    <w:rsid w:val="57DD2798"/>
    <w:rsid w:val="581A616A"/>
    <w:rsid w:val="5BAA6A95"/>
    <w:rsid w:val="5C5070E0"/>
    <w:rsid w:val="5D726D68"/>
    <w:rsid w:val="5E4C2E61"/>
    <w:rsid w:val="615F4C5A"/>
    <w:rsid w:val="61AD6B87"/>
    <w:rsid w:val="626B4FED"/>
    <w:rsid w:val="62CD19E0"/>
    <w:rsid w:val="646F7295"/>
    <w:rsid w:val="6673696B"/>
    <w:rsid w:val="67726D7D"/>
    <w:rsid w:val="67802AA6"/>
    <w:rsid w:val="6B6C069F"/>
    <w:rsid w:val="6CDC6BA8"/>
    <w:rsid w:val="6D724E66"/>
    <w:rsid w:val="6E541438"/>
    <w:rsid w:val="6ED77DCF"/>
    <w:rsid w:val="6F810491"/>
    <w:rsid w:val="6FC62348"/>
    <w:rsid w:val="6FE8455D"/>
    <w:rsid w:val="71C561B9"/>
    <w:rsid w:val="74114085"/>
    <w:rsid w:val="75D47712"/>
    <w:rsid w:val="766D176F"/>
    <w:rsid w:val="77167C62"/>
    <w:rsid w:val="78160310"/>
    <w:rsid w:val="796F5A50"/>
    <w:rsid w:val="79E230F2"/>
    <w:rsid w:val="7A57269A"/>
    <w:rsid w:val="7B4A3BA0"/>
    <w:rsid w:val="7B701436"/>
    <w:rsid w:val="7BBF0CBF"/>
    <w:rsid w:val="7BCD78A7"/>
    <w:rsid w:val="7C013300"/>
    <w:rsid w:val="7D0A3B42"/>
    <w:rsid w:val="7DEE3EC2"/>
    <w:rsid w:val="7E3A462D"/>
    <w:rsid w:val="7E3B73B8"/>
    <w:rsid w:val="7ED00A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黑体"/>
      <w:sz w:val="22"/>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3"/>
    <w:unhideWhenUsed/>
    <w:qFormat/>
    <w:uiPriority w:val="0"/>
    <w:pPr>
      <w:tabs>
        <w:tab w:val="center" w:pos="4153"/>
        <w:tab w:val="right" w:pos="8306"/>
      </w:tabs>
    </w:pPr>
    <w:rPr>
      <w:sz w:val="18"/>
      <w:szCs w:val="18"/>
    </w:rPr>
  </w:style>
  <w:style w:type="paragraph" w:styleId="3">
    <w:name w:val="header"/>
    <w:basedOn w:val="1"/>
    <w:link w:val="12"/>
    <w:unhideWhenUsed/>
    <w:qFormat/>
    <w:uiPriority w:val="99"/>
    <w:pPr>
      <w:pBdr>
        <w:bottom w:val="single" w:color="auto" w:sz="6" w:space="1"/>
      </w:pBdr>
      <w:tabs>
        <w:tab w:val="center" w:pos="4153"/>
        <w:tab w:val="right" w:pos="8306"/>
      </w:tabs>
      <w:jc w:val="center"/>
    </w:pPr>
    <w:rPr>
      <w:sz w:val="18"/>
      <w:szCs w:val="18"/>
    </w:rPr>
  </w:style>
  <w:style w:type="paragraph" w:styleId="4">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5">
    <w:name w:val="Normal (Web)"/>
    <w:basedOn w:val="1"/>
    <w:unhideWhenUsed/>
    <w:qFormat/>
    <w:uiPriority w:val="0"/>
    <w:pPr>
      <w:spacing w:beforeAutospacing="1" w:after="0" w:afterAutospacing="1"/>
    </w:pPr>
    <w:rPr>
      <w:sz w:val="24"/>
    </w:rPr>
  </w:style>
  <w:style w:type="character" w:styleId="8">
    <w:name w:val="page number"/>
    <w:basedOn w:val="7"/>
    <w:qFormat/>
    <w:uiPriority w:val="0"/>
  </w:style>
  <w:style w:type="character" w:styleId="9">
    <w:name w:val="Hyperlink"/>
    <w:basedOn w:val="7"/>
    <w:unhideWhenUsed/>
    <w:qFormat/>
    <w:uiPriority w:val="0"/>
    <w:rPr>
      <w:color w:val="0000FF"/>
      <w:u w:val="single"/>
    </w:rPr>
  </w:style>
  <w:style w:type="paragraph" w:customStyle="1" w:styleId="10">
    <w:name w:val="样式2"/>
    <w:basedOn w:val="1"/>
    <w:qFormat/>
    <w:uiPriority w:val="99"/>
    <w:pPr>
      <w:shd w:val="clear" w:color="auto" w:fill="FFFFFF"/>
      <w:spacing w:before="100" w:beforeAutospacing="1" w:after="100" w:afterAutospacing="1"/>
      <w:ind w:left="562"/>
      <w:jc w:val="center"/>
    </w:pPr>
    <w:rPr>
      <w:rFonts w:ascii="宋体"/>
      <w:b/>
      <w:bCs/>
      <w:szCs w:val="21"/>
    </w:rPr>
  </w:style>
  <w:style w:type="paragraph" w:customStyle="1" w:styleId="11">
    <w:name w:val="列表段落1"/>
    <w:basedOn w:val="1"/>
    <w:unhideWhenUsed/>
    <w:qFormat/>
    <w:uiPriority w:val="99"/>
    <w:pPr>
      <w:ind w:firstLine="420" w:firstLineChars="200"/>
    </w:pPr>
  </w:style>
  <w:style w:type="character" w:customStyle="1" w:styleId="12">
    <w:name w:val="页眉 字符"/>
    <w:basedOn w:val="7"/>
    <w:link w:val="3"/>
    <w:qFormat/>
    <w:uiPriority w:val="99"/>
    <w:rPr>
      <w:rFonts w:ascii="Tahoma" w:hAnsi="Tahoma"/>
      <w:sz w:val="18"/>
      <w:szCs w:val="18"/>
    </w:rPr>
  </w:style>
  <w:style w:type="character" w:customStyle="1" w:styleId="13">
    <w:name w:val="页脚 字符"/>
    <w:basedOn w:val="7"/>
    <w:link w:val="2"/>
    <w:qFormat/>
    <w:uiPriority w:val="0"/>
    <w:rPr>
      <w:rFonts w:ascii="Tahoma" w:hAnsi="Tahoma"/>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4485</Words>
  <Characters>5449</Characters>
  <Lines>55</Lines>
  <Paragraphs>15</Paragraphs>
  <TotalTime>4</TotalTime>
  <ScaleCrop>false</ScaleCrop>
  <LinksUpToDate>false</LinksUpToDate>
  <CharactersWithSpaces>5459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2024-07-26T08:44:00Z</dcterms:created>
  <dc:creator>Administrator</dc:creator>
  <cp:lastModifiedBy>江山</cp:lastModifiedBy>
  <dcterms:modified xsi:type="dcterms:W3CDTF">2024-08-20T08:43:51Z</dcterms:modified>
  <dc:title>2017年度部门整体绩效评价报告</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5B35E5BD944F458996CB45073CCD06A2</vt:lpwstr>
  </property>
</Properties>
</file>