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黑体" w:hAnsi="黑体" w:eastAsia="黑体" w:cs="黑体"/>
          <w:bCs/>
          <w:kern w:val="0"/>
          <w:sz w:val="44"/>
          <w:szCs w:val="44"/>
        </w:rPr>
      </w:pPr>
      <w:bookmarkStart w:id="3" w:name="_GoBack"/>
      <w:bookmarkEnd w:id="3"/>
      <w:r>
        <w:rPr>
          <w:rFonts w:hint="eastAsia" w:ascii="黑体" w:hAnsi="黑体" w:eastAsia="黑体" w:cs="黑体"/>
          <w:bCs/>
          <w:kern w:val="0"/>
          <w:sz w:val="44"/>
          <w:szCs w:val="44"/>
        </w:rPr>
        <w:t>2021年</w:t>
      </w:r>
      <w:r>
        <w:rPr>
          <w:rFonts w:hint="eastAsia" w:ascii="黑体" w:hAnsi="黑体" w:eastAsia="黑体"/>
          <w:bCs/>
          <w:kern w:val="0"/>
          <w:sz w:val="44"/>
          <w:szCs w:val="44"/>
        </w:rPr>
        <w:t>中共蓝山县委巡察工作领导小组办公室</w:t>
      </w:r>
      <w:r>
        <w:rPr>
          <w:rFonts w:hint="eastAsia" w:ascii="黑体" w:hAnsi="黑体" w:eastAsia="黑体" w:cs="黑体"/>
          <w:bCs/>
          <w:kern w:val="0"/>
          <w:sz w:val="44"/>
          <w:szCs w:val="44"/>
        </w:rPr>
        <w:t>部门决算</w:t>
      </w:r>
    </w:p>
    <w:p>
      <w:pPr>
        <w:widowControl/>
        <w:spacing w:line="600" w:lineRule="exact"/>
        <w:jc w:val="center"/>
        <w:rPr>
          <w:rFonts w:eastAsia="楷体_GB2312"/>
          <w:bCs/>
          <w:kern w:val="0"/>
          <w:sz w:val="32"/>
          <w:szCs w:val="32"/>
        </w:rPr>
      </w:pPr>
    </w:p>
    <w:p>
      <w:pPr>
        <w:widowControl/>
        <w:spacing w:line="600" w:lineRule="exact"/>
        <w:jc w:val="center"/>
        <w:rPr>
          <w:rFonts w:eastAsia="黑体"/>
          <w:b/>
          <w:kern w:val="0"/>
          <w:sz w:val="32"/>
          <w:szCs w:val="32"/>
        </w:rPr>
      </w:pPr>
      <w:r>
        <w:rPr>
          <w:rFonts w:eastAsia="黑体"/>
          <w:b/>
          <w:kern w:val="0"/>
          <w:sz w:val="32"/>
          <w:szCs w:val="32"/>
        </w:rPr>
        <w:t>目 录</w:t>
      </w:r>
    </w:p>
    <w:p>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中共蓝山县委巡察工作领导小组办公室部门概况</w:t>
      </w:r>
    </w:p>
    <w:p>
      <w:pPr>
        <w:pStyle w:val="24"/>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一、部门职责</w:t>
      </w:r>
    </w:p>
    <w:p>
      <w:pPr>
        <w:pStyle w:val="24"/>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二、机构设置及决算单位构成</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第二部分 2021年部门决算表</w:t>
      </w:r>
    </w:p>
    <w:p>
      <w:pPr>
        <w:pStyle w:val="24"/>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一、部门收支</w:t>
      </w:r>
      <w:r>
        <w:rPr>
          <w:rFonts w:ascii="Times New Roman" w:hAnsi="Times New Roman" w:eastAsia="仿宋_GB2312" w:cs="Times New Roman"/>
          <w:sz w:val="32"/>
          <w:szCs w:val="32"/>
        </w:rPr>
        <w:t>决算总表</w:t>
      </w:r>
    </w:p>
    <w:p>
      <w:pPr>
        <w:pStyle w:val="24"/>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二、部门</w:t>
      </w:r>
      <w:r>
        <w:rPr>
          <w:rFonts w:ascii="Times New Roman" w:hAnsi="Times New Roman" w:eastAsia="仿宋_GB2312" w:cs="Times New Roman"/>
          <w:sz w:val="32"/>
          <w:szCs w:val="32"/>
        </w:rPr>
        <w:t>收入决算表</w:t>
      </w:r>
    </w:p>
    <w:p>
      <w:pPr>
        <w:pStyle w:val="24"/>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三、部门</w:t>
      </w:r>
      <w:r>
        <w:rPr>
          <w:rFonts w:ascii="Times New Roman" w:hAnsi="Times New Roman" w:eastAsia="仿宋_GB2312" w:cs="Times New Roman"/>
          <w:sz w:val="32"/>
          <w:szCs w:val="32"/>
        </w:rPr>
        <w:t>支出决算表</w:t>
      </w:r>
    </w:p>
    <w:p>
      <w:pPr>
        <w:pStyle w:val="24"/>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pPr>
        <w:pStyle w:val="24"/>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一般公共预算财政拨款支出决算表</w:t>
      </w:r>
    </w:p>
    <w:p>
      <w:pPr>
        <w:pStyle w:val="24"/>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一般公共预算财政拨款基本支出决算表</w:t>
      </w:r>
    </w:p>
    <w:p>
      <w:pPr>
        <w:pStyle w:val="24"/>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一般公共预算财政拨款“三公”经费支出决算表</w:t>
      </w:r>
    </w:p>
    <w:p>
      <w:pPr>
        <w:pStyle w:val="24"/>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政府性基金预算财政拨款收入支出决算表</w:t>
      </w:r>
    </w:p>
    <w:p>
      <w:pPr>
        <w:pStyle w:val="24"/>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九、国有资本经营预算财政拨款支出决算表</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第三部分 2021年度部门决算情况说明</w:t>
      </w:r>
    </w:p>
    <w:p>
      <w:pPr>
        <w:pStyle w:val="24"/>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收入支出决算总体情况说明</w:t>
      </w:r>
    </w:p>
    <w:p>
      <w:pPr>
        <w:spacing w:line="600" w:lineRule="exact"/>
        <w:ind w:firstLine="800" w:firstLineChars="250"/>
        <w:jc w:val="left"/>
        <w:rPr>
          <w:rFonts w:eastAsia="仿宋_GB2312"/>
          <w:sz w:val="32"/>
          <w:szCs w:val="32"/>
        </w:rPr>
      </w:pPr>
      <w:r>
        <w:rPr>
          <w:rFonts w:hint="eastAsia" w:eastAsia="仿宋_GB2312"/>
          <w:sz w:val="32"/>
          <w:szCs w:val="32"/>
        </w:rPr>
        <w:t>二、</w:t>
      </w:r>
      <w:r>
        <w:rPr>
          <w:rFonts w:eastAsia="仿宋_GB2312"/>
          <w:sz w:val="32"/>
          <w:szCs w:val="32"/>
        </w:rPr>
        <w:t>收入决算情况说明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三、</w:t>
      </w:r>
      <w:r>
        <w:rPr>
          <w:rFonts w:eastAsia="仿宋_GB2312"/>
          <w:color w:val="000000"/>
          <w:kern w:val="0"/>
          <w:sz w:val="32"/>
          <w:szCs w:val="32"/>
        </w:rPr>
        <w:t>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四、</w:t>
      </w:r>
      <w:r>
        <w:rPr>
          <w:rFonts w:eastAsia="仿宋_GB2312"/>
          <w:color w:val="000000"/>
          <w:kern w:val="0"/>
          <w:sz w:val="32"/>
          <w:szCs w:val="32"/>
        </w:rPr>
        <w:t>财政拨款收入支出决算总体情况说明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五、</w:t>
      </w:r>
      <w:r>
        <w:rPr>
          <w:rFonts w:eastAsia="仿宋_GB2312"/>
          <w:color w:val="000000"/>
          <w:kern w:val="0"/>
          <w:sz w:val="32"/>
          <w:szCs w:val="32"/>
        </w:rPr>
        <w:t>一般公共预算财政拨款支出决算情况说明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六、</w:t>
      </w:r>
      <w:r>
        <w:rPr>
          <w:rFonts w:eastAsia="仿宋_GB2312"/>
          <w:color w:val="000000"/>
          <w:kern w:val="0"/>
          <w:sz w:val="32"/>
          <w:szCs w:val="32"/>
        </w:rPr>
        <w:t>一般公共预算财政拨款基本支出决算情况说明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七、</w:t>
      </w:r>
      <w:r>
        <w:rPr>
          <w:rFonts w:eastAsia="仿宋_GB2312"/>
          <w:color w:val="000000"/>
          <w:kern w:val="0"/>
          <w:sz w:val="32"/>
          <w:szCs w:val="32"/>
        </w:rPr>
        <w:t>一般公共预算财政拨款三公经费支出决算情况说明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八、</w:t>
      </w:r>
      <w:r>
        <w:rPr>
          <w:rFonts w:eastAsia="仿宋_GB2312"/>
          <w:color w:val="000000"/>
          <w:kern w:val="0"/>
          <w:sz w:val="32"/>
          <w:szCs w:val="32"/>
        </w:rPr>
        <w:t>政府性基金预算收入支出决算情况</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九、国有资本经营预算财政拨款支出决算情况</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十、</w:t>
      </w:r>
      <w:r>
        <w:rPr>
          <w:rFonts w:eastAsia="仿宋_GB2312"/>
          <w:color w:val="000000"/>
          <w:kern w:val="0"/>
          <w:sz w:val="32"/>
          <w:szCs w:val="32"/>
        </w:rPr>
        <w:t>预算绩效情况说明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十一、</w:t>
      </w:r>
      <w:r>
        <w:rPr>
          <w:rFonts w:eastAsia="仿宋_GB2312"/>
          <w:color w:val="000000"/>
          <w:kern w:val="0"/>
          <w:sz w:val="32"/>
          <w:szCs w:val="32"/>
        </w:rPr>
        <w:t>其他重要事项情况说明</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 名词解释</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 附件</w:t>
      </w:r>
    </w:p>
    <w:p>
      <w:pPr>
        <w:widowControl/>
        <w:spacing w:line="600" w:lineRule="exact"/>
        <w:ind w:firstLine="643" w:firstLineChars="200"/>
        <w:jc w:val="left"/>
        <w:rPr>
          <w:rFonts w:hint="eastAsia" w:eastAsia="仿宋_GB2312"/>
          <w:b/>
          <w:bCs/>
          <w:kern w:val="0"/>
          <w:sz w:val="32"/>
          <w:szCs w:val="3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p>
    <w:p>
      <w:pPr>
        <w:rPr>
          <w:rFonts w:hint="eastAsia"/>
          <w:sz w:val="72"/>
          <w:szCs w:val="72"/>
        </w:rPr>
      </w:pPr>
    </w:p>
    <w:p>
      <w:pPr>
        <w:rPr>
          <w:rFonts w:hint="eastAsia"/>
          <w:sz w:val="72"/>
          <w:szCs w:val="72"/>
        </w:rPr>
      </w:pPr>
    </w:p>
    <w:p>
      <w:pPr>
        <w:rPr>
          <w:rFonts w:hint="eastAsia"/>
          <w:sz w:val="72"/>
          <w:szCs w:val="72"/>
        </w:rPr>
      </w:pPr>
    </w:p>
    <w:p>
      <w:pPr>
        <w:widowControl/>
        <w:spacing w:line="600" w:lineRule="exact"/>
        <w:jc w:val="center"/>
        <w:rPr>
          <w:rFonts w:hint="eastAsia" w:eastAsia="方正小标宋_GBK"/>
          <w:bCs/>
          <w:kern w:val="0"/>
          <w:sz w:val="36"/>
          <w:szCs w:val="36"/>
        </w:rPr>
      </w:pPr>
    </w:p>
    <w:p>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第一部分 中共蓝山县委巡察工作领导小组办公室部门概况</w:t>
      </w:r>
    </w:p>
    <w:p>
      <w:pPr>
        <w:pStyle w:val="25"/>
        <w:ind w:firstLine="0" w:firstLineChars="0"/>
        <w:jc w:val="left"/>
        <w:rPr>
          <w:rFonts w:ascii="黑体" w:hAnsi="黑体" w:eastAsia="黑体"/>
          <w:sz w:val="32"/>
          <w:szCs w:val="32"/>
        </w:rPr>
      </w:pPr>
    </w:p>
    <w:p>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一、部门职能职责</w:t>
      </w:r>
    </w:p>
    <w:p>
      <w:pPr>
        <w:pStyle w:val="24"/>
        <w:spacing w:line="600" w:lineRule="exact"/>
        <w:ind w:firstLine="800" w:firstLineChars="25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1、向县委巡察工作领导小组、市委巡察办报告巡察工作情况，向县委巡察组</w:t>
      </w:r>
      <w:r>
        <w:rPr>
          <w:rFonts w:hint="eastAsia" w:ascii="Times New Roman" w:hAnsi="Times New Roman" w:eastAsia="仿宋_GB2312" w:cs="Times New Roman"/>
          <w:sz w:val="32"/>
          <w:szCs w:val="32"/>
        </w:rPr>
        <w:t>传达</w:t>
      </w:r>
      <w:r>
        <w:rPr>
          <w:rFonts w:hint="eastAsia" w:ascii="Times New Roman" w:hAnsi="Times New Roman" w:eastAsia="仿宋_GB2312" w:cs="Times New Roman"/>
          <w:bCs/>
          <w:sz w:val="32"/>
          <w:szCs w:val="32"/>
        </w:rPr>
        <w:t>县委巡察工作领导小组</w:t>
      </w:r>
      <w:r>
        <w:rPr>
          <w:rFonts w:hint="eastAsia" w:eastAsia="仿宋_GB2312"/>
          <w:bCs/>
          <w:sz w:val="32"/>
          <w:szCs w:val="32"/>
        </w:rPr>
        <w:t>做</w:t>
      </w:r>
      <w:r>
        <w:rPr>
          <w:rFonts w:hint="eastAsia" w:ascii="Times New Roman" w:hAnsi="Times New Roman" w:eastAsia="仿宋_GB2312" w:cs="Times New Roman"/>
          <w:bCs/>
          <w:sz w:val="32"/>
          <w:szCs w:val="32"/>
        </w:rPr>
        <w:t>出的决策和部署；2、统筹、协调、指导县委巡察组开展工作；3、承担综合协调、政策研究、制度建设、文档管理、后勤保障等工作；4、对县委、县委巡察工作领导小组决定的事项及巡察移交事项进行督办；5、配合有关部门对巡察工作人员进行培训、考核、监督和管理；6、受理干部群众对巡察工作人员的举报和反映，提出处理意见；7、办理县委、县委巡察工作领导小组交办的其他事项。</w:t>
      </w:r>
    </w:p>
    <w:p>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pStyle w:val="24"/>
        <w:spacing w:line="600" w:lineRule="exact"/>
        <w:ind w:firstLine="803" w:firstLineChars="250"/>
        <w:rPr>
          <w:rFonts w:ascii="Times New Roman" w:hAnsi="Times New Roman" w:eastAsia="仿宋_GB2312" w:cs="Times New Roman"/>
          <w:sz w:val="32"/>
          <w:szCs w:val="32"/>
        </w:rPr>
      </w:pPr>
      <w:r>
        <w:rPr>
          <w:rFonts w:hint="eastAsia" w:ascii="楷体_GB2312" w:hAnsi="宋体" w:eastAsia="楷体_GB2312" w:cs="Times New Roman"/>
          <w:b/>
          <w:bCs/>
          <w:sz w:val="32"/>
          <w:szCs w:val="32"/>
        </w:rPr>
        <w:t>（一）机构设置</w:t>
      </w:r>
      <w:r>
        <w:rPr>
          <w:rFonts w:hint="eastAsia" w:ascii="仿宋" w:hAnsi="仿宋" w:eastAsia="仿宋" w:cs="微软雅黑"/>
          <w:bCs/>
          <w:sz w:val="32"/>
          <w:szCs w:val="32"/>
        </w:rPr>
        <w:t>。</w:t>
      </w:r>
      <w:r>
        <w:rPr>
          <w:rFonts w:hint="eastAsia" w:ascii="Times New Roman" w:hAnsi="Times New Roman" w:eastAsia="仿宋_GB2312" w:cs="Times New Roman"/>
          <w:sz w:val="32"/>
          <w:szCs w:val="32"/>
        </w:rPr>
        <w:t>蓝山县委巡察办由四个正科级巡察组、三个内设机构（综合室、指导室、联络室）和一个下设机构（信息中心）组成。全额拨款行政编制20名，事业编2名，现实有在职在编行政人员18名、事业人员2名。</w:t>
      </w:r>
    </w:p>
    <w:p>
      <w:pPr>
        <w:pStyle w:val="24"/>
        <w:spacing w:line="600" w:lineRule="exact"/>
        <w:ind w:firstLine="803" w:firstLineChars="250"/>
        <w:rPr>
          <w:rFonts w:hint="eastAsia" w:ascii="Times New Roman" w:hAnsi="Times New Roman" w:eastAsia="仿宋_GB2312" w:cs="Times New Roman"/>
          <w:sz w:val="32"/>
          <w:szCs w:val="32"/>
        </w:rPr>
      </w:pPr>
      <w:r>
        <w:rPr>
          <w:rFonts w:hint="eastAsia" w:ascii="楷体_GB2312" w:hAnsi="宋体" w:eastAsia="楷体_GB2312"/>
          <w:b/>
          <w:bCs/>
          <w:sz w:val="32"/>
          <w:szCs w:val="32"/>
        </w:rPr>
        <w:t>（二）决算单位构成。</w:t>
      </w:r>
      <w:r>
        <w:rPr>
          <w:rFonts w:hint="eastAsia" w:ascii="Times New Roman" w:hAnsi="Times New Roman" w:eastAsia="仿宋_GB2312" w:cs="Times New Roman"/>
          <w:sz w:val="32"/>
          <w:szCs w:val="32"/>
        </w:rPr>
        <w:t>本单位20</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1年部门决算汇总公开单位构成包括：中共蓝山县委巡察工作领导小组办公室本级。</w:t>
      </w:r>
    </w:p>
    <w:p>
      <w:pPr>
        <w:pStyle w:val="24"/>
        <w:spacing w:line="600" w:lineRule="exact"/>
        <w:ind w:firstLine="800" w:firstLineChars="250"/>
        <w:rPr>
          <w:rFonts w:ascii="Times New Roman" w:hAnsi="Times New Roman" w:eastAsia="仿宋_GB2312" w:cs="Times New Roman"/>
          <w:sz w:val="32"/>
          <w:szCs w:val="32"/>
        </w:rPr>
      </w:pPr>
    </w:p>
    <w:p>
      <w:pPr>
        <w:jc w:val="left"/>
        <w:rPr>
          <w:rFonts w:hint="eastAsia" w:ascii="仿宋_GB2312" w:hAnsi="宋体" w:eastAsia="仿宋_GB2312"/>
          <w:sz w:val="28"/>
          <w:szCs w:val="32"/>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ascii="黑体" w:hAnsi="黑体" w:eastAsia="黑体"/>
          <w:sz w:val="28"/>
          <w:szCs w:val="28"/>
        </w:rPr>
      </w:pP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rPr>
          <w:rFonts w:hint="eastAsia"/>
        </w:rPr>
      </w:pPr>
    </w:p>
    <w:p>
      <w:pPr>
        <w:rPr>
          <w:sz w:val="72"/>
          <w:szCs w:val="72"/>
        </w:rPr>
      </w:pPr>
    </w:p>
    <w:p>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第二部分 2021年部门决算表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widowControl/>
        <w:jc w:val="left"/>
        <w:rPr>
          <w:rFonts w:ascii="宋体" w:hAnsi="宋体"/>
          <w:kern w:val="0"/>
          <w:sz w:val="32"/>
          <w:szCs w:val="32"/>
        </w:rPr>
        <w:sectPr>
          <w:pgSz w:w="11906" w:h="16838"/>
          <w:pgMar w:top="1440" w:right="1558" w:bottom="1440" w:left="1800" w:header="851" w:footer="992" w:gutter="0"/>
          <w:cols w:space="720" w:num="1"/>
          <w:docGrid w:type="lines" w:linePitch="312" w:charSpace="0"/>
        </w:sectPr>
      </w:pPr>
    </w:p>
    <w:p>
      <w:pPr>
        <w:jc w:val="center"/>
        <w:rPr>
          <w:rFonts w:ascii="方正小标宋_GBK" w:hAnsi="黑体" w:eastAsia="方正小标宋_GBK"/>
          <w:sz w:val="36"/>
          <w:szCs w:val="32"/>
        </w:rPr>
      </w:pPr>
    </w:p>
    <w:tbl>
      <w:tblPr>
        <w:tblStyle w:val="12"/>
        <w:tblpPr w:leftFromText="180" w:rightFromText="180" w:vertAnchor="text" w:horzAnchor="page" w:tblpX="1479" w:tblpY="555"/>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tblPrEx>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noWrap w:val="0"/>
            <w:vAlign w:val="center"/>
          </w:tcPr>
          <w:p>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09"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233"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16" w:type="dxa"/>
            <w:gridSpan w:val="2"/>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0" w:type="dxa"/>
            <w:gridSpan w:val="2"/>
            <w:tcBorders>
              <w:top w:val="nil"/>
              <w:left w:val="nil"/>
              <w:bottom w:val="nil"/>
              <w:right w:val="nil"/>
            </w:tcBorders>
            <w:noWrap w:val="0"/>
            <w:vAlign w:val="center"/>
          </w:tcPr>
          <w:p>
            <w:pPr>
              <w:widowControl/>
              <w:jc w:val="right"/>
              <w:rPr>
                <w:rFonts w:hint="eastAsia" w:ascii="宋体" w:hAnsi="宋体" w:cs="宋体"/>
                <w:kern w:val="0"/>
                <w:sz w:val="20"/>
                <w:szCs w:val="20"/>
              </w:rPr>
            </w:pPr>
          </w:p>
        </w:tc>
        <w:tc>
          <w:tcPr>
            <w:tcW w:w="4842"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1表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pPr>
              <w:widowControl/>
              <w:rPr>
                <w:rFonts w:hint="eastAsia" w:ascii="宋体" w:hAnsi="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pPr>
              <w:widowControl/>
              <w:rPr>
                <w:rFonts w:hint="eastAsia" w:ascii="宋体" w:hAnsi="宋体" w:cs="宋体"/>
                <w:kern w:val="0"/>
                <w:sz w:val="20"/>
                <w:szCs w:val="20"/>
              </w:rPr>
            </w:pPr>
            <w:r>
              <w:rPr>
                <w:rFonts w:hint="eastAsia" w:ascii="宋体" w:hAnsi="宋体" w:cs="宋体"/>
                <w:color w:val="000000"/>
                <w:sz w:val="20"/>
                <w:szCs w:val="20"/>
              </w:rPr>
              <w:t>中共蓝山县委巡察工作领导小组办公室</w:t>
            </w:r>
          </w:p>
        </w:tc>
        <w:tc>
          <w:tcPr>
            <w:tcW w:w="241"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0" w:type="dxa"/>
            <w:gridSpan w:val="2"/>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17" w:type="dxa"/>
            <w:gridSpan w:val="2"/>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pPr>
        <w:widowControl/>
        <w:spacing w:line="320" w:lineRule="exact"/>
        <w:ind w:right="198"/>
        <w:jc w:val="right"/>
        <w:rPr>
          <w:rFonts w:eastAsia="仿宋_GB2312"/>
          <w:color w:val="000000"/>
          <w:kern w:val="0"/>
          <w:szCs w:val="21"/>
        </w:rPr>
      </w:pPr>
      <w:r>
        <w:rPr>
          <w:rFonts w:eastAsia="仿宋_GB2312"/>
          <w:color w:val="000000"/>
          <w:kern w:val="0"/>
          <w:szCs w:val="21"/>
        </w:rPr>
        <w:t xml:space="preserve">                                                                                                           </w:t>
      </w:r>
    </w:p>
    <w:tbl>
      <w:tblPr>
        <w:tblStyle w:val="12"/>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wBefore w:w="0" w:type="auto"/>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支出</w:t>
            </w:r>
          </w:p>
        </w:tc>
      </w:tr>
      <w:tr>
        <w:tblPrEx>
          <w:tblCellMar>
            <w:top w:w="0" w:type="dxa"/>
            <w:left w:w="108" w:type="dxa"/>
            <w:bottom w:w="0" w:type="dxa"/>
            <w:right w:w="108" w:type="dxa"/>
          </w:tblCellMar>
        </w:tblPrEx>
        <w:trPr>
          <w:wBefore w:w="0" w:type="auto"/>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决算数</w:t>
            </w:r>
          </w:p>
        </w:tc>
      </w:tr>
      <w:tr>
        <w:tblPrEx>
          <w:tblCellMar>
            <w:top w:w="0" w:type="dxa"/>
            <w:left w:w="108" w:type="dxa"/>
            <w:bottom w:w="0" w:type="dxa"/>
            <w:right w:w="108" w:type="dxa"/>
          </w:tblCellMar>
        </w:tblPrEx>
        <w:trPr>
          <w:wBefore w:w="0" w:type="auto"/>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ign w:val="center"/>
          </w:tcPr>
          <w:p>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r>
      <w:tr>
        <w:tblPrEx>
          <w:tblCellMar>
            <w:top w:w="0" w:type="dxa"/>
            <w:left w:w="108" w:type="dxa"/>
            <w:bottom w:w="0" w:type="dxa"/>
            <w:right w:w="108" w:type="dxa"/>
          </w:tblCellMar>
        </w:tblPrEx>
        <w:trPr>
          <w:wBefore w:w="0" w:type="auto"/>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395.87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395.87</w:t>
            </w:r>
          </w:p>
        </w:tc>
      </w:tr>
      <w:tr>
        <w:tblPrEx>
          <w:tblCellMar>
            <w:top w:w="0" w:type="dxa"/>
            <w:left w:w="108" w:type="dxa"/>
            <w:bottom w:w="0" w:type="dxa"/>
            <w:right w:w="108" w:type="dxa"/>
          </w:tblCellMar>
        </w:tblPrEx>
        <w:trPr>
          <w:wBefore w:w="0" w:type="auto"/>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wBefore w:w="0" w:type="auto"/>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wBefore w:w="0" w:type="auto"/>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wBefore w:w="0" w:type="auto"/>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wBefore w:w="0" w:type="auto"/>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wBefore w:w="0" w:type="auto"/>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七、</w:t>
            </w:r>
            <w:r>
              <w:rPr>
                <w:rFonts w:eastAsia="仿宋_GB2312"/>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wBefore w:w="0" w:type="auto"/>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wBefore w:w="0" w:type="auto"/>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395.87　</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kern w:val="0"/>
                <w:szCs w:val="21"/>
              </w:rPr>
              <w:t>395.87</w:t>
            </w:r>
          </w:p>
        </w:tc>
      </w:tr>
      <w:tr>
        <w:tblPrEx>
          <w:tblCellMar>
            <w:top w:w="0" w:type="dxa"/>
            <w:left w:w="108" w:type="dxa"/>
            <w:bottom w:w="0" w:type="dxa"/>
            <w:right w:w="108" w:type="dxa"/>
          </w:tblCellMar>
        </w:tblPrEx>
        <w:trPr>
          <w:wBefore w:w="0" w:type="auto"/>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wBefore w:w="0" w:type="auto"/>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wBefore w:w="0" w:type="auto"/>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wBefore w:w="0" w:type="auto"/>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395.87　</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kern w:val="0"/>
                <w:szCs w:val="21"/>
              </w:rPr>
              <w:t>395.87</w:t>
            </w:r>
          </w:p>
        </w:tc>
      </w:tr>
    </w:tbl>
    <w:p>
      <w:pPr>
        <w:widowControl/>
        <w:jc w:val="left"/>
        <w:rPr>
          <w:rFonts w:eastAsia="仿宋_GB2312"/>
          <w:kern w:val="0"/>
          <w:szCs w:val="21"/>
        </w:rPr>
      </w:pPr>
      <w:r>
        <w:rPr>
          <w:rFonts w:hint="eastAsia" w:eastAsia="仿宋_GB2312"/>
          <w:kern w:val="0"/>
          <w:szCs w:val="21"/>
        </w:rPr>
        <w:t>注：本表反映部门本年度的总收支和年末结转结余情况。</w:t>
      </w:r>
    </w:p>
    <w:p>
      <w:pPr>
        <w:widowControl/>
        <w:jc w:val="left"/>
        <w:rPr>
          <w:rFonts w:eastAsia="黑体"/>
          <w:bCs/>
          <w:kern w:val="0"/>
          <w:sz w:val="32"/>
          <w:szCs w:val="32"/>
        </w:rPr>
      </w:pPr>
      <w:r>
        <w:rPr>
          <w:rFonts w:eastAsia="黑体"/>
          <w:bCs/>
          <w:kern w:val="0"/>
          <w:sz w:val="32"/>
          <w:szCs w:val="32"/>
        </w:rPr>
        <w:br w:type="page"/>
      </w:r>
    </w:p>
    <w:tbl>
      <w:tblPr>
        <w:tblStyle w:val="12"/>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tblPrEx>
          <w:tblCellMar>
            <w:top w:w="0" w:type="dxa"/>
            <w:left w:w="108" w:type="dxa"/>
            <w:bottom w:w="0" w:type="dxa"/>
            <w:right w:w="108" w:type="dxa"/>
          </w:tblCellMar>
        </w:tblPrEx>
        <w:trPr>
          <w:wAfter w:w="0" w:type="auto"/>
          <w:trHeight w:val="1381" w:hRule="atLeast"/>
        </w:trPr>
        <w:tc>
          <w:tcPr>
            <w:tcW w:w="13849" w:type="dxa"/>
            <w:gridSpan w:val="8"/>
            <w:tcBorders>
              <w:top w:val="nil"/>
              <w:left w:val="nil"/>
              <w:bottom w:val="nil"/>
              <w:right w:val="nil"/>
            </w:tcBorders>
            <w:noWrap w:val="0"/>
            <w:vAlign w:val="center"/>
          </w:tcPr>
          <w:p>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36"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200"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12" w:type="dxa"/>
            <w:gridSpan w:val="2"/>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38" w:type="dxa"/>
            <w:gridSpan w:val="2"/>
            <w:tcBorders>
              <w:top w:val="nil"/>
              <w:left w:val="nil"/>
              <w:bottom w:val="nil"/>
              <w:right w:val="nil"/>
            </w:tcBorders>
            <w:noWrap w:val="0"/>
            <w:vAlign w:val="center"/>
          </w:tcPr>
          <w:p>
            <w:pPr>
              <w:widowControl/>
              <w:jc w:val="right"/>
              <w:rPr>
                <w:rFonts w:hint="eastAsia" w:ascii="宋体" w:hAnsi="宋体" w:cs="宋体"/>
                <w:kern w:val="0"/>
                <w:sz w:val="20"/>
                <w:szCs w:val="20"/>
              </w:rPr>
            </w:pPr>
          </w:p>
        </w:tc>
        <w:tc>
          <w:tcPr>
            <w:tcW w:w="4800"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2表</w:t>
            </w:r>
          </w:p>
        </w:tc>
      </w:tr>
      <w:tr>
        <w:trPr>
          <w:wAfter w:w="0" w:type="auto"/>
          <w:trHeight w:val="345" w:hRule="atLeast"/>
        </w:trPr>
        <w:tc>
          <w:tcPr>
            <w:tcW w:w="763" w:type="dxa"/>
            <w:tcBorders>
              <w:top w:val="nil"/>
              <w:left w:val="nil"/>
              <w:bottom w:val="nil"/>
              <w:right w:val="nil"/>
            </w:tcBorders>
            <w:noWrap/>
            <w:vAlign w:val="center"/>
          </w:tcPr>
          <w:p>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pPr>
              <w:widowControl/>
              <w:rPr>
                <w:rFonts w:hint="eastAsia" w:ascii="宋体" w:hAnsi="宋体" w:cs="宋体"/>
                <w:kern w:val="0"/>
                <w:sz w:val="20"/>
                <w:szCs w:val="20"/>
              </w:rPr>
            </w:pPr>
            <w:r>
              <w:rPr>
                <w:rFonts w:hint="eastAsia" w:ascii="宋体" w:hAnsi="宋体" w:cs="宋体"/>
                <w:color w:val="000000"/>
                <w:sz w:val="20"/>
                <w:szCs w:val="20"/>
              </w:rPr>
              <w:t>中共蓝山县委巡察工作领导小组办公室</w:t>
            </w:r>
          </w:p>
        </w:tc>
        <w:tc>
          <w:tcPr>
            <w:tcW w:w="240"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38" w:type="dxa"/>
            <w:gridSpan w:val="2"/>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172" w:type="dxa"/>
            <w:gridSpan w:val="2"/>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pPr>
        <w:widowControl/>
        <w:ind w:firstLine="630" w:firstLineChars="300"/>
        <w:jc w:val="left"/>
        <w:rPr>
          <w:rFonts w:eastAsia="仿宋_GB2312"/>
          <w:color w:val="000000"/>
          <w:kern w:val="0"/>
          <w:szCs w:val="21"/>
        </w:rPr>
      </w:pPr>
      <w:r>
        <w:rPr>
          <w:rFonts w:eastAsia="仿宋_GB2312"/>
          <w:color w:val="000000"/>
          <w:kern w:val="0"/>
          <w:szCs w:val="21"/>
        </w:rPr>
        <w:t xml:space="preserve">                                                                                                           </w:t>
      </w:r>
    </w:p>
    <w:tbl>
      <w:tblPr>
        <w:tblStyle w:val="12"/>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noWrap w:val="0"/>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pPr>
              <w:widowControl/>
              <w:jc w:val="center"/>
              <w:rPr>
                <w:rFonts w:eastAsia="仿宋_GB2312"/>
                <w:kern w:val="0"/>
                <w:szCs w:val="21"/>
              </w:rPr>
            </w:pPr>
            <w:r>
              <w:rPr>
                <w:rFonts w:hint="eastAsia" w:eastAsia="仿宋_GB2312"/>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科目名称</w:t>
            </w: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000000" w:sz="4" w:space="0"/>
              <w:right w:val="nil"/>
            </w:tcBorders>
            <w:noWrap w:val="0"/>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eastAsia="仿宋_GB2312"/>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合计</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395.87</w:t>
            </w:r>
          </w:p>
        </w:tc>
        <w:tc>
          <w:tcPr>
            <w:tcW w:w="159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395.87</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hint="eastAsia" w:cs="Arial"/>
                <w:color w:val="000000"/>
                <w:kern w:val="0"/>
                <w:sz w:val="22"/>
                <w:szCs w:val="22"/>
              </w:rPr>
            </w:pPr>
            <w:r>
              <w:rPr>
                <w:rFonts w:hint="eastAsia" w:cs="Arial"/>
                <w:color w:val="000000"/>
                <w:sz w:val="22"/>
                <w:szCs w:val="22"/>
              </w:rPr>
              <w:t>201</w:t>
            </w:r>
          </w:p>
        </w:tc>
        <w:tc>
          <w:tcPr>
            <w:tcW w:w="1188" w:type="dxa"/>
            <w:tcBorders>
              <w:top w:val="nil"/>
              <w:left w:val="nil"/>
              <w:bottom w:val="single" w:color="auto" w:sz="4" w:space="0"/>
              <w:right w:val="single" w:color="auto" w:sz="4" w:space="0"/>
            </w:tcBorders>
            <w:noWrap/>
            <w:vAlign w:val="center"/>
          </w:tcPr>
          <w:p>
            <w:pPr>
              <w:widowControl/>
              <w:jc w:val="left"/>
              <w:rPr>
                <w:rFonts w:hint="eastAsia" w:cs="Arial"/>
                <w:color w:val="000000"/>
                <w:kern w:val="0"/>
                <w:sz w:val="22"/>
                <w:szCs w:val="22"/>
              </w:rPr>
            </w:pPr>
            <w:r>
              <w:rPr>
                <w:rFonts w:hint="eastAsia" w:cs="Arial"/>
                <w:color w:val="000000"/>
                <w:sz w:val="22"/>
                <w:szCs w:val="22"/>
              </w:rPr>
              <w:t>一般公共服务支出</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395.87</w:t>
            </w:r>
          </w:p>
        </w:tc>
        <w:tc>
          <w:tcPr>
            <w:tcW w:w="159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395.87</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hint="eastAsia" w:cs="Arial"/>
                <w:color w:val="000000"/>
                <w:kern w:val="0"/>
                <w:sz w:val="22"/>
                <w:szCs w:val="22"/>
              </w:rPr>
            </w:pPr>
            <w:r>
              <w:rPr>
                <w:rFonts w:hint="eastAsia" w:cs="Arial"/>
                <w:color w:val="000000"/>
                <w:sz w:val="22"/>
                <w:szCs w:val="22"/>
              </w:rPr>
              <w:t>20111</w:t>
            </w:r>
          </w:p>
        </w:tc>
        <w:tc>
          <w:tcPr>
            <w:tcW w:w="1188" w:type="dxa"/>
            <w:tcBorders>
              <w:top w:val="nil"/>
              <w:left w:val="nil"/>
              <w:bottom w:val="single" w:color="auto" w:sz="4" w:space="0"/>
              <w:right w:val="single" w:color="auto" w:sz="4" w:space="0"/>
            </w:tcBorders>
            <w:noWrap/>
            <w:vAlign w:val="center"/>
          </w:tcPr>
          <w:p>
            <w:pPr>
              <w:widowControl/>
              <w:jc w:val="left"/>
              <w:rPr>
                <w:rFonts w:hint="eastAsia" w:cs="Arial"/>
                <w:color w:val="000000"/>
                <w:kern w:val="0"/>
                <w:sz w:val="22"/>
                <w:szCs w:val="22"/>
              </w:rPr>
            </w:pPr>
            <w:r>
              <w:rPr>
                <w:rFonts w:hint="eastAsia" w:cs="Arial"/>
                <w:color w:val="000000"/>
                <w:sz w:val="22"/>
                <w:szCs w:val="22"/>
              </w:rPr>
              <w:t>纪检监察事务</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395.87</w:t>
            </w:r>
          </w:p>
        </w:tc>
        <w:tc>
          <w:tcPr>
            <w:tcW w:w="159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395.87</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cs="Arial"/>
                <w:color w:val="000000"/>
                <w:kern w:val="0"/>
                <w:sz w:val="22"/>
                <w:szCs w:val="22"/>
              </w:rPr>
            </w:pPr>
            <w:r>
              <w:rPr>
                <w:rFonts w:hint="eastAsia" w:cs="Arial"/>
                <w:color w:val="000000"/>
                <w:sz w:val="22"/>
                <w:szCs w:val="22"/>
              </w:rPr>
              <w:t>2011199</w:t>
            </w:r>
          </w:p>
          <w:p>
            <w:pPr>
              <w:jc w:val="left"/>
              <w:rPr>
                <w:rFonts w:hint="eastAsia" w:ascii="宋体" w:hAnsi="宋体" w:cs="宋体"/>
                <w:color w:val="000000"/>
                <w:sz w:val="24"/>
              </w:rPr>
            </w:pPr>
          </w:p>
        </w:tc>
        <w:tc>
          <w:tcPr>
            <w:tcW w:w="1188" w:type="dxa"/>
            <w:tcBorders>
              <w:top w:val="nil"/>
              <w:left w:val="nil"/>
              <w:bottom w:val="single" w:color="auto" w:sz="4" w:space="0"/>
              <w:right w:val="single" w:color="auto" w:sz="4" w:space="0"/>
            </w:tcBorders>
            <w:noWrap/>
            <w:vAlign w:val="center"/>
          </w:tcPr>
          <w:p>
            <w:pPr>
              <w:widowControl/>
              <w:jc w:val="left"/>
              <w:rPr>
                <w:rFonts w:hint="eastAsia" w:cs="Arial"/>
                <w:color w:val="000000"/>
                <w:kern w:val="0"/>
                <w:sz w:val="22"/>
                <w:szCs w:val="22"/>
              </w:rPr>
            </w:pPr>
            <w:r>
              <w:rPr>
                <w:rFonts w:hint="eastAsia" w:cs="Arial"/>
                <w:color w:val="000000"/>
                <w:sz w:val="22"/>
                <w:szCs w:val="22"/>
              </w:rPr>
              <w:t>其他纪检监察事务支出</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395.87</w:t>
            </w:r>
          </w:p>
        </w:tc>
        <w:tc>
          <w:tcPr>
            <w:tcW w:w="159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395.87</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8"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pPr>
              <w:widowControl/>
              <w:jc w:val="left"/>
              <w:rPr>
                <w:rFonts w:eastAsia="仿宋_GB2312"/>
                <w:kern w:val="0"/>
                <w:szCs w:val="21"/>
              </w:rPr>
            </w:pPr>
            <w:r>
              <w:rPr>
                <w:rFonts w:hint="eastAsia" w:eastAsia="仿宋_GB2312"/>
                <w:kern w:val="0"/>
                <w:szCs w:val="21"/>
              </w:rPr>
              <w:t>注：本表反映部门本年度取得的各项收入情况。</w:t>
            </w:r>
          </w:p>
        </w:tc>
      </w:tr>
    </w:tbl>
    <w:p>
      <w:pPr>
        <w:widowControl/>
        <w:jc w:val="left"/>
        <w:rPr>
          <w:rFonts w:eastAsia="黑体"/>
          <w:bCs/>
          <w:kern w:val="0"/>
          <w:sz w:val="32"/>
          <w:szCs w:val="32"/>
        </w:rPr>
      </w:pPr>
    </w:p>
    <w:p>
      <w:pPr>
        <w:widowControl/>
        <w:jc w:val="left"/>
        <w:rPr>
          <w:rFonts w:eastAsia="黑体"/>
          <w:bCs/>
          <w:kern w:val="0"/>
          <w:sz w:val="32"/>
          <w:szCs w:val="32"/>
        </w:rPr>
      </w:pPr>
      <w:r>
        <w:rPr>
          <w:rFonts w:eastAsia="黑体"/>
          <w:bCs/>
          <w:kern w:val="0"/>
          <w:sz w:val="32"/>
          <w:szCs w:val="32"/>
        </w:rPr>
        <w:br w:type="page"/>
      </w:r>
    </w:p>
    <w:p>
      <w:pPr>
        <w:widowControl/>
        <w:rPr>
          <w:rFonts w:eastAsia="方正小标宋_GBK"/>
          <w:color w:val="000000"/>
          <w:kern w:val="0"/>
          <w:sz w:val="36"/>
          <w:szCs w:val="36"/>
        </w:rPr>
      </w:pPr>
    </w:p>
    <w:tbl>
      <w:tblPr>
        <w:tblStyle w:val="12"/>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tblPrEx>
          <w:tblCellMar>
            <w:top w:w="0" w:type="dxa"/>
            <w:left w:w="108" w:type="dxa"/>
            <w:bottom w:w="0" w:type="dxa"/>
            <w:right w:w="108" w:type="dxa"/>
          </w:tblCellMar>
        </w:tblPrEx>
        <w:trPr>
          <w:wAfter w:w="0" w:type="auto"/>
          <w:trHeight w:val="1414" w:hRule="atLeast"/>
        </w:trPr>
        <w:tc>
          <w:tcPr>
            <w:tcW w:w="14091" w:type="dxa"/>
            <w:gridSpan w:val="9"/>
            <w:tcBorders>
              <w:top w:val="nil"/>
              <w:left w:val="nil"/>
              <w:bottom w:val="nil"/>
              <w:right w:val="nil"/>
            </w:tcBorders>
            <w:noWrap w:val="0"/>
            <w:vAlign w:val="center"/>
          </w:tcPr>
          <w:p>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36"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18"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0" w:type="dxa"/>
            <w:gridSpan w:val="3"/>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5" w:type="dxa"/>
            <w:gridSpan w:val="2"/>
            <w:tcBorders>
              <w:top w:val="nil"/>
              <w:left w:val="nil"/>
              <w:bottom w:val="nil"/>
              <w:right w:val="nil"/>
            </w:tcBorders>
            <w:noWrap w:val="0"/>
            <w:vAlign w:val="center"/>
          </w:tcPr>
          <w:p>
            <w:pPr>
              <w:widowControl/>
              <w:jc w:val="right"/>
              <w:rPr>
                <w:rFonts w:hint="eastAsia" w:ascii="宋体" w:hAnsi="宋体" w:cs="宋体"/>
                <w:kern w:val="0"/>
                <w:sz w:val="20"/>
                <w:szCs w:val="20"/>
              </w:rPr>
            </w:pPr>
          </w:p>
        </w:tc>
        <w:tc>
          <w:tcPr>
            <w:tcW w:w="5057"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3表</w:t>
            </w:r>
          </w:p>
        </w:tc>
      </w:tr>
      <w:tr>
        <w:tblPrEx>
          <w:tblCellMar>
            <w:top w:w="0" w:type="dxa"/>
            <w:left w:w="108" w:type="dxa"/>
            <w:bottom w:w="0" w:type="dxa"/>
            <w:right w:w="108" w:type="dxa"/>
          </w:tblCellMar>
        </w:tblPrEx>
        <w:trPr>
          <w:wAfter w:w="0" w:type="auto"/>
          <w:trHeight w:val="353" w:hRule="atLeast"/>
        </w:trPr>
        <w:tc>
          <w:tcPr>
            <w:tcW w:w="975" w:type="dxa"/>
            <w:tcBorders>
              <w:top w:val="nil"/>
              <w:left w:val="nil"/>
              <w:bottom w:val="nil"/>
              <w:right w:val="nil"/>
            </w:tcBorders>
            <w:noWrap/>
            <w:vAlign w:val="center"/>
          </w:tcPr>
          <w:p>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pPr>
              <w:widowControl/>
              <w:rPr>
                <w:rFonts w:hint="eastAsia" w:ascii="宋体" w:hAnsi="宋体" w:cs="宋体"/>
                <w:kern w:val="0"/>
                <w:sz w:val="20"/>
                <w:szCs w:val="20"/>
              </w:rPr>
            </w:pPr>
            <w:r>
              <w:rPr>
                <w:rFonts w:hint="eastAsia" w:ascii="宋体" w:hAnsi="宋体" w:cs="宋体"/>
                <w:color w:val="000000"/>
                <w:sz w:val="20"/>
                <w:szCs w:val="20"/>
              </w:rPr>
              <w:t>中共蓝山县委巡察工作领导小组办公室</w:t>
            </w:r>
          </w:p>
        </w:tc>
        <w:tc>
          <w:tcPr>
            <w:tcW w:w="708"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5" w:type="dxa"/>
            <w:gridSpan w:val="2"/>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30" w:type="dxa"/>
            <w:gridSpan w:val="2"/>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pPr>
        <w:widowControl/>
        <w:spacing w:line="400" w:lineRule="exact"/>
        <w:jc w:val="left"/>
        <w:rPr>
          <w:rFonts w:eastAsia="仿宋_GB2312"/>
          <w:color w:val="000000"/>
          <w:kern w:val="0"/>
          <w:sz w:val="20"/>
          <w:szCs w:val="20"/>
        </w:rPr>
      </w:pPr>
      <w:r>
        <w:rPr>
          <w:rFonts w:eastAsia="仿宋_GB2312"/>
          <w:color w:val="000000"/>
          <w:kern w:val="0"/>
          <w:sz w:val="20"/>
          <w:szCs w:val="20"/>
        </w:rPr>
        <w:t xml:space="preserve">                                                                                                                </w:t>
      </w:r>
    </w:p>
    <w:tbl>
      <w:tblPr>
        <w:tblStyle w:val="12"/>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77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本年支出合计</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功能分类科目编码</w:t>
            </w:r>
          </w:p>
        </w:tc>
        <w:tc>
          <w:tcPr>
            <w:tcW w:w="1249"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3</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4</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5</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合计</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395.87</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284.45</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111.42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cs="Arial"/>
                <w:color w:val="000000"/>
                <w:kern w:val="0"/>
                <w:sz w:val="22"/>
                <w:szCs w:val="22"/>
              </w:rPr>
            </w:pPr>
            <w:r>
              <w:rPr>
                <w:rFonts w:hint="eastAsia" w:cs="Arial"/>
                <w:color w:val="000000"/>
                <w:sz w:val="22"/>
                <w:szCs w:val="22"/>
              </w:rPr>
              <w:t>201</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cs="Arial"/>
                <w:color w:val="000000"/>
                <w:kern w:val="0"/>
                <w:sz w:val="22"/>
                <w:szCs w:val="22"/>
              </w:rPr>
            </w:pPr>
            <w:r>
              <w:rPr>
                <w:rFonts w:hint="eastAsia" w:cs="Arial"/>
                <w:color w:val="000000"/>
                <w:sz w:val="22"/>
                <w:szCs w:val="22"/>
              </w:rPr>
              <w:t>一般公共服务支出</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395.87</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284.45</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111.42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cs="Arial"/>
                <w:color w:val="000000"/>
                <w:kern w:val="0"/>
                <w:sz w:val="22"/>
                <w:szCs w:val="22"/>
              </w:rPr>
            </w:pPr>
            <w:r>
              <w:rPr>
                <w:rFonts w:hint="eastAsia" w:cs="Arial"/>
                <w:color w:val="000000"/>
                <w:sz w:val="22"/>
                <w:szCs w:val="22"/>
              </w:rPr>
              <w:t>20111</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cs="Arial"/>
                <w:color w:val="000000"/>
                <w:kern w:val="0"/>
                <w:sz w:val="22"/>
                <w:szCs w:val="22"/>
              </w:rPr>
            </w:pPr>
            <w:r>
              <w:rPr>
                <w:rFonts w:hint="eastAsia" w:cs="Arial"/>
                <w:color w:val="000000"/>
                <w:sz w:val="22"/>
                <w:szCs w:val="22"/>
              </w:rPr>
              <w:t>纪检监察事务</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395.87</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284.45</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111.42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cs="Arial"/>
                <w:color w:val="000000"/>
                <w:kern w:val="0"/>
                <w:sz w:val="22"/>
                <w:szCs w:val="22"/>
              </w:rPr>
            </w:pPr>
            <w:r>
              <w:rPr>
                <w:rFonts w:hint="eastAsia" w:cs="Arial"/>
                <w:color w:val="000000"/>
                <w:sz w:val="22"/>
                <w:szCs w:val="22"/>
              </w:rPr>
              <w:t>2011199</w:t>
            </w:r>
          </w:p>
          <w:p>
            <w:pPr>
              <w:jc w:val="left"/>
              <w:rPr>
                <w:rFonts w:hint="eastAsia" w:ascii="宋体" w:hAnsi="宋体" w:cs="宋体"/>
                <w:color w:val="000000"/>
                <w:sz w:val="24"/>
              </w:rPr>
            </w:pP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cs="Arial"/>
                <w:color w:val="000000"/>
                <w:kern w:val="0"/>
                <w:sz w:val="22"/>
                <w:szCs w:val="22"/>
              </w:rPr>
            </w:pPr>
            <w:r>
              <w:rPr>
                <w:rFonts w:hint="eastAsia" w:cs="Arial"/>
                <w:color w:val="000000"/>
                <w:sz w:val="22"/>
                <w:szCs w:val="22"/>
              </w:rPr>
              <w:t>其他纪检监察事务支出</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395.87</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284.45</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111.42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bl>
    <w:p>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pPr>
        <w:widowControl/>
        <w:jc w:val="left"/>
        <w:rPr>
          <w:rFonts w:eastAsia="仿宋_GB2312"/>
          <w:bCs/>
          <w:kern w:val="0"/>
          <w:szCs w:val="21"/>
        </w:rPr>
      </w:pPr>
      <w:r>
        <w:rPr>
          <w:rFonts w:eastAsia="仿宋_GB2312"/>
          <w:bCs/>
          <w:kern w:val="0"/>
          <w:szCs w:val="21"/>
        </w:rPr>
        <w:br w:type="page"/>
      </w:r>
    </w:p>
    <w:p>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w:t>
      </w:r>
      <w:r>
        <w:rPr>
          <w:rFonts w:hint="eastAsia" w:ascii="宋体" w:hAnsi="宋体" w:cs="宋体"/>
          <w:color w:val="000000"/>
          <w:sz w:val="20"/>
          <w:szCs w:val="20"/>
        </w:rPr>
        <w:t>中共蓝山县委巡察工作领导小组办公室</w:t>
      </w:r>
      <w:r>
        <w:rPr>
          <w:rFonts w:eastAsia="仿宋_GB2312"/>
          <w:color w:val="000000"/>
          <w:kern w:val="0"/>
          <w:szCs w:val="21"/>
        </w:rPr>
        <w:tab/>
      </w:r>
      <w:r>
        <w:rPr>
          <w:rFonts w:hint="eastAsia" w:eastAsia="仿宋_GB2312"/>
          <w:color w:val="000000"/>
          <w:kern w:val="0"/>
          <w:szCs w:val="21"/>
        </w:rPr>
        <w:t>单位：万元</w:t>
      </w:r>
    </w:p>
    <w:tbl>
      <w:tblPr>
        <w:tblStyle w:val="12"/>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395.87</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395.87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395.87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五、教育支出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六、科学技术支出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七、</w:t>
            </w:r>
            <w:r>
              <w:rPr>
                <w:rFonts w:eastAsia="仿宋_GB2312"/>
                <w:kern w:val="0"/>
                <w:szCs w:val="21"/>
              </w:rPr>
              <w:t>…</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395.87</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395.87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395.87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bCs/>
                <w:kern w:val="0"/>
                <w:szCs w:val="21"/>
              </w:rPr>
            </w:pPr>
            <w:r>
              <w:rPr>
                <w:rFonts w:hint="eastAsia" w:eastAsia="仿宋_GB2312"/>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395.87</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395.87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395.87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bCs/>
                <w:kern w:val="0"/>
                <w:szCs w:val="21"/>
              </w:rPr>
            </w:pPr>
            <w:r>
              <w:rPr>
                <w:rFonts w:hint="eastAsia" w:eastAsia="仿宋_GB2312"/>
                <w:b/>
                <w:bCs/>
                <w:kern w:val="0"/>
                <w:szCs w:val="21"/>
              </w:rPr>
              <w:t>　</w:t>
            </w:r>
          </w:p>
        </w:tc>
      </w:tr>
    </w:tbl>
    <w:p>
      <w:pPr>
        <w:widowControl/>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pPr>
        <w:widowControl/>
        <w:jc w:val="left"/>
        <w:rPr>
          <w:rFonts w:eastAsia="仿宋_GB2312"/>
          <w:kern w:val="0"/>
          <w:szCs w:val="21"/>
        </w:rPr>
      </w:pPr>
      <w:r>
        <w:rPr>
          <w:rFonts w:eastAsia="仿宋_GB2312"/>
          <w:kern w:val="0"/>
          <w:szCs w:val="21"/>
        </w:rPr>
        <w:br w:type="page"/>
      </w:r>
    </w:p>
    <w:tbl>
      <w:tblPr>
        <w:tblStyle w:val="12"/>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11"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29"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5"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75" w:type="dxa"/>
            <w:tcBorders>
              <w:top w:val="nil"/>
              <w:left w:val="nil"/>
              <w:bottom w:val="nil"/>
              <w:right w:val="nil"/>
            </w:tcBorders>
            <w:noWrap w:val="0"/>
            <w:vAlign w:val="center"/>
          </w:tcPr>
          <w:p>
            <w:pPr>
              <w:widowControl/>
              <w:jc w:val="right"/>
              <w:rPr>
                <w:rFonts w:hint="eastAsia" w:ascii="宋体" w:hAnsi="宋体" w:cs="宋体"/>
                <w:kern w:val="0"/>
                <w:sz w:val="20"/>
                <w:szCs w:val="20"/>
              </w:rPr>
            </w:pPr>
          </w:p>
        </w:tc>
        <w:tc>
          <w:tcPr>
            <w:tcW w:w="5235"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5表</w:t>
            </w: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pPr>
              <w:widowControl/>
              <w:rPr>
                <w:rFonts w:hint="eastAsia" w:ascii="宋体" w:hAnsi="宋体" w:cs="宋体"/>
                <w:kern w:val="0"/>
                <w:sz w:val="20"/>
                <w:szCs w:val="20"/>
              </w:rPr>
            </w:pPr>
            <w:r>
              <w:rPr>
                <w:rFonts w:hint="eastAsia" w:ascii="宋体" w:hAnsi="宋体" w:cs="宋体"/>
                <w:color w:val="000000"/>
                <w:sz w:val="20"/>
                <w:szCs w:val="20"/>
              </w:rPr>
              <w:t>中共蓝山县委巡察工作领导小组办公室</w:t>
            </w:r>
          </w:p>
        </w:tc>
        <w:tc>
          <w:tcPr>
            <w:tcW w:w="1345"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75"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35"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pPr>
        <w:widowControl/>
        <w:spacing w:before="156" w:beforeLines="50"/>
        <w:jc w:val="left"/>
        <w:rPr>
          <w:color w:val="000000"/>
          <w:kern w:val="0"/>
          <w:sz w:val="20"/>
          <w:szCs w:val="20"/>
        </w:rPr>
      </w:pPr>
      <w:r>
        <w:rPr>
          <w:rFonts w:eastAsia="仿宋_GB2312"/>
          <w:color w:val="000000"/>
          <w:kern w:val="0"/>
          <w:szCs w:val="21"/>
        </w:rPr>
        <w:t xml:space="preserve">                                                                                                                  </w:t>
      </w:r>
    </w:p>
    <w:tbl>
      <w:tblPr>
        <w:tblStyle w:val="12"/>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9492" w:type="dxa"/>
            <w:gridSpan w:val="3"/>
            <w:tcBorders>
              <w:top w:val="single" w:color="auto" w:sz="8" w:space="0"/>
              <w:left w:val="nil"/>
              <w:bottom w:val="single" w:color="auto" w:sz="4" w:space="0"/>
              <w:right w:val="single" w:color="000000" w:sz="8" w:space="0"/>
            </w:tcBorders>
            <w:noWrap w:val="0"/>
            <w:vAlign w:val="center"/>
          </w:tcPr>
          <w:p>
            <w:pPr>
              <w:widowControl/>
              <w:jc w:val="center"/>
              <w:rPr>
                <w:rFonts w:eastAsia="仿宋_GB2312"/>
                <w:b/>
                <w:kern w:val="0"/>
                <w:szCs w:val="21"/>
              </w:rPr>
            </w:pPr>
            <w:r>
              <w:rPr>
                <w:rFonts w:hint="eastAsia" w:eastAsia="仿宋_GB2312"/>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项目支出</w:t>
            </w:r>
          </w:p>
        </w:tc>
      </w:tr>
      <w:tr>
        <w:tblPrEx>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b/>
                <w:kern w:val="0"/>
                <w:szCs w:val="21"/>
              </w:rPr>
            </w:pPr>
          </w:p>
        </w:tc>
      </w:tr>
      <w:tr>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b/>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395.87</w:t>
            </w:r>
          </w:p>
        </w:tc>
        <w:tc>
          <w:tcPr>
            <w:tcW w:w="3492"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284.45</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111.42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cs="Arial"/>
                <w:color w:val="000000"/>
                <w:kern w:val="0"/>
                <w:sz w:val="22"/>
                <w:szCs w:val="22"/>
              </w:rPr>
            </w:pPr>
            <w:r>
              <w:rPr>
                <w:rFonts w:hint="eastAsia" w:cs="Arial"/>
                <w:color w:val="000000"/>
                <w:sz w:val="22"/>
                <w:szCs w:val="22"/>
              </w:rPr>
              <w:t>201</w:t>
            </w:r>
          </w:p>
        </w:tc>
        <w:tc>
          <w:tcPr>
            <w:tcW w:w="3527" w:type="dxa"/>
            <w:tcBorders>
              <w:top w:val="nil"/>
              <w:left w:val="nil"/>
              <w:bottom w:val="single" w:color="auto" w:sz="4" w:space="0"/>
              <w:right w:val="single" w:color="auto" w:sz="4" w:space="0"/>
            </w:tcBorders>
            <w:noWrap w:val="0"/>
            <w:vAlign w:val="center"/>
          </w:tcPr>
          <w:p>
            <w:pPr>
              <w:widowControl/>
              <w:jc w:val="left"/>
              <w:rPr>
                <w:rFonts w:hint="eastAsia" w:cs="Arial"/>
                <w:color w:val="000000"/>
                <w:kern w:val="0"/>
                <w:sz w:val="22"/>
                <w:szCs w:val="22"/>
              </w:rPr>
            </w:pPr>
            <w:r>
              <w:rPr>
                <w:rFonts w:hint="eastAsia" w:cs="Arial"/>
                <w:color w:val="000000"/>
                <w:sz w:val="22"/>
                <w:szCs w:val="22"/>
              </w:rPr>
              <w:t>一般公共服务支出</w:t>
            </w:r>
          </w:p>
        </w:tc>
        <w:tc>
          <w:tcPr>
            <w:tcW w:w="300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395.87</w:t>
            </w:r>
          </w:p>
        </w:tc>
        <w:tc>
          <w:tcPr>
            <w:tcW w:w="3492"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284.45</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111.42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cs="Arial"/>
                <w:color w:val="000000"/>
                <w:kern w:val="0"/>
                <w:sz w:val="22"/>
                <w:szCs w:val="22"/>
              </w:rPr>
            </w:pPr>
            <w:r>
              <w:rPr>
                <w:rFonts w:hint="eastAsia" w:cs="Arial"/>
                <w:color w:val="000000"/>
                <w:sz w:val="22"/>
                <w:szCs w:val="22"/>
              </w:rPr>
              <w:t>20111</w:t>
            </w:r>
          </w:p>
        </w:tc>
        <w:tc>
          <w:tcPr>
            <w:tcW w:w="3527" w:type="dxa"/>
            <w:tcBorders>
              <w:top w:val="nil"/>
              <w:left w:val="nil"/>
              <w:bottom w:val="single" w:color="auto" w:sz="4" w:space="0"/>
              <w:right w:val="single" w:color="auto" w:sz="4" w:space="0"/>
            </w:tcBorders>
            <w:noWrap w:val="0"/>
            <w:vAlign w:val="center"/>
          </w:tcPr>
          <w:p>
            <w:pPr>
              <w:widowControl/>
              <w:jc w:val="left"/>
              <w:rPr>
                <w:rFonts w:hint="eastAsia" w:cs="Arial"/>
                <w:color w:val="000000"/>
                <w:kern w:val="0"/>
                <w:sz w:val="22"/>
                <w:szCs w:val="22"/>
              </w:rPr>
            </w:pPr>
            <w:r>
              <w:rPr>
                <w:rFonts w:hint="eastAsia" w:cs="Arial"/>
                <w:color w:val="000000"/>
                <w:sz w:val="22"/>
                <w:szCs w:val="22"/>
              </w:rPr>
              <w:t>纪检监察事务</w:t>
            </w:r>
          </w:p>
        </w:tc>
        <w:tc>
          <w:tcPr>
            <w:tcW w:w="300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395.87</w:t>
            </w:r>
          </w:p>
        </w:tc>
        <w:tc>
          <w:tcPr>
            <w:tcW w:w="3492"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284.45</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111.42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cs="Arial"/>
                <w:color w:val="000000"/>
                <w:kern w:val="0"/>
                <w:sz w:val="22"/>
                <w:szCs w:val="22"/>
              </w:rPr>
            </w:pPr>
            <w:r>
              <w:rPr>
                <w:rFonts w:hint="eastAsia" w:cs="Arial"/>
                <w:color w:val="000000"/>
                <w:sz w:val="22"/>
                <w:szCs w:val="22"/>
              </w:rPr>
              <w:t>2011199</w:t>
            </w:r>
          </w:p>
        </w:tc>
        <w:tc>
          <w:tcPr>
            <w:tcW w:w="3527" w:type="dxa"/>
            <w:tcBorders>
              <w:top w:val="nil"/>
              <w:left w:val="nil"/>
              <w:bottom w:val="single" w:color="auto" w:sz="4" w:space="0"/>
              <w:right w:val="single" w:color="auto" w:sz="4" w:space="0"/>
            </w:tcBorders>
            <w:noWrap w:val="0"/>
            <w:vAlign w:val="center"/>
          </w:tcPr>
          <w:p>
            <w:pPr>
              <w:widowControl/>
              <w:jc w:val="left"/>
              <w:rPr>
                <w:rFonts w:hint="eastAsia" w:cs="Arial"/>
                <w:color w:val="000000"/>
                <w:kern w:val="0"/>
                <w:sz w:val="22"/>
                <w:szCs w:val="22"/>
              </w:rPr>
            </w:pPr>
            <w:r>
              <w:rPr>
                <w:rFonts w:hint="eastAsia" w:cs="Arial"/>
                <w:color w:val="000000"/>
                <w:sz w:val="22"/>
                <w:szCs w:val="22"/>
              </w:rPr>
              <w:t>其他纪检监察事务支出</w:t>
            </w:r>
          </w:p>
        </w:tc>
        <w:tc>
          <w:tcPr>
            <w:tcW w:w="300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395.87</w:t>
            </w:r>
          </w:p>
        </w:tc>
        <w:tc>
          <w:tcPr>
            <w:tcW w:w="3492"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284.45</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111.42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p>
        </w:tc>
        <w:tc>
          <w:tcPr>
            <w:tcW w:w="3492"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noWrap w:val="0"/>
            <w:vAlign w:val="center"/>
          </w:tcPr>
          <w:p>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pPr>
        <w:widowControl/>
        <w:jc w:val="left"/>
        <w:rPr>
          <w:rFonts w:eastAsia="仿宋_GB2312"/>
          <w:bCs/>
          <w:kern w:val="0"/>
          <w:szCs w:val="21"/>
        </w:rPr>
      </w:pPr>
    </w:p>
    <w:p>
      <w:pPr>
        <w:widowControl/>
        <w:jc w:val="left"/>
        <w:rPr>
          <w:rFonts w:eastAsia="仿宋_GB2312"/>
          <w:bCs/>
          <w:kern w:val="0"/>
          <w:szCs w:val="21"/>
        </w:rPr>
      </w:pPr>
      <w:r>
        <w:rPr>
          <w:rFonts w:eastAsia="仿宋_GB2312"/>
          <w:bCs/>
          <w:kern w:val="0"/>
          <w:szCs w:val="21"/>
        </w:rPr>
        <w:br w:type="page"/>
      </w:r>
    </w:p>
    <w:p>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pPr>
        <w:widowControl/>
        <w:jc w:val="left"/>
        <w:rPr>
          <w:rFonts w:eastAsia="仿宋_GB2312"/>
          <w:color w:val="000000"/>
          <w:kern w:val="0"/>
          <w:szCs w:val="21"/>
        </w:rPr>
      </w:pPr>
      <w:r>
        <w:rPr>
          <w:rFonts w:hint="eastAsia" w:eastAsia="仿宋_GB2312"/>
          <w:color w:val="000000"/>
          <w:kern w:val="0"/>
          <w:szCs w:val="21"/>
        </w:rPr>
        <w:t>部门：</w:t>
      </w:r>
      <w:r>
        <w:rPr>
          <w:rFonts w:eastAsia="仿宋_GB2312"/>
          <w:color w:val="000000"/>
          <w:kern w:val="0"/>
          <w:szCs w:val="21"/>
        </w:rPr>
        <w:t xml:space="preserve">  </w:t>
      </w:r>
      <w:r>
        <w:rPr>
          <w:rFonts w:hint="eastAsia" w:ascii="宋体" w:hAnsi="宋体" w:cs="宋体"/>
          <w:color w:val="000000"/>
          <w:sz w:val="20"/>
          <w:szCs w:val="20"/>
        </w:rPr>
        <w:t>中共蓝山县委巡察工作领导小组办公室</w:t>
      </w:r>
      <w:r>
        <w:rPr>
          <w:rFonts w:eastAsia="仿宋_GB2312"/>
          <w:color w:val="000000"/>
          <w:kern w:val="0"/>
          <w:szCs w:val="21"/>
        </w:rPr>
        <w:t xml:space="preserve">                                                                                                </w:t>
      </w:r>
      <w:r>
        <w:rPr>
          <w:rFonts w:hint="eastAsia" w:eastAsia="仿宋_GB2312"/>
          <w:color w:val="000000"/>
          <w:kern w:val="0"/>
          <w:szCs w:val="21"/>
        </w:rPr>
        <w:t xml:space="preserve">  公开</w:t>
      </w:r>
      <w:r>
        <w:rPr>
          <w:rFonts w:eastAsia="仿宋_GB2312"/>
          <w:color w:val="000000"/>
          <w:kern w:val="0"/>
          <w:szCs w:val="21"/>
        </w:rPr>
        <w:t>06</w:t>
      </w:r>
      <w:r>
        <w:rPr>
          <w:rFonts w:hint="eastAsia" w:eastAsia="仿宋_GB2312"/>
          <w:color w:val="000000"/>
          <w:kern w:val="0"/>
          <w:szCs w:val="21"/>
        </w:rPr>
        <w:t>表</w:t>
      </w:r>
    </w:p>
    <w:p>
      <w:pPr>
        <w:widowControl/>
        <w:jc w:val="right"/>
        <w:rPr>
          <w:rFonts w:eastAsia="仿宋_GB2312"/>
          <w:color w:val="000000"/>
          <w:kern w:val="0"/>
          <w:szCs w:val="21"/>
        </w:rPr>
      </w:pPr>
      <w:r>
        <w:rPr>
          <w:rFonts w:hint="eastAsia" w:eastAsia="仿宋_GB2312"/>
          <w:color w:val="000000"/>
          <w:kern w:val="0"/>
          <w:szCs w:val="21"/>
        </w:rPr>
        <w:t xml:space="preserve">    单位：万元</w:t>
      </w:r>
    </w:p>
    <w:tbl>
      <w:tblPr>
        <w:tblStyle w:val="12"/>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wBefore w:w="0" w:type="auto"/>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决算数</w:t>
            </w:r>
          </w:p>
        </w:tc>
        <w:tc>
          <w:tcPr>
            <w:tcW w:w="1110"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决算数</w:t>
            </w:r>
          </w:p>
        </w:tc>
        <w:tc>
          <w:tcPr>
            <w:tcW w:w="107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4394"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决算数</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w:t>
            </w:r>
          </w:p>
        </w:tc>
        <w:tc>
          <w:tcPr>
            <w:tcW w:w="330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noWrap/>
            <w:vAlign w:val="top"/>
          </w:tcPr>
          <w:p>
            <w:pPr>
              <w:widowControl/>
            </w:pPr>
            <w:r>
              <w:rPr>
                <w:rFonts w:hint="eastAsia"/>
              </w:rPr>
              <w:t>228.05</w:t>
            </w:r>
          </w:p>
          <w:p>
            <w:pPr>
              <w:pStyle w:val="2"/>
            </w:pPr>
            <w:r>
              <w:rPr>
                <w:rFonts w:hint="eastAsia" w:ascii="仿宋_GB2312" w:hAnsi="宋体" w:eastAsia="仿宋_GB2312" w:cs="宋体"/>
                <w:color w:val="000000"/>
                <w:kern w:val="0"/>
                <w:sz w:val="18"/>
                <w:szCs w:val="18"/>
              </w:rPr>
              <w:t>04</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55.96</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307</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30101</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基本工资</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84.63</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9.64</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30701</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国内债务付息</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30102</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津贴补贴</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58.05</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印刷费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30702</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国外债务付息</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30103</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奖金</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0.45</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咨询费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30106</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伙食补助费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4.53</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手续费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31001</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房屋建筑物购建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30107</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绩效工资</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水费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0.39</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31002</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办公设备购置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30108</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机关事业单位基本养老保险费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15.81</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电费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1.16</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31003</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专用设备购置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30109</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职业年金缴费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邮电费</w:t>
            </w:r>
          </w:p>
        </w:tc>
        <w:tc>
          <w:tcPr>
            <w:tcW w:w="856" w:type="dxa"/>
            <w:tcBorders>
              <w:top w:val="nil"/>
              <w:left w:val="nil"/>
              <w:bottom w:val="single" w:color="auto" w:sz="8" w:space="0"/>
              <w:right w:val="single" w:color="auto" w:sz="8" w:space="0"/>
            </w:tcBorders>
            <w:noWrap/>
            <w:vAlign w:val="top"/>
          </w:tcPr>
          <w:p>
            <w:pPr>
              <w:widowControl/>
              <w:tabs>
                <w:tab w:val="left" w:pos="221"/>
              </w:tabs>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b/>
            </w:r>
            <w:r>
              <w:rPr>
                <w:rFonts w:hint="eastAsia" w:ascii="仿宋_GB2312" w:hAnsi="宋体" w:eastAsia="仿宋_GB2312" w:cs="宋体"/>
                <w:color w:val="000000"/>
                <w:kern w:val="0"/>
                <w:sz w:val="18"/>
                <w:szCs w:val="18"/>
              </w:rPr>
              <w:t>0.05</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31005</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基础设施建设</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30110</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职工基本医疗保险缴费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8.21</w:t>
            </w:r>
          </w:p>
          <w:p>
            <w:pPr>
              <w:pStyle w:val="2"/>
            </w:pP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取暖费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31006</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大型修缮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30111</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公务员医疗补助缴费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物业管理费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31007</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信息网络及软件购置更新</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30112</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其他社会保障缴费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7.76</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差旅费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31008</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物资储备</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30113</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住房公积金</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因公出国（境）费用</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31009</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土地补偿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30114</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维修（护）费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31010</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安置补助</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30199</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其他工资福利支出</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48.61</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租赁费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31011</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地上附着物和青苗补偿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w:t>
            </w:r>
          </w:p>
        </w:tc>
        <w:tc>
          <w:tcPr>
            <w:tcW w:w="330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0.44</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会议费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0.2</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31012</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拆迁补偿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30301</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离休费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培训费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31013</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公务用车购置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30302</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退休费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公务接待费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2.81</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31019</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其他交通工具购置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30303</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退职（役）费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专用材料费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31021</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文物和陈列品购置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30304</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抚恤金</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被装购置费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31022</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无形资产购置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30305</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生活补助</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专用燃料费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31099</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其他资本性支出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30306</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救济费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0.44</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劳务费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0.15</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30307</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医疗费补助</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委托业务费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39906</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赠与</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30308</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助学金</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工会经费</w:t>
            </w:r>
          </w:p>
        </w:tc>
        <w:tc>
          <w:tcPr>
            <w:tcW w:w="856"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15.4</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39907</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国家赔偿费用支出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奖励金</w:t>
            </w:r>
          </w:p>
        </w:tc>
        <w:tc>
          <w:tcPr>
            <w:tcW w:w="85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noWrap/>
            <w:vAlign w:val="top"/>
          </w:tcPr>
          <w:p>
            <w:pPr>
              <w:widowControl/>
              <w:jc w:val="center"/>
              <w:rPr>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39908</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个人农业生产补贴</w:t>
            </w:r>
          </w:p>
        </w:tc>
        <w:tc>
          <w:tcPr>
            <w:tcW w:w="85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noWrap/>
            <w:vAlign w:val="top"/>
          </w:tcPr>
          <w:p>
            <w:pPr>
              <w:widowControl/>
              <w:jc w:val="center"/>
              <w:rPr>
                <w:color w:val="000000"/>
                <w:kern w:val="0"/>
                <w:sz w:val="18"/>
                <w:szCs w:val="18"/>
              </w:rPr>
            </w:pPr>
            <w:r>
              <w:rPr>
                <w:rFonts w:hint="eastAsia"/>
                <w:color w:val="000000"/>
                <w:kern w:val="0"/>
                <w:sz w:val="18"/>
                <w:szCs w:val="18"/>
              </w:rPr>
              <w:t>5.07</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39999</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1110"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noWrap/>
            <w:vAlign w:val="top"/>
          </w:tcPr>
          <w:p>
            <w:pPr>
              <w:widowControl/>
              <w:jc w:val="center"/>
              <w:rPr>
                <w:color w:val="000000"/>
                <w:kern w:val="0"/>
                <w:sz w:val="18"/>
                <w:szCs w:val="18"/>
              </w:rPr>
            </w:pPr>
            <w:r>
              <w:rPr>
                <w:rFonts w:hint="eastAsia"/>
                <w:color w:val="000000"/>
                <w:kern w:val="0"/>
                <w:sz w:val="18"/>
                <w:szCs w:val="18"/>
              </w:rPr>
              <w:t>15.88</w:t>
            </w:r>
          </w:p>
        </w:tc>
        <w:tc>
          <w:tcPr>
            <w:tcW w:w="1076" w:type="dxa"/>
            <w:tcBorders>
              <w:top w:val="single" w:color="auto" w:sz="8" w:space="0"/>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4394"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noWrap/>
            <w:vAlign w:val="top"/>
          </w:tcPr>
          <w:p>
            <w:pPr>
              <w:widowControl/>
              <w:jc w:val="center"/>
              <w:rPr>
                <w:color w:val="000000"/>
                <w:kern w:val="0"/>
                <w:sz w:val="18"/>
                <w:szCs w:val="18"/>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noWrap/>
            <w:vAlign w:val="top"/>
          </w:tcPr>
          <w:p>
            <w:pPr>
              <w:widowControl/>
              <w:jc w:val="center"/>
              <w:rPr>
                <w:rFonts w:eastAsia="黑体"/>
                <w:color w:val="000000"/>
                <w:kern w:val="0"/>
                <w:sz w:val="18"/>
                <w:szCs w:val="18"/>
              </w:rPr>
            </w:pPr>
            <w:r>
              <w:rPr>
                <w:rFonts w:hint="eastAsia"/>
                <w:color w:val="000000"/>
                <w:kern w:val="0"/>
                <w:sz w:val="18"/>
                <w:szCs w:val="18"/>
              </w:rPr>
              <w:t>3.71</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wBefore w:w="0" w:type="auto"/>
          <w:trHeight w:val="255" w:hRule="exact"/>
        </w:trPr>
        <w:tc>
          <w:tcPr>
            <w:tcW w:w="4455" w:type="dxa"/>
            <w:gridSpan w:val="2"/>
            <w:tcBorders>
              <w:top w:val="nil"/>
              <w:left w:val="single" w:color="auto" w:sz="8" w:space="0"/>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noWrap/>
            <w:vAlign w:val="center"/>
          </w:tcPr>
          <w:p>
            <w:pPr>
              <w:widowControl/>
              <w:rPr>
                <w:color w:val="000000"/>
                <w:kern w:val="0"/>
                <w:sz w:val="18"/>
                <w:szCs w:val="18"/>
              </w:rPr>
            </w:pPr>
            <w:r>
              <w:rPr>
                <w:rFonts w:hint="eastAsia"/>
                <w:color w:val="000000"/>
                <w:kern w:val="0"/>
                <w:sz w:val="18"/>
                <w:szCs w:val="18"/>
              </w:rPr>
              <w:t>228.49</w:t>
            </w:r>
          </w:p>
        </w:tc>
        <w:tc>
          <w:tcPr>
            <w:tcW w:w="9733" w:type="dxa"/>
            <w:gridSpan w:val="5"/>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55.96</w:t>
            </w:r>
          </w:p>
        </w:tc>
      </w:tr>
    </w:tbl>
    <w:p>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r>
        <w:rPr>
          <w:rFonts w:hint="eastAsia" w:ascii="楷体_GB2312" w:hAnsi="黑体" w:eastAsia="楷体_GB2312"/>
          <w:szCs w:val="21"/>
        </w:rPr>
        <w:br w:type="page"/>
      </w:r>
    </w:p>
    <w:tbl>
      <w:tblPr>
        <w:tblStyle w:val="12"/>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50"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74"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62"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12" w:type="dxa"/>
            <w:tcBorders>
              <w:top w:val="nil"/>
              <w:left w:val="nil"/>
              <w:bottom w:val="nil"/>
              <w:right w:val="nil"/>
            </w:tcBorders>
            <w:noWrap w:val="0"/>
            <w:vAlign w:val="center"/>
          </w:tcPr>
          <w:p>
            <w:pPr>
              <w:widowControl/>
              <w:jc w:val="right"/>
              <w:rPr>
                <w:rFonts w:hint="eastAsia" w:ascii="宋体" w:hAnsi="宋体" w:cs="宋体"/>
                <w:kern w:val="0"/>
                <w:sz w:val="20"/>
                <w:szCs w:val="20"/>
              </w:rPr>
            </w:pPr>
          </w:p>
        </w:tc>
        <w:tc>
          <w:tcPr>
            <w:tcW w:w="5298"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pPr>
              <w:widowControl/>
              <w:rPr>
                <w:rFonts w:hint="eastAsia" w:ascii="宋体" w:hAnsi="宋体" w:cs="宋体"/>
                <w:kern w:val="0"/>
                <w:sz w:val="20"/>
                <w:szCs w:val="20"/>
              </w:rPr>
            </w:pPr>
            <w:r>
              <w:rPr>
                <w:rFonts w:hint="eastAsia" w:ascii="宋体" w:hAnsi="宋体" w:cs="宋体"/>
                <w:color w:val="000000"/>
                <w:sz w:val="20"/>
                <w:szCs w:val="20"/>
              </w:rPr>
              <w:t>中共蓝山县委巡察工作领导小组办公室</w:t>
            </w:r>
          </w:p>
        </w:tc>
        <w:tc>
          <w:tcPr>
            <w:tcW w:w="1362"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12"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98"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pPr>
        <w:widowControl/>
        <w:jc w:val="left"/>
        <w:rPr>
          <w:rFonts w:eastAsia="仿宋_GB2312"/>
          <w:color w:val="000000"/>
          <w:kern w:val="0"/>
          <w:szCs w:val="21"/>
        </w:rPr>
      </w:pPr>
      <w:r>
        <w:rPr>
          <w:rFonts w:eastAsia="仿宋_GB2312"/>
          <w:color w:val="000000"/>
          <w:kern w:val="0"/>
          <w:szCs w:val="21"/>
        </w:rPr>
        <w:t xml:space="preserve">                                                                                                                             </w:t>
      </w:r>
    </w:p>
    <w:tbl>
      <w:tblPr>
        <w:tblStyle w:val="12"/>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wBefore w:w="0" w:type="auto"/>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pPr>
              <w:widowControl/>
              <w:jc w:val="center"/>
              <w:rPr>
                <w:rFonts w:eastAsia="仿宋_GB2312"/>
                <w:b/>
                <w:bCs/>
                <w:kern w:val="0"/>
                <w:szCs w:val="21"/>
              </w:rPr>
            </w:pPr>
            <w:r>
              <w:rPr>
                <w:rFonts w:hint="eastAsia" w:eastAsia="仿宋_GB2312"/>
                <w:b/>
                <w:bCs/>
                <w:kern w:val="0"/>
                <w:szCs w:val="21"/>
              </w:rPr>
              <w:t>决算数</w:t>
            </w:r>
          </w:p>
        </w:tc>
      </w:tr>
      <w:tr>
        <w:tblPrEx>
          <w:tblCellMar>
            <w:top w:w="0" w:type="dxa"/>
            <w:left w:w="108" w:type="dxa"/>
            <w:bottom w:w="0" w:type="dxa"/>
            <w:right w:w="108" w:type="dxa"/>
          </w:tblCellMar>
        </w:tblPrEx>
        <w:trPr>
          <w:wBefore w:w="0" w:type="auto"/>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r>
      <w:tr>
        <w:tblPrEx>
          <w:tblCellMar>
            <w:top w:w="0" w:type="dxa"/>
            <w:left w:w="108" w:type="dxa"/>
            <w:bottom w:w="0" w:type="dxa"/>
            <w:right w:w="108" w:type="dxa"/>
          </w:tblCellMar>
        </w:tblPrEx>
        <w:trPr>
          <w:wBefore w:w="0" w:type="auto"/>
          <w:trHeight w:val="397" w:hRule="atLeast"/>
          <w:jc w:val="center"/>
        </w:trPr>
        <w:tc>
          <w:tcPr>
            <w:tcW w:w="0" w:type="auto"/>
            <w:vMerge w:val="continue"/>
            <w:tcBorders>
              <w:top w:val="nil"/>
              <w:left w:val="single" w:color="auto" w:sz="8"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wBefore w:w="0" w:type="auto"/>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12</w:t>
            </w:r>
          </w:p>
        </w:tc>
      </w:tr>
      <w:tr>
        <w:tblPrEx>
          <w:tblCellMar>
            <w:top w:w="0" w:type="dxa"/>
            <w:left w:w="108" w:type="dxa"/>
            <w:bottom w:w="0" w:type="dxa"/>
            <w:right w:w="108" w:type="dxa"/>
          </w:tblCellMar>
        </w:tblPrEx>
        <w:trPr>
          <w:wBefore w:w="0" w:type="auto"/>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12</w:t>
            </w:r>
          </w:p>
        </w:tc>
        <w:tc>
          <w:tcPr>
            <w:tcW w:w="1220" w:type="dxa"/>
            <w:tcBorders>
              <w:top w:val="nil"/>
              <w:left w:val="nil"/>
              <w:bottom w:val="single" w:color="auto" w:sz="8" w:space="0"/>
              <w:right w:val="single" w:color="auto" w:sz="4" w:space="0"/>
            </w:tcBorders>
            <w:noWrap w:val="0"/>
            <w:vAlign w:val="center"/>
          </w:tcPr>
          <w:p>
            <w:pPr>
              <w:widowControl/>
              <w:jc w:val="center"/>
              <w:rPr>
                <w:rFonts w:eastAsia="仿宋_GB2312"/>
                <w:kern w:val="0"/>
                <w:szCs w:val="21"/>
              </w:rPr>
            </w:pPr>
          </w:p>
        </w:tc>
        <w:tc>
          <w:tcPr>
            <w:tcW w:w="1220" w:type="dxa"/>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6</w:t>
            </w:r>
          </w:p>
        </w:tc>
        <w:tc>
          <w:tcPr>
            <w:tcW w:w="1220" w:type="dxa"/>
            <w:tcBorders>
              <w:top w:val="nil"/>
              <w:left w:val="nil"/>
              <w:bottom w:val="single" w:color="auto" w:sz="8" w:space="0"/>
              <w:right w:val="single" w:color="auto" w:sz="4" w:space="0"/>
            </w:tcBorders>
            <w:noWrap w:val="0"/>
            <w:vAlign w:val="center"/>
          </w:tcPr>
          <w:p>
            <w:pPr>
              <w:widowControl/>
              <w:jc w:val="center"/>
              <w:rPr>
                <w:rFonts w:eastAsia="仿宋_GB2312"/>
                <w:kern w:val="0"/>
                <w:szCs w:val="21"/>
              </w:rPr>
            </w:pPr>
          </w:p>
        </w:tc>
        <w:tc>
          <w:tcPr>
            <w:tcW w:w="1220" w:type="dxa"/>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6</w:t>
            </w:r>
          </w:p>
        </w:tc>
        <w:tc>
          <w:tcPr>
            <w:tcW w:w="1220" w:type="dxa"/>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6</w:t>
            </w:r>
          </w:p>
        </w:tc>
        <w:tc>
          <w:tcPr>
            <w:tcW w:w="1220" w:type="dxa"/>
            <w:tcBorders>
              <w:top w:val="nil"/>
              <w:left w:val="nil"/>
              <w:bottom w:val="single" w:color="auto" w:sz="8"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7.88</w:t>
            </w:r>
          </w:p>
        </w:tc>
        <w:tc>
          <w:tcPr>
            <w:tcW w:w="1220" w:type="dxa"/>
            <w:tcBorders>
              <w:top w:val="nil"/>
              <w:left w:val="nil"/>
              <w:bottom w:val="single" w:color="auto" w:sz="8" w:space="0"/>
              <w:right w:val="single" w:color="auto" w:sz="4" w:space="0"/>
            </w:tcBorders>
            <w:noWrap w:val="0"/>
            <w:vAlign w:val="center"/>
          </w:tcPr>
          <w:p>
            <w:pPr>
              <w:widowControl/>
              <w:jc w:val="center"/>
              <w:rPr>
                <w:rFonts w:eastAsia="仿宋_GB2312"/>
                <w:kern w:val="0"/>
                <w:szCs w:val="21"/>
              </w:rPr>
            </w:pPr>
          </w:p>
        </w:tc>
        <w:tc>
          <w:tcPr>
            <w:tcW w:w="1220" w:type="dxa"/>
            <w:tcBorders>
              <w:top w:val="nil"/>
              <w:left w:val="nil"/>
              <w:bottom w:val="single" w:color="auto" w:sz="8"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5.07</w:t>
            </w:r>
          </w:p>
        </w:tc>
        <w:tc>
          <w:tcPr>
            <w:tcW w:w="1220" w:type="dxa"/>
            <w:tcBorders>
              <w:top w:val="nil"/>
              <w:left w:val="nil"/>
              <w:bottom w:val="single" w:color="auto" w:sz="8" w:space="0"/>
              <w:right w:val="single" w:color="auto" w:sz="4" w:space="0"/>
            </w:tcBorders>
            <w:noWrap w:val="0"/>
            <w:vAlign w:val="center"/>
          </w:tcPr>
          <w:p>
            <w:pPr>
              <w:widowControl/>
              <w:jc w:val="center"/>
              <w:rPr>
                <w:rFonts w:eastAsia="仿宋_GB2312"/>
                <w:kern w:val="0"/>
                <w:szCs w:val="21"/>
              </w:rPr>
            </w:pPr>
          </w:p>
        </w:tc>
        <w:tc>
          <w:tcPr>
            <w:tcW w:w="1220" w:type="dxa"/>
            <w:tcBorders>
              <w:top w:val="nil"/>
              <w:left w:val="nil"/>
              <w:bottom w:val="single" w:color="auto" w:sz="8" w:space="0"/>
              <w:right w:val="nil"/>
            </w:tcBorders>
            <w:noWrap w:val="0"/>
            <w:vAlign w:val="center"/>
          </w:tcPr>
          <w:p>
            <w:pPr>
              <w:widowControl/>
              <w:jc w:val="center"/>
              <w:rPr>
                <w:rFonts w:eastAsia="仿宋_GB2312"/>
                <w:kern w:val="0"/>
                <w:szCs w:val="21"/>
              </w:rPr>
            </w:pPr>
            <w:r>
              <w:rPr>
                <w:rFonts w:hint="eastAsia" w:eastAsia="仿宋_GB2312"/>
                <w:kern w:val="0"/>
                <w:szCs w:val="21"/>
              </w:rPr>
              <w:t>5.07</w:t>
            </w:r>
          </w:p>
        </w:tc>
        <w:tc>
          <w:tcPr>
            <w:tcW w:w="1220" w:type="dxa"/>
            <w:tcBorders>
              <w:top w:val="nil"/>
              <w:left w:val="single" w:color="auto" w:sz="4"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2.81</w:t>
            </w:r>
          </w:p>
        </w:tc>
      </w:tr>
    </w:tbl>
    <w:p>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eastAsia" w:ascii="宋体" w:cs="宋体"/>
          <w:kern w:val="0"/>
          <w:sz w:val="24"/>
        </w:rPr>
      </w:pPr>
      <w:r>
        <w:rPr>
          <w:rFonts w:hint="eastAsia" w:ascii="宋体" w:cs="宋体"/>
          <w:kern w:val="0"/>
          <w:sz w:val="24"/>
        </w:rPr>
        <w:br w:type="page"/>
      </w:r>
    </w:p>
    <w:p>
      <w:pPr>
        <w:autoSpaceDE w:val="0"/>
        <w:autoSpaceDN w:val="0"/>
        <w:adjustRightInd w:val="0"/>
        <w:ind w:left="315" w:leftChars="150"/>
        <w:jc w:val="left"/>
        <w:rPr>
          <w:rFonts w:hint="eastAsia" w:ascii="宋体" w:cs="宋体"/>
          <w:kern w:val="0"/>
          <w:sz w:val="24"/>
        </w:rPr>
      </w:pPr>
    </w:p>
    <w:tbl>
      <w:tblPr>
        <w:tblStyle w:val="12"/>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16"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65"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59"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04"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81" w:type="dxa"/>
            <w:tcBorders>
              <w:top w:val="nil"/>
              <w:left w:val="nil"/>
              <w:bottom w:val="nil"/>
              <w:right w:val="nil"/>
            </w:tcBorders>
            <w:noWrap/>
            <w:vAlign w:val="center"/>
          </w:tcPr>
          <w:p>
            <w:pPr>
              <w:widowControl/>
              <w:wordWrap w:val="0"/>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pPr>
              <w:widowControl/>
              <w:rPr>
                <w:rFonts w:hint="eastAsia" w:ascii="宋体" w:hAnsi="宋体" w:cs="宋体"/>
                <w:kern w:val="0"/>
                <w:sz w:val="20"/>
                <w:szCs w:val="20"/>
              </w:rPr>
            </w:pPr>
            <w:r>
              <w:rPr>
                <w:rFonts w:hint="eastAsia" w:ascii="宋体" w:hAnsi="宋体" w:cs="宋体"/>
                <w:color w:val="000000"/>
                <w:sz w:val="20"/>
                <w:szCs w:val="20"/>
              </w:rPr>
              <w:t>中共蓝山县委巡察工作领导小组办公室</w:t>
            </w:r>
          </w:p>
        </w:tc>
        <w:tc>
          <w:tcPr>
            <w:tcW w:w="1359"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04"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81"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pPr>
        <w:widowControl/>
        <w:wordWrap w:val="0"/>
        <w:jc w:val="right"/>
        <w:rPr>
          <w:rFonts w:eastAsia="仿宋_GB2312"/>
          <w:color w:val="000000"/>
          <w:kern w:val="0"/>
          <w:szCs w:val="21"/>
        </w:rPr>
      </w:pPr>
      <w:r>
        <w:rPr>
          <w:rFonts w:eastAsia="仿宋_GB2312"/>
          <w:color w:val="000000"/>
          <w:kern w:val="0"/>
          <w:szCs w:val="21"/>
        </w:rPr>
        <w:t xml:space="preserve">                                                                                                                </w:t>
      </w:r>
    </w:p>
    <w:tbl>
      <w:tblPr>
        <w:tblStyle w:val="12"/>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bl>
    <w:p>
      <w:pPr>
        <w:widowControl/>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pPr>
        <w:widowControl/>
        <w:jc w:val="left"/>
        <w:rPr>
          <w:rFonts w:eastAsia="仿宋_GB2312"/>
          <w:kern w:val="0"/>
          <w:szCs w:val="21"/>
        </w:rPr>
      </w:pPr>
      <w:r>
        <w:rPr>
          <w:rFonts w:eastAsia="仿宋_GB2312"/>
          <w:kern w:val="0"/>
          <w:szCs w:val="21"/>
        </w:rPr>
        <w:t>(</w:t>
      </w:r>
      <w:r>
        <w:rPr>
          <w:rFonts w:hint="eastAsia" w:eastAsia="仿宋_GB2312"/>
          <w:kern w:val="0"/>
          <w:szCs w:val="21"/>
        </w:rPr>
        <w:t>中共蓝山县委巡察工作领导小组办公室没有政府性基金收入，也没有使用政府性基金安排的支出，故本表无数据</w:t>
      </w:r>
      <w:r>
        <w:rPr>
          <w:rFonts w:eastAsia="仿宋_GB2312"/>
          <w:kern w:val="0"/>
          <w:szCs w:val="21"/>
        </w:rPr>
        <w:t>)</w:t>
      </w:r>
      <w:r>
        <w:rPr>
          <w:rFonts w:hint="eastAsia" w:eastAsia="仿宋_GB2312"/>
          <w:kern w:val="0"/>
          <w:szCs w:val="21"/>
        </w:rPr>
        <w:t>。</w:t>
      </w:r>
    </w:p>
    <w:p>
      <w:pPr>
        <w:widowControl/>
        <w:jc w:val="left"/>
        <w:rPr>
          <w:rFonts w:ascii="黑体" w:hAnsi="黑体" w:eastAsia="黑体"/>
          <w:szCs w:val="21"/>
        </w:rPr>
      </w:pPr>
      <w:r>
        <w:rPr>
          <w:rFonts w:hint="eastAsia" w:ascii="黑体" w:hAnsi="黑体" w:eastAsia="黑体"/>
          <w:kern w:val="0"/>
          <w:szCs w:val="21"/>
        </w:rPr>
        <w:br w:type="page"/>
      </w:r>
    </w:p>
    <w:p>
      <w:pPr>
        <w:widowControl/>
        <w:jc w:val="left"/>
        <w:rPr>
          <w:rFonts w:ascii="黑体" w:hAnsi="黑体" w:eastAsia="黑体"/>
          <w:szCs w:val="21"/>
        </w:rPr>
      </w:pPr>
    </w:p>
    <w:tbl>
      <w:tblPr>
        <w:tblStyle w:val="12"/>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72"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187" w:type="dxa"/>
            <w:gridSpan w:val="2"/>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215"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596" w:type="dxa"/>
            <w:gridSpan w:val="2"/>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6272" w:type="dxa"/>
            <w:gridSpan w:val="2"/>
            <w:tcBorders>
              <w:top w:val="nil"/>
              <w:left w:val="nil"/>
              <w:bottom w:val="nil"/>
              <w:right w:val="nil"/>
            </w:tcBorders>
            <w:noWrap/>
            <w:vAlign w:val="center"/>
          </w:tcPr>
          <w:p>
            <w:pPr>
              <w:widowControl/>
              <w:ind w:right="210"/>
              <w:jc w:val="right"/>
              <w:rPr>
                <w:rFonts w:hint="eastAsia" w:eastAsia="仿宋_GB2312"/>
                <w:kern w:val="0"/>
                <w:szCs w:val="21"/>
              </w:rPr>
            </w:pPr>
            <w:r>
              <w:rPr>
                <w:rFonts w:hint="eastAsia" w:eastAsia="仿宋_GB2312"/>
                <w:kern w:val="0"/>
                <w:szCs w:val="21"/>
              </w:rPr>
              <w:t>公开09表</w:t>
            </w:r>
          </w:p>
        </w:tc>
      </w:tr>
      <w:tr>
        <w:tblPrEx>
          <w:tblCellMar>
            <w:top w:w="0" w:type="dxa"/>
            <w:left w:w="108" w:type="dxa"/>
            <w:bottom w:w="0" w:type="dxa"/>
            <w:right w:w="108" w:type="dxa"/>
          </w:tblCellMar>
        </w:tblPrEx>
        <w:trPr>
          <w:trHeight w:val="285" w:hRule="atLeast"/>
        </w:trPr>
        <w:tc>
          <w:tcPr>
            <w:tcW w:w="5574" w:type="dxa"/>
            <w:gridSpan w:val="5"/>
            <w:tcBorders>
              <w:top w:val="nil"/>
              <w:left w:val="nil"/>
              <w:bottom w:val="nil"/>
              <w:right w:val="nil"/>
            </w:tcBorders>
            <w:noWrap/>
            <w:vAlign w:val="center"/>
          </w:tcPr>
          <w:p>
            <w:pPr>
              <w:widowControl/>
              <w:jc w:val="left"/>
              <w:rPr>
                <w:rFonts w:hint="eastAsia" w:ascii="宋体" w:hAnsi="宋体" w:cs="宋体"/>
                <w:kern w:val="0"/>
                <w:sz w:val="20"/>
                <w:szCs w:val="20"/>
              </w:rPr>
            </w:pPr>
            <w:r>
              <w:rPr>
                <w:rFonts w:hint="eastAsia" w:eastAsia="仿宋_GB2312"/>
                <w:kern w:val="0"/>
                <w:szCs w:val="21"/>
              </w:rPr>
              <w:t>部门：</w:t>
            </w:r>
            <w:r>
              <w:rPr>
                <w:rFonts w:hint="eastAsia" w:ascii="宋体" w:hAnsi="宋体" w:cs="宋体"/>
                <w:color w:val="000000"/>
                <w:sz w:val="20"/>
                <w:szCs w:val="20"/>
              </w:rPr>
              <w:t>中共蓝山县委巡察工作领导小组办公室</w:t>
            </w:r>
          </w:p>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596" w:type="dxa"/>
            <w:gridSpan w:val="2"/>
            <w:tcBorders>
              <w:top w:val="nil"/>
              <w:left w:val="nil"/>
              <w:bottom w:val="single" w:color="auto" w:sz="8" w:space="0"/>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6272" w:type="dxa"/>
            <w:gridSpan w:val="2"/>
            <w:tcBorders>
              <w:top w:val="nil"/>
              <w:left w:val="nil"/>
              <w:bottom w:val="nil"/>
              <w:right w:val="nil"/>
            </w:tcBorders>
            <w:noWrap/>
            <w:vAlign w:val="center"/>
          </w:tcPr>
          <w:p>
            <w:pPr>
              <w:widowControl/>
              <w:jc w:val="right"/>
              <w:rPr>
                <w:rFonts w:hint="eastAsia" w:eastAsia="仿宋_GB2312"/>
                <w:kern w:val="0"/>
                <w:szCs w:val="21"/>
              </w:rPr>
            </w:pPr>
            <w:r>
              <w:rPr>
                <w:rFonts w:hint="eastAsia" w:eastAsia="仿宋_GB2312"/>
                <w:kern w:val="0"/>
                <w:szCs w:val="21"/>
              </w:rPr>
              <w:t xml:space="preserve"> </w:t>
            </w:r>
            <w:r>
              <w:rPr>
                <w:rFonts w:eastAsia="仿宋_GB2312"/>
                <w:kern w:val="0"/>
                <w:szCs w:val="21"/>
              </w:rPr>
              <w:t xml:space="preserve">  </w:t>
            </w:r>
            <w:r>
              <w:rPr>
                <w:rFonts w:hint="eastAsia" w:eastAsia="仿宋_GB2312"/>
                <w:kern w:val="0"/>
                <w:szCs w:val="21"/>
              </w:rPr>
              <w:t>单位：万元</w:t>
            </w:r>
          </w:p>
        </w:tc>
      </w:tr>
      <w:tr>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pPr>
              <w:widowControl/>
              <w:jc w:val="center"/>
              <w:rPr>
                <w:rFonts w:hint="eastAsia" w:eastAsia="仿宋_GB2312"/>
                <w:b/>
                <w:bCs/>
                <w:kern w:val="0"/>
                <w:szCs w:val="21"/>
              </w:rPr>
            </w:pPr>
            <w:r>
              <w:rPr>
                <w:rFonts w:hint="eastAsia" w:eastAsia="仿宋_GB2312"/>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0"/>
            <w:vAlign w:val="center"/>
          </w:tcPr>
          <w:p>
            <w:pPr>
              <w:widowControl/>
              <w:jc w:val="center"/>
              <w:rPr>
                <w:rFonts w:hint="eastAsia" w:eastAsia="仿宋_GB2312"/>
                <w:b/>
                <w:bCs/>
                <w:kern w:val="0"/>
                <w:szCs w:val="21"/>
              </w:rPr>
            </w:pPr>
            <w:r>
              <w:rPr>
                <w:rFonts w:hint="eastAsia" w:eastAsia="仿宋_GB2312"/>
                <w:b/>
                <w:bCs/>
                <w:kern w:val="0"/>
                <w:szCs w:val="21"/>
              </w:rPr>
              <w:t>本年支出</w:t>
            </w:r>
          </w:p>
        </w:tc>
      </w:tr>
      <w:tr>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eastAsia="仿宋_GB2312"/>
                <w:b/>
                <w:bCs/>
                <w:kern w:val="0"/>
                <w:szCs w:val="21"/>
              </w:rPr>
            </w:pPr>
            <w:r>
              <w:rPr>
                <w:rFonts w:hint="eastAsia" w:eastAsia="仿宋_GB2312"/>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b/>
                <w:bCs/>
                <w:kern w:val="0"/>
                <w:szCs w:val="21"/>
              </w:rPr>
            </w:pPr>
            <w:r>
              <w:rPr>
                <w:rFonts w:hint="eastAsia" w:eastAsia="仿宋_GB2312"/>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eastAsia="仿宋_GB2312"/>
                <w:b/>
                <w:bCs/>
                <w:kern w:val="0"/>
                <w:szCs w:val="21"/>
              </w:rPr>
            </w:pPr>
            <w:r>
              <w:rPr>
                <w:rFonts w:hint="eastAsia" w:eastAsia="仿宋_GB2312"/>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eastAsia="仿宋_GB2312"/>
                <w:b/>
                <w:bCs/>
                <w:kern w:val="0"/>
                <w:szCs w:val="21"/>
              </w:rPr>
            </w:pPr>
            <w:r>
              <w:rPr>
                <w:rFonts w:hint="eastAsia" w:eastAsia="仿宋_GB2312"/>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eastAsia="仿宋_GB2312"/>
                <w:b/>
                <w:bCs/>
                <w:kern w:val="0"/>
                <w:szCs w:val="21"/>
              </w:rPr>
            </w:pPr>
            <w:r>
              <w:rPr>
                <w:rFonts w:hint="eastAsia" w:eastAsia="仿宋_GB2312"/>
                <w:b/>
                <w:bCs/>
                <w:kern w:val="0"/>
                <w:szCs w:val="21"/>
              </w:rPr>
              <w:t>项目支出</w:t>
            </w: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hint="eastAsia" w:eastAsia="仿宋_GB2312"/>
                <w:kern w:val="0"/>
                <w:szCs w:val="21"/>
              </w:rPr>
            </w:pPr>
            <w:r>
              <w:rPr>
                <w:rFonts w:hint="eastAsia" w:eastAsia="仿宋_GB2312"/>
                <w:kern w:val="0"/>
                <w:szCs w:val="21"/>
              </w:rPr>
              <w:t>栏次</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1</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2</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3</w:t>
            </w:r>
          </w:p>
        </w:tc>
      </w:tr>
      <w:tr>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pPr>
              <w:widowControl/>
              <w:jc w:val="center"/>
              <w:rPr>
                <w:rFonts w:hint="eastAsia" w:eastAsia="仿宋_GB2312"/>
                <w:kern w:val="0"/>
                <w:szCs w:val="21"/>
              </w:rPr>
            </w:pPr>
            <w:r>
              <w:rPr>
                <w:rFonts w:hint="eastAsia" w:eastAsia="仿宋_GB2312"/>
                <w:kern w:val="0"/>
                <w:szCs w:val="21"/>
              </w:rPr>
              <w:t>合计</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187" w:type="dxa"/>
            <w:gridSpan w:val="2"/>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2883" w:type="dxa"/>
            <w:gridSpan w:val="2"/>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pPr>
              <w:widowControl/>
              <w:jc w:val="left"/>
              <w:rPr>
                <w:rFonts w:hint="eastAsia" w:ascii="宋体" w:hAnsi="宋体" w:cs="宋体"/>
                <w:kern w:val="0"/>
                <w:sz w:val="20"/>
                <w:szCs w:val="20"/>
              </w:rPr>
            </w:pPr>
            <w:r>
              <w:rPr>
                <w:rFonts w:hint="eastAsia" w:eastAsia="仿宋_GB2312"/>
                <w:kern w:val="0"/>
                <w:szCs w:val="21"/>
              </w:rPr>
              <w:t>注：本表反映部门本年度国有资本经营预算财政拨款支出情况。</w:t>
            </w:r>
          </w:p>
        </w:tc>
      </w:tr>
    </w:tbl>
    <w:p>
      <w:pPr>
        <w:widowControl/>
        <w:jc w:val="left"/>
        <w:rPr>
          <w:rFonts w:ascii="黑体" w:eastAsia="黑体" w:cs="黑体"/>
          <w:color w:val="000000"/>
          <w:kern w:val="0"/>
          <w:sz w:val="72"/>
          <w:szCs w:val="72"/>
        </w:rPr>
        <w:sectPr>
          <w:pgSz w:w="16838" w:h="11906" w:orient="landscape"/>
          <w:pgMar w:top="720" w:right="720" w:bottom="720" w:left="720" w:header="851" w:footer="992" w:gutter="0"/>
          <w:cols w:space="720" w:num="1"/>
          <w:docGrid w:type="lines" w:linePitch="312" w:charSpace="0"/>
        </w:sectPr>
      </w:pPr>
    </w:p>
    <w:p>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第三部分 2021年度部门决算情况说明</w:t>
      </w:r>
    </w:p>
    <w:p>
      <w:pPr>
        <w:widowControl/>
        <w:jc w:val="left"/>
        <w:rPr>
          <w:rFonts w:hint="eastAsia" w:ascii="黑体" w:eastAsia="黑体" w:cs="黑体"/>
          <w:color w:val="000000"/>
          <w:kern w:val="0"/>
          <w:sz w:val="70"/>
          <w:szCs w:val="70"/>
        </w:rPr>
      </w:pPr>
    </w:p>
    <w:p>
      <w:pPr>
        <w:pStyle w:val="24"/>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pPr>
        <w:pStyle w:val="24"/>
        <w:spacing w:line="600" w:lineRule="exact"/>
        <w:ind w:firstLine="643"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2021</w:t>
      </w:r>
      <w:r>
        <w:rPr>
          <w:rFonts w:hint="eastAsia" w:ascii="Times New Roman" w:hAnsi="Times New Roman" w:eastAsia="仿宋_GB2312" w:cs="Times New Roman"/>
          <w:bCs/>
          <w:color w:val="auto"/>
          <w:sz w:val="32"/>
          <w:szCs w:val="32"/>
        </w:rPr>
        <w:t>年度</w:t>
      </w:r>
      <w:r>
        <w:rPr>
          <w:rFonts w:ascii="Times New Roman" w:hAnsi="Times New Roman" w:eastAsia="仿宋_GB2312" w:cs="Times New Roman"/>
          <w:color w:val="auto"/>
          <w:sz w:val="32"/>
          <w:szCs w:val="32"/>
        </w:rPr>
        <w:t>收、</w:t>
      </w:r>
      <w:r>
        <w:rPr>
          <w:rFonts w:ascii="Times New Roman" w:eastAsia="仿宋_GB2312" w:cs="Times New Roman"/>
          <w:color w:val="auto"/>
          <w:sz w:val="32"/>
          <w:szCs w:val="32"/>
        </w:rPr>
        <w:t>支总计</w:t>
      </w:r>
      <w:r>
        <w:rPr>
          <w:rFonts w:hint="eastAsia" w:ascii="Times New Roman" w:eastAsia="仿宋_GB2312" w:cs="Times New Roman"/>
          <w:color w:val="auto"/>
          <w:sz w:val="32"/>
          <w:szCs w:val="32"/>
        </w:rPr>
        <w:t>395.87</w:t>
      </w:r>
      <w:r>
        <w:rPr>
          <w:rFonts w:ascii="Times New Roman" w:eastAsia="仿宋_GB2312" w:cs="Times New Roman"/>
          <w:color w:val="auto"/>
          <w:sz w:val="32"/>
          <w:szCs w:val="32"/>
        </w:rPr>
        <w:t>万元。与20</w:t>
      </w:r>
      <w:r>
        <w:rPr>
          <w:rFonts w:hint="eastAsia" w:ascii="Times New Roman" w:eastAsia="仿宋_GB2312" w:cs="Times New Roman"/>
          <w:color w:val="auto"/>
          <w:sz w:val="32"/>
          <w:szCs w:val="32"/>
        </w:rPr>
        <w:t>20</w:t>
      </w:r>
      <w:r>
        <w:rPr>
          <w:rFonts w:ascii="Times New Roman" w:eastAsia="仿宋_GB2312" w:cs="Times New Roman"/>
          <w:color w:val="auto"/>
          <w:sz w:val="32"/>
          <w:szCs w:val="32"/>
        </w:rPr>
        <w:t>年相比，增加</w:t>
      </w:r>
      <w:r>
        <w:rPr>
          <w:rFonts w:hint="eastAsia" w:ascii="Times New Roman" w:eastAsia="仿宋_GB2312" w:cs="Times New Roman"/>
          <w:color w:val="auto"/>
          <w:sz w:val="32"/>
          <w:szCs w:val="32"/>
        </w:rPr>
        <w:t>70.52</w:t>
      </w:r>
      <w:r>
        <w:rPr>
          <w:rFonts w:ascii="Times New Roman" w:eastAsia="仿宋_GB2312" w:cs="Times New Roman"/>
          <w:color w:val="auto"/>
          <w:sz w:val="32"/>
          <w:szCs w:val="32"/>
        </w:rPr>
        <w:t>万元，增长</w:t>
      </w:r>
      <w:r>
        <w:rPr>
          <w:rFonts w:hint="eastAsia" w:ascii="Times New Roman" w:eastAsia="仿宋_GB2312" w:cs="Times New Roman"/>
          <w:color w:val="auto"/>
          <w:sz w:val="32"/>
          <w:szCs w:val="32"/>
        </w:rPr>
        <w:t>17</w:t>
      </w:r>
      <w:r>
        <w:rPr>
          <w:rFonts w:ascii="Times New Roman" w:eastAsia="仿宋_GB2312" w:cs="Times New Roman"/>
          <w:color w:val="auto"/>
          <w:sz w:val="32"/>
          <w:szCs w:val="32"/>
        </w:rPr>
        <w:t>%，主要是因为</w:t>
      </w:r>
      <w:r>
        <w:rPr>
          <w:rFonts w:hint="eastAsia" w:ascii="Times New Roman" w:eastAsia="仿宋_GB2312" w:cs="Times New Roman"/>
          <w:color w:val="auto"/>
          <w:sz w:val="32"/>
          <w:szCs w:val="32"/>
        </w:rPr>
        <w:t>工资福利增加、增加粮食巡察导</w:t>
      </w:r>
      <w:r>
        <w:rPr>
          <w:rFonts w:hint="eastAsia" w:ascii="Calibri" w:eastAsia="仿宋_GB2312" w:cs="Calibri"/>
          <w:color w:val="auto"/>
          <w:sz w:val="32"/>
          <w:szCs w:val="32"/>
        </w:rPr>
        <w:t>致差旅费增加</w:t>
      </w:r>
      <w:r>
        <w:rPr>
          <w:rFonts w:hint="eastAsia" w:ascii="Times New Roman" w:hAnsi="Times New Roman" w:eastAsia="仿宋_GB2312" w:cs="Times New Roman"/>
          <w:color w:val="auto"/>
          <w:sz w:val="32"/>
          <w:szCs w:val="32"/>
        </w:rPr>
        <w:t>。</w:t>
      </w:r>
    </w:p>
    <w:p>
      <w:pPr>
        <w:pStyle w:val="24"/>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二、收入决算情况说明</w:t>
      </w:r>
    </w:p>
    <w:p>
      <w:pPr>
        <w:pStyle w:val="24"/>
        <w:spacing w:line="600" w:lineRule="exact"/>
        <w:ind w:firstLine="640" w:firstLineChars="200"/>
        <w:rPr>
          <w:rFonts w:ascii="Times New Roman" w:eastAsia="仿宋_GB2312" w:cs="Times New Roman"/>
          <w:color w:val="auto"/>
          <w:sz w:val="32"/>
          <w:szCs w:val="32"/>
        </w:rPr>
      </w:pPr>
      <w:r>
        <w:rPr>
          <w:rFonts w:ascii="Times New Roman" w:eastAsia="仿宋_GB2312" w:cs="Times New Roman"/>
          <w:color w:val="auto"/>
          <w:sz w:val="32"/>
          <w:szCs w:val="32"/>
        </w:rPr>
        <w:t>本年收入合计</w:t>
      </w:r>
      <w:r>
        <w:rPr>
          <w:rFonts w:hint="eastAsia" w:ascii="Times New Roman" w:eastAsia="仿宋_GB2312" w:cs="Times New Roman"/>
          <w:color w:val="auto"/>
          <w:sz w:val="32"/>
          <w:szCs w:val="32"/>
        </w:rPr>
        <w:t>395.87</w:t>
      </w:r>
      <w:r>
        <w:rPr>
          <w:rFonts w:ascii="Times New Roman" w:eastAsia="仿宋_GB2312" w:cs="Times New Roman"/>
          <w:color w:val="auto"/>
          <w:sz w:val="32"/>
          <w:szCs w:val="32"/>
        </w:rPr>
        <w:t>万元，其中：财政拨款收入</w:t>
      </w:r>
      <w:r>
        <w:rPr>
          <w:rFonts w:hint="eastAsia" w:ascii="Times New Roman" w:eastAsia="仿宋_GB2312" w:cs="Times New Roman"/>
          <w:color w:val="auto"/>
          <w:sz w:val="32"/>
          <w:szCs w:val="32"/>
        </w:rPr>
        <w:t>395.87</w:t>
      </w:r>
      <w:r>
        <w:rPr>
          <w:rFonts w:ascii="Times New Roman" w:eastAsia="仿宋_GB2312" w:cs="Times New Roman"/>
          <w:color w:val="auto"/>
          <w:sz w:val="32"/>
          <w:szCs w:val="32"/>
        </w:rPr>
        <w:t>万元，占</w:t>
      </w:r>
      <w:r>
        <w:rPr>
          <w:rFonts w:hint="eastAsia" w:ascii="Times New Roman" w:eastAsia="仿宋_GB2312" w:cs="Times New Roman"/>
          <w:color w:val="auto"/>
          <w:sz w:val="32"/>
          <w:szCs w:val="32"/>
        </w:rPr>
        <w:t>100</w:t>
      </w:r>
      <w:r>
        <w:rPr>
          <w:rFonts w:ascii="Times New Roman" w:eastAsia="仿宋_GB2312" w:cs="Times New Roman"/>
          <w:color w:val="auto"/>
          <w:sz w:val="32"/>
          <w:szCs w:val="32"/>
        </w:rPr>
        <w:t>%。</w:t>
      </w:r>
    </w:p>
    <w:p>
      <w:pPr>
        <w:pStyle w:val="24"/>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三、支出决算情况说明</w:t>
      </w:r>
    </w:p>
    <w:p>
      <w:pPr>
        <w:pStyle w:val="24"/>
        <w:spacing w:line="600" w:lineRule="exact"/>
        <w:ind w:firstLine="640" w:firstLineChars="200"/>
        <w:rPr>
          <w:rFonts w:hint="eastAsia" w:ascii="Times New Roman" w:eastAsia="仿宋_GB2312" w:cs="Times New Roman"/>
          <w:color w:val="auto"/>
          <w:sz w:val="32"/>
          <w:szCs w:val="32"/>
        </w:rPr>
      </w:pPr>
      <w:r>
        <w:rPr>
          <w:rFonts w:ascii="Times New Roman" w:eastAsia="仿宋_GB2312" w:cs="Times New Roman"/>
          <w:color w:val="auto"/>
          <w:sz w:val="32"/>
          <w:szCs w:val="32"/>
        </w:rPr>
        <w:t>本年支出合计</w:t>
      </w:r>
      <w:r>
        <w:rPr>
          <w:rFonts w:hint="eastAsia" w:ascii="Times New Roman" w:eastAsia="仿宋_GB2312" w:cs="Times New Roman"/>
          <w:color w:val="auto"/>
          <w:sz w:val="32"/>
          <w:szCs w:val="32"/>
        </w:rPr>
        <w:t>395.87</w:t>
      </w:r>
      <w:r>
        <w:rPr>
          <w:rFonts w:ascii="Times New Roman" w:eastAsia="仿宋_GB2312" w:cs="Times New Roman"/>
          <w:color w:val="auto"/>
          <w:sz w:val="32"/>
          <w:szCs w:val="32"/>
        </w:rPr>
        <w:t>万元，其中：基本支出</w:t>
      </w:r>
      <w:r>
        <w:rPr>
          <w:rFonts w:hint="eastAsia" w:ascii="Times New Roman" w:eastAsia="仿宋_GB2312" w:cs="Times New Roman"/>
          <w:color w:val="auto"/>
          <w:sz w:val="32"/>
          <w:szCs w:val="32"/>
        </w:rPr>
        <w:t>284.45</w:t>
      </w:r>
      <w:r>
        <w:rPr>
          <w:rFonts w:ascii="Times New Roman" w:eastAsia="仿宋_GB2312" w:cs="Times New Roman"/>
          <w:color w:val="auto"/>
          <w:sz w:val="32"/>
          <w:szCs w:val="32"/>
        </w:rPr>
        <w:t>万元，占</w:t>
      </w:r>
      <w:r>
        <w:rPr>
          <w:rFonts w:hint="eastAsia" w:ascii="Times New Roman" w:eastAsia="仿宋_GB2312" w:cs="Times New Roman"/>
          <w:color w:val="auto"/>
          <w:sz w:val="32"/>
          <w:szCs w:val="32"/>
        </w:rPr>
        <w:t>72%；项目</w:t>
      </w:r>
      <w:r>
        <w:rPr>
          <w:rFonts w:ascii="Times New Roman" w:eastAsia="仿宋_GB2312" w:cs="Times New Roman"/>
          <w:color w:val="auto"/>
          <w:sz w:val="32"/>
          <w:szCs w:val="32"/>
        </w:rPr>
        <w:t>支出</w:t>
      </w:r>
      <w:r>
        <w:rPr>
          <w:rFonts w:hint="eastAsia" w:ascii="Times New Roman" w:eastAsia="仿宋_GB2312" w:cs="Times New Roman"/>
          <w:color w:val="auto"/>
          <w:sz w:val="32"/>
          <w:szCs w:val="32"/>
        </w:rPr>
        <w:t>111.42</w:t>
      </w:r>
      <w:r>
        <w:rPr>
          <w:rFonts w:ascii="Times New Roman" w:eastAsia="仿宋_GB2312" w:cs="Times New Roman"/>
          <w:color w:val="auto"/>
          <w:sz w:val="32"/>
          <w:szCs w:val="32"/>
        </w:rPr>
        <w:t>万元，占</w:t>
      </w:r>
      <w:r>
        <w:rPr>
          <w:rFonts w:hint="eastAsia" w:ascii="Times New Roman" w:eastAsia="仿宋_GB2312" w:cs="Times New Roman"/>
          <w:color w:val="auto"/>
          <w:sz w:val="32"/>
          <w:szCs w:val="32"/>
        </w:rPr>
        <w:t>28%。</w:t>
      </w:r>
    </w:p>
    <w:p>
      <w:pPr>
        <w:pStyle w:val="24"/>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四、财政拨款收入支出决算总体情况说明</w:t>
      </w:r>
    </w:p>
    <w:p>
      <w:pPr>
        <w:pStyle w:val="24"/>
        <w:spacing w:line="600" w:lineRule="exact"/>
        <w:ind w:firstLine="640" w:firstLineChars="200"/>
        <w:rPr>
          <w:rFonts w:ascii="Times New Roman" w:eastAsia="仿宋_GB2312" w:cs="Times New Roman"/>
          <w:color w:val="auto"/>
          <w:sz w:val="32"/>
          <w:szCs w:val="32"/>
        </w:rPr>
      </w:pPr>
      <w:r>
        <w:rPr>
          <w:rFonts w:hint="eastAsia" w:ascii="Times New Roman" w:eastAsia="仿宋_GB2312" w:cs="Times New Roman"/>
          <w:color w:val="auto"/>
          <w:sz w:val="32"/>
          <w:szCs w:val="32"/>
        </w:rPr>
        <w:t>2021</w:t>
      </w:r>
      <w:r>
        <w:rPr>
          <w:rFonts w:ascii="Times New Roman" w:eastAsia="仿宋_GB2312" w:cs="Times New Roman"/>
          <w:color w:val="auto"/>
          <w:sz w:val="32"/>
          <w:szCs w:val="32"/>
        </w:rPr>
        <w:t>年度财政拨款收、支总计</w:t>
      </w:r>
      <w:r>
        <w:rPr>
          <w:rFonts w:hint="eastAsia" w:ascii="Times New Roman" w:eastAsia="仿宋_GB2312" w:cs="Times New Roman"/>
          <w:color w:val="auto"/>
          <w:sz w:val="32"/>
          <w:szCs w:val="32"/>
        </w:rPr>
        <w:t>395.87</w:t>
      </w:r>
      <w:r>
        <w:rPr>
          <w:rFonts w:ascii="Times New Roman" w:eastAsia="仿宋_GB2312" w:cs="Times New Roman"/>
          <w:color w:val="auto"/>
          <w:sz w:val="32"/>
          <w:szCs w:val="32"/>
        </w:rPr>
        <w:t>万元，与</w:t>
      </w:r>
      <w:r>
        <w:rPr>
          <w:rFonts w:hint="eastAsia" w:ascii="Times New Roman" w:eastAsia="仿宋_GB2312" w:cs="Times New Roman"/>
          <w:color w:val="auto"/>
          <w:sz w:val="32"/>
          <w:szCs w:val="32"/>
        </w:rPr>
        <w:t>2020</w:t>
      </w:r>
      <w:r>
        <w:rPr>
          <w:rFonts w:ascii="Times New Roman" w:eastAsia="仿宋_GB2312" w:cs="Times New Roman"/>
          <w:color w:val="auto"/>
          <w:sz w:val="32"/>
          <w:szCs w:val="32"/>
        </w:rPr>
        <w:t>年相比，增加</w:t>
      </w:r>
      <w:r>
        <w:rPr>
          <w:rFonts w:hint="eastAsia" w:ascii="Times New Roman" w:eastAsia="仿宋_GB2312" w:cs="Times New Roman"/>
          <w:color w:val="auto"/>
          <w:sz w:val="32"/>
          <w:szCs w:val="32"/>
        </w:rPr>
        <w:t>70.52</w:t>
      </w:r>
      <w:r>
        <w:rPr>
          <w:rFonts w:ascii="Times New Roman" w:eastAsia="仿宋_GB2312" w:cs="Times New Roman"/>
          <w:color w:val="auto"/>
          <w:sz w:val="32"/>
          <w:szCs w:val="32"/>
        </w:rPr>
        <w:t>万元,增长</w:t>
      </w:r>
      <w:r>
        <w:rPr>
          <w:rFonts w:hint="eastAsia" w:ascii="Times New Roman" w:eastAsia="仿宋_GB2312" w:cs="Times New Roman"/>
          <w:color w:val="auto"/>
          <w:sz w:val="32"/>
          <w:szCs w:val="32"/>
        </w:rPr>
        <w:t>17</w:t>
      </w:r>
      <w:r>
        <w:rPr>
          <w:rFonts w:ascii="Times New Roman" w:eastAsia="仿宋_GB2312" w:cs="Times New Roman"/>
          <w:color w:val="auto"/>
          <w:sz w:val="32"/>
          <w:szCs w:val="32"/>
        </w:rPr>
        <w:t>%，主要是因为</w:t>
      </w:r>
      <w:r>
        <w:rPr>
          <w:rFonts w:hint="eastAsia" w:ascii="Times New Roman" w:eastAsia="仿宋_GB2312" w:cs="Times New Roman"/>
          <w:color w:val="auto"/>
          <w:sz w:val="32"/>
          <w:szCs w:val="32"/>
        </w:rPr>
        <w:t>工资福利增加、增加粮食巡察导致差旅费增加。</w:t>
      </w:r>
    </w:p>
    <w:p>
      <w:pPr>
        <w:pStyle w:val="24"/>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五、一般公共预算财政拨款支出决算情况说明</w:t>
      </w:r>
    </w:p>
    <w:p>
      <w:pPr>
        <w:pStyle w:val="24"/>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pPr>
        <w:pStyle w:val="24"/>
        <w:spacing w:line="600" w:lineRule="exact"/>
        <w:ind w:firstLine="960" w:firstLineChars="3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rPr>
        <w:t>395.87</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%，与20</w:t>
      </w:r>
      <w:r>
        <w:rPr>
          <w:rFonts w:hint="eastAsia" w:ascii="Times New Roman" w:hAnsi="Times New Roman" w:eastAsia="仿宋_GB2312" w:cs="Times New Roman"/>
          <w:color w:val="auto"/>
          <w:sz w:val="32"/>
          <w:szCs w:val="32"/>
        </w:rPr>
        <w:t>20</w:t>
      </w:r>
      <w:r>
        <w:rPr>
          <w:rFonts w:ascii="Times New Roman" w:hAnsi="Times New Roman" w:eastAsia="仿宋_GB2312" w:cs="Times New Roman"/>
          <w:color w:val="auto"/>
          <w:sz w:val="32"/>
          <w:szCs w:val="32"/>
        </w:rPr>
        <w:t>年相比，财政</w:t>
      </w:r>
      <w:r>
        <w:rPr>
          <w:rFonts w:ascii="Times New Roman" w:eastAsia="仿宋_GB2312" w:cs="Times New Roman"/>
          <w:color w:val="auto"/>
          <w:sz w:val="32"/>
          <w:szCs w:val="32"/>
        </w:rPr>
        <w:t>拨款</w:t>
      </w:r>
      <w:r>
        <w:rPr>
          <w:rFonts w:ascii="Times New Roman" w:hAnsi="Times New Roman" w:eastAsia="仿宋_GB2312" w:cs="Times New Roman"/>
          <w:color w:val="auto"/>
          <w:sz w:val="32"/>
          <w:szCs w:val="32"/>
        </w:rPr>
        <w:t>支出增加</w:t>
      </w:r>
      <w:r>
        <w:rPr>
          <w:rFonts w:hint="eastAsia" w:ascii="Times New Roman" w:hAnsi="Times New Roman" w:eastAsia="仿宋_GB2312" w:cs="Times New Roman"/>
          <w:color w:val="auto"/>
          <w:sz w:val="32"/>
          <w:szCs w:val="32"/>
        </w:rPr>
        <w:t>70.52</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rPr>
        <w:t>17</w:t>
      </w:r>
      <w:r>
        <w:rPr>
          <w:rFonts w:ascii="Times New Roman" w:hAnsi="Times New Roman" w:eastAsia="仿宋_GB2312" w:cs="Times New Roman"/>
          <w:color w:val="auto"/>
          <w:sz w:val="32"/>
          <w:szCs w:val="32"/>
        </w:rPr>
        <w:t>%，主要是因为</w:t>
      </w:r>
      <w:r>
        <w:rPr>
          <w:rFonts w:hint="eastAsia" w:ascii="Calibri" w:eastAsia="仿宋_GB2312" w:cs="Calibri"/>
          <w:color w:val="auto"/>
          <w:sz w:val="32"/>
          <w:szCs w:val="32"/>
        </w:rPr>
        <w:t>工资福利增加、粮食领域巡察导致差旅费等巡察开支增加</w:t>
      </w:r>
      <w:r>
        <w:rPr>
          <w:rFonts w:hint="eastAsia" w:ascii="Times New Roman" w:hAnsi="Times New Roman" w:eastAsia="仿宋_GB2312" w:cs="Times New Roman"/>
          <w:color w:val="auto"/>
          <w:sz w:val="32"/>
          <w:szCs w:val="32"/>
        </w:rPr>
        <w:t>。</w:t>
      </w:r>
    </w:p>
    <w:p>
      <w:pPr>
        <w:pStyle w:val="24"/>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pPr>
        <w:pStyle w:val="24"/>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rPr>
        <w:t>395.87</w:t>
      </w:r>
      <w:r>
        <w:rPr>
          <w:rFonts w:ascii="Times New Roman" w:hAnsi="Times New Roman" w:eastAsia="仿宋_GB2312" w:cs="Times New Roman"/>
          <w:color w:val="auto"/>
          <w:sz w:val="32"/>
          <w:szCs w:val="32"/>
        </w:rPr>
        <w:t>万元，主要用于以下方面：一般公共服务（类）支出</w:t>
      </w:r>
      <w:r>
        <w:rPr>
          <w:rFonts w:hint="eastAsia" w:ascii="Times New Roman" w:hAnsi="Times New Roman" w:eastAsia="仿宋_GB2312" w:cs="Times New Roman"/>
          <w:color w:val="auto"/>
          <w:sz w:val="32"/>
          <w:szCs w:val="32"/>
        </w:rPr>
        <w:t>395.87</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pPr>
        <w:pStyle w:val="24"/>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pPr>
        <w:pStyle w:val="2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年度财政拨款支出年初预算数为</w:t>
      </w:r>
      <w:r>
        <w:rPr>
          <w:rFonts w:hint="eastAsia" w:ascii="Times New Roman" w:hAnsi="Times New Roman" w:eastAsia="仿宋_GB2312" w:cs="Times New Roman"/>
          <w:color w:val="auto"/>
          <w:sz w:val="32"/>
          <w:szCs w:val="32"/>
        </w:rPr>
        <w:t>312.35</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rPr>
        <w:t>395.87</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126.74</w:t>
      </w:r>
      <w:r>
        <w:rPr>
          <w:rFonts w:ascii="Times New Roman" w:hAnsi="Times New Roman" w:eastAsia="仿宋_GB2312" w:cs="Times New Roman"/>
          <w:color w:val="auto"/>
          <w:sz w:val="32"/>
          <w:szCs w:val="32"/>
        </w:rPr>
        <w:t>%，其中：</w:t>
      </w:r>
    </w:p>
    <w:p>
      <w:pPr>
        <w:pStyle w:val="24"/>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一般公共服务（类）纪检监察事务（款）其他纪检监察事务支出（项）。</w:t>
      </w:r>
    </w:p>
    <w:p>
      <w:pPr>
        <w:pStyle w:val="2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312.35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395.87</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126.74</w:t>
      </w:r>
      <w:r>
        <w:rPr>
          <w:rFonts w:ascii="Times New Roman" w:hAnsi="Times New Roman" w:eastAsia="仿宋_GB2312" w:cs="Times New Roman"/>
          <w:color w:val="auto"/>
          <w:sz w:val="32"/>
          <w:szCs w:val="32"/>
        </w:rPr>
        <w:t>%，决算数大于年初预算数的主要原因是：</w:t>
      </w:r>
      <w:r>
        <w:rPr>
          <w:rFonts w:hint="eastAsia" w:ascii="Calibri" w:eastAsia="仿宋_GB2312" w:cs="Calibri"/>
          <w:color w:val="auto"/>
          <w:sz w:val="32"/>
          <w:szCs w:val="32"/>
        </w:rPr>
        <w:t>工资福利增加、粮食领域巡察导致差旅费等巡察开支增加</w:t>
      </w:r>
      <w:r>
        <w:rPr>
          <w:rFonts w:hint="eastAsia" w:ascii="Times New Roman" w:hAnsi="Times New Roman" w:eastAsia="仿宋_GB2312" w:cs="Times New Roman"/>
          <w:color w:val="auto"/>
          <w:sz w:val="32"/>
          <w:szCs w:val="32"/>
        </w:rPr>
        <w:t>。</w:t>
      </w:r>
    </w:p>
    <w:p>
      <w:pPr>
        <w:pStyle w:val="24"/>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六、一般公共预算财政拨款基本支出决算情况说明</w:t>
      </w:r>
    </w:p>
    <w:p>
      <w:pPr>
        <w:pStyle w:val="2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年度财政拨款基本支出</w:t>
      </w:r>
      <w:r>
        <w:rPr>
          <w:rFonts w:hint="eastAsia" w:ascii="Times New Roman" w:hAnsi="Times New Roman" w:eastAsia="仿宋_GB2312" w:cs="Times New Roman"/>
          <w:color w:val="auto"/>
          <w:sz w:val="32"/>
          <w:szCs w:val="32"/>
        </w:rPr>
        <w:t>284.45</w:t>
      </w:r>
      <w:r>
        <w:rPr>
          <w:rFonts w:ascii="Times New Roman" w:hAnsi="Times New Roman" w:eastAsia="仿宋_GB2312" w:cs="Times New Roman"/>
          <w:color w:val="auto"/>
          <w:sz w:val="32"/>
          <w:szCs w:val="32"/>
        </w:rPr>
        <w:t>万元，其中：人员经费</w:t>
      </w:r>
    </w:p>
    <w:p>
      <w:pPr>
        <w:pStyle w:val="2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228.49</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rPr>
        <w:t>80</w:t>
      </w:r>
      <w:r>
        <w:rPr>
          <w:rFonts w:ascii="Times New Roman" w:hAnsi="Times New Roman" w:eastAsia="仿宋_GB2312" w:cs="Times New Roman"/>
          <w:color w:val="auto"/>
          <w:sz w:val="32"/>
          <w:szCs w:val="32"/>
        </w:rPr>
        <w:t>%,主要包括基本工资、津贴补贴、奖金、伙食补助费</w:t>
      </w:r>
      <w:r>
        <w:rPr>
          <w:rFonts w:hint="eastAsia" w:ascii="仿宋" w:hAnsi="仿宋" w:eastAsia="仿宋" w:cs="Times New Roman"/>
          <w:color w:val="auto"/>
          <w:sz w:val="32"/>
          <w:szCs w:val="32"/>
        </w:rPr>
        <w:t>、</w:t>
      </w:r>
      <w:r>
        <w:rPr>
          <w:rFonts w:hint="eastAsia" w:ascii="仿宋" w:hAnsi="仿宋" w:eastAsia="仿宋" w:cs="微软雅黑"/>
          <w:color w:val="auto"/>
          <w:sz w:val="32"/>
          <w:szCs w:val="32"/>
        </w:rPr>
        <w:t>社</w:t>
      </w:r>
      <w:r>
        <w:rPr>
          <w:rFonts w:hint="eastAsia" w:ascii="仿宋" w:hAnsi="仿宋" w:eastAsia="仿宋" w:cs="___WRD_EMBED_SUB_41"/>
          <w:color w:val="auto"/>
          <w:sz w:val="32"/>
          <w:szCs w:val="32"/>
        </w:rPr>
        <w:t>保</w:t>
      </w:r>
      <w:r>
        <w:rPr>
          <w:rFonts w:hint="eastAsia" w:ascii="仿宋" w:hAnsi="仿宋" w:eastAsia="仿宋" w:cs="Times New Roman"/>
          <w:color w:val="auto"/>
          <w:sz w:val="32"/>
          <w:szCs w:val="32"/>
        </w:rPr>
        <w:t>缴费</w:t>
      </w:r>
      <w:r>
        <w:rPr>
          <w:rFonts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rPr>
        <w:t>55.96</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rPr>
        <w:t>20</w:t>
      </w:r>
      <w:r>
        <w:rPr>
          <w:rFonts w:ascii="Times New Roman" w:hAnsi="Times New Roman" w:eastAsia="仿宋_GB2312" w:cs="Times New Roman"/>
          <w:color w:val="auto"/>
          <w:sz w:val="32"/>
          <w:szCs w:val="32"/>
        </w:rPr>
        <w:t>%，主要包括办公费</w:t>
      </w:r>
      <w:r>
        <w:rPr>
          <w:rFonts w:ascii="仿宋" w:hAnsi="仿宋" w:eastAsia="仿宋" w:cs="Times New Roman"/>
          <w:color w:val="auto"/>
          <w:sz w:val="32"/>
          <w:szCs w:val="32"/>
        </w:rPr>
        <w:t>、</w:t>
      </w:r>
      <w:r>
        <w:rPr>
          <w:rFonts w:hint="eastAsia" w:ascii="仿宋" w:hAnsi="仿宋" w:eastAsia="仿宋" w:cs="Times New Roman"/>
          <w:color w:val="auto"/>
          <w:sz w:val="32"/>
          <w:szCs w:val="32"/>
        </w:rPr>
        <w:t>差旅费、工会经费、其他交通</w:t>
      </w:r>
      <w:r>
        <w:rPr>
          <w:rFonts w:ascii="仿宋" w:hAnsi="仿宋" w:eastAsia="仿宋" w:cs="Times New Roman"/>
          <w:color w:val="auto"/>
          <w:sz w:val="32"/>
          <w:szCs w:val="32"/>
        </w:rPr>
        <w:t>费。</w:t>
      </w:r>
    </w:p>
    <w:p>
      <w:pPr>
        <w:pStyle w:val="24"/>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七、一般公共预算财政拨款三公经费支出决算情况说明</w:t>
      </w:r>
    </w:p>
    <w:p>
      <w:pPr>
        <w:pStyle w:val="24"/>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pPr>
        <w:pStyle w:val="2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rPr>
        <w:t>12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7.88</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65</w:t>
      </w:r>
      <w:r>
        <w:rPr>
          <w:rFonts w:ascii="Times New Roman" w:hAnsi="Times New Roman" w:eastAsia="仿宋_GB2312" w:cs="Times New Roman"/>
          <w:color w:val="auto"/>
          <w:sz w:val="32"/>
          <w:szCs w:val="32"/>
        </w:rPr>
        <w:t>%，其中：</w:t>
      </w:r>
    </w:p>
    <w:p>
      <w:pPr>
        <w:pStyle w:val="2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预算与决算相比持平，主要是严格执行预算；</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rPr>
        <w:t>持平</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主要是严格控制支出</w:t>
      </w:r>
      <w:r>
        <w:rPr>
          <w:rFonts w:ascii="Times New Roman" w:hAnsi="Times New Roman" w:eastAsia="仿宋_GB2312" w:cs="Times New Roman"/>
          <w:color w:val="auto"/>
          <w:sz w:val="32"/>
          <w:szCs w:val="32"/>
        </w:rPr>
        <w:t>。</w:t>
      </w:r>
    </w:p>
    <w:p>
      <w:pPr>
        <w:pStyle w:val="2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公务接待费支出预算</w:t>
      </w: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2.81</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47</w:t>
      </w:r>
      <w:r>
        <w:rPr>
          <w:rFonts w:ascii="Times New Roman" w:hAnsi="Times New Roman" w:eastAsia="仿宋_GB2312" w:cs="Times New Roman"/>
          <w:color w:val="auto"/>
          <w:sz w:val="32"/>
          <w:szCs w:val="32"/>
        </w:rPr>
        <w:t>%，决算数大于年初预算数的主要原因是</w:t>
      </w:r>
      <w:r>
        <w:rPr>
          <w:rFonts w:hint="eastAsia" w:ascii="仿宋" w:hAnsi="仿宋" w:eastAsia="仿宋" w:cs="微软雅黑"/>
          <w:color w:val="auto"/>
          <w:sz w:val="32"/>
          <w:szCs w:val="32"/>
        </w:rPr>
        <w:t>厉行节约</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rPr>
        <w:t>0.64</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rPr>
        <w:t>19</w:t>
      </w:r>
      <w:r>
        <w:rPr>
          <w:rFonts w:ascii="Times New Roman" w:hAnsi="Times New Roman" w:eastAsia="仿宋_GB2312" w:cs="Times New Roman"/>
          <w:color w:val="auto"/>
          <w:sz w:val="32"/>
          <w:szCs w:val="32"/>
        </w:rPr>
        <w:t>%,减少的主要原因是</w:t>
      </w:r>
      <w:r>
        <w:rPr>
          <w:rFonts w:hint="eastAsia" w:ascii="仿宋" w:hAnsi="仿宋" w:eastAsia="仿宋" w:cs="微软雅黑"/>
          <w:color w:val="auto"/>
          <w:sz w:val="32"/>
          <w:szCs w:val="32"/>
        </w:rPr>
        <w:t>厉行节约</w:t>
      </w:r>
      <w:r>
        <w:rPr>
          <w:rFonts w:ascii="Times New Roman" w:hAnsi="Times New Roman" w:eastAsia="仿宋_GB2312" w:cs="Times New Roman"/>
          <w:color w:val="auto"/>
          <w:sz w:val="32"/>
          <w:szCs w:val="32"/>
        </w:rPr>
        <w:t>。</w:t>
      </w:r>
    </w:p>
    <w:p>
      <w:pPr>
        <w:pStyle w:val="2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公务用车购置费及运行维护费支出预算为</w:t>
      </w: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5.07</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85</w:t>
      </w:r>
      <w:r>
        <w:rPr>
          <w:rFonts w:ascii="Times New Roman" w:hAnsi="Times New Roman" w:eastAsia="仿宋_GB2312" w:cs="Times New Roman"/>
          <w:color w:val="auto"/>
          <w:sz w:val="32"/>
          <w:szCs w:val="32"/>
        </w:rPr>
        <w:t>%，决算数小于年初预算数的主要原因是</w:t>
      </w:r>
      <w:r>
        <w:rPr>
          <w:rFonts w:hint="eastAsia" w:ascii="仿宋" w:hAnsi="仿宋" w:eastAsia="仿宋" w:cs="微软雅黑"/>
          <w:color w:val="auto"/>
          <w:sz w:val="32"/>
          <w:szCs w:val="32"/>
        </w:rPr>
        <w:t>厉行节约</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rPr>
        <w:t>0.5</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rPr>
        <w:t>9</w:t>
      </w:r>
      <w:r>
        <w:rPr>
          <w:rFonts w:ascii="Times New Roman" w:hAnsi="Times New Roman" w:eastAsia="仿宋_GB2312" w:cs="Times New Roman"/>
          <w:color w:val="auto"/>
          <w:sz w:val="32"/>
          <w:szCs w:val="32"/>
        </w:rPr>
        <w:t>%,减少的主要原因是</w:t>
      </w:r>
      <w:r>
        <w:rPr>
          <w:rFonts w:hint="eastAsia" w:ascii="仿宋" w:hAnsi="仿宋" w:eastAsia="仿宋" w:cs="微软雅黑"/>
          <w:color w:val="auto"/>
          <w:sz w:val="32"/>
          <w:szCs w:val="32"/>
        </w:rPr>
        <w:t>厉行节约</w:t>
      </w:r>
      <w:r>
        <w:rPr>
          <w:rFonts w:ascii="Times New Roman" w:hAnsi="Times New Roman" w:eastAsia="仿宋_GB2312" w:cs="Times New Roman"/>
          <w:color w:val="auto"/>
          <w:sz w:val="32"/>
          <w:szCs w:val="32"/>
        </w:rPr>
        <w:t>。</w:t>
      </w:r>
    </w:p>
    <w:p>
      <w:pPr>
        <w:pStyle w:val="24"/>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pPr>
        <w:pStyle w:val="2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rPr>
        <w:t>2.81</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36</w:t>
      </w:r>
      <w:r>
        <w:rPr>
          <w:rFonts w:ascii="Times New Roman" w:hAnsi="Times New Roman" w:eastAsia="仿宋_GB2312" w:cs="Times New Roman"/>
          <w:color w:val="auto"/>
          <w:sz w:val="32"/>
          <w:szCs w:val="32"/>
        </w:rPr>
        <w:t>%,因</w:t>
      </w:r>
      <w:r>
        <w:rPr>
          <w:rFonts w:ascii="Times New Roman" w:eastAsia="仿宋_GB2312" w:cs="Times New Roman"/>
          <w:color w:val="auto"/>
          <w:sz w:val="32"/>
          <w:szCs w:val="32"/>
        </w:rPr>
        <w:t>公出</w:t>
      </w:r>
      <w:r>
        <w:rPr>
          <w:rFonts w:ascii="Times New Roman" w:hAnsi="Times New Roman" w:eastAsia="仿宋_GB2312" w:cs="Times New Roman"/>
          <w:color w:val="auto"/>
          <w:sz w:val="32"/>
          <w:szCs w:val="32"/>
        </w:rPr>
        <w:t>国（境）费支出决算</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%,公务用车购置费及运行维护费支出决算</w:t>
      </w:r>
      <w:r>
        <w:rPr>
          <w:rFonts w:hint="eastAsia" w:ascii="Times New Roman" w:hAnsi="Times New Roman" w:eastAsia="仿宋_GB2312" w:cs="Times New Roman"/>
          <w:color w:val="auto"/>
          <w:sz w:val="32"/>
          <w:szCs w:val="32"/>
        </w:rPr>
        <w:t>5.07</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64</w:t>
      </w:r>
      <w:r>
        <w:rPr>
          <w:rFonts w:ascii="Times New Roman" w:hAnsi="Times New Roman" w:eastAsia="仿宋_GB2312" w:cs="Times New Roman"/>
          <w:color w:val="auto"/>
          <w:sz w:val="32"/>
          <w:szCs w:val="32"/>
        </w:rPr>
        <w:t>%。其中：</w:t>
      </w:r>
    </w:p>
    <w:p>
      <w:pPr>
        <w:pStyle w:val="24"/>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rPr>
        <w:t>。</w:t>
      </w:r>
    </w:p>
    <w:p>
      <w:pPr>
        <w:pStyle w:val="2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2、公务接待费支出决算为</w:t>
      </w:r>
      <w:r>
        <w:rPr>
          <w:rFonts w:hint="eastAsia" w:ascii="Times New Roman" w:hAnsi="Times New Roman" w:eastAsia="仿宋_GB2312" w:cs="Times New Roman"/>
          <w:color w:val="auto"/>
          <w:sz w:val="32"/>
          <w:szCs w:val="32"/>
        </w:rPr>
        <w:t>2.81</w:t>
      </w:r>
      <w:r>
        <w:rPr>
          <w:rFonts w:ascii="Times New Roman" w:hAnsi="Times New Roman" w:eastAsia="仿宋_GB2312" w:cs="Times New Roman"/>
          <w:color w:val="auto"/>
          <w:sz w:val="32"/>
          <w:szCs w:val="32"/>
        </w:rPr>
        <w:t>万元，全年共接待来访团组</w:t>
      </w:r>
      <w:r>
        <w:rPr>
          <w:rFonts w:hint="eastAsia" w:ascii="Times New Roman" w:hAnsi="Times New Roman" w:eastAsia="仿宋_GB2312" w:cs="Times New Roman"/>
          <w:color w:val="auto"/>
          <w:sz w:val="32"/>
          <w:szCs w:val="32"/>
        </w:rPr>
        <w:t>31</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rPr>
        <w:t>208</w:t>
      </w:r>
      <w:r>
        <w:rPr>
          <w:rFonts w:ascii="Times New Roman" w:hAnsi="Times New Roman" w:eastAsia="仿宋_GB2312" w:cs="Times New Roman"/>
          <w:color w:val="auto"/>
          <w:sz w:val="32"/>
          <w:szCs w:val="32"/>
        </w:rPr>
        <w:t>人次，主要是</w:t>
      </w:r>
      <w:r>
        <w:rPr>
          <w:rFonts w:hint="eastAsia" w:ascii="仿宋" w:hAnsi="仿宋" w:eastAsia="仿宋" w:cs="Calibri"/>
          <w:color w:val="auto"/>
          <w:sz w:val="32"/>
          <w:szCs w:val="32"/>
        </w:rPr>
        <w:t>开展</w:t>
      </w:r>
      <w:r>
        <w:rPr>
          <w:rFonts w:hint="eastAsia" w:ascii="仿宋" w:hAnsi="仿宋" w:eastAsia="仿宋" w:cs="微软雅黑"/>
          <w:color w:val="auto"/>
          <w:sz w:val="32"/>
          <w:szCs w:val="32"/>
        </w:rPr>
        <w:t>巡察工作</w:t>
      </w:r>
      <w:r>
        <w:rPr>
          <w:rFonts w:ascii="Times New Roman" w:hAnsi="Times New Roman" w:eastAsia="仿宋_GB2312" w:cs="Times New Roman"/>
          <w:color w:val="auto"/>
          <w:sz w:val="32"/>
          <w:szCs w:val="32"/>
        </w:rPr>
        <w:t>发生的接待支出。</w:t>
      </w:r>
    </w:p>
    <w:p>
      <w:pPr>
        <w:spacing w:line="600" w:lineRule="exact"/>
        <w:ind w:firstLine="640" w:firstLineChars="200"/>
        <w:rPr>
          <w:rFonts w:eastAsia="仿宋_GB2312"/>
          <w:kern w:val="0"/>
          <w:sz w:val="32"/>
          <w:szCs w:val="32"/>
        </w:rPr>
      </w:pPr>
      <w:r>
        <w:rPr>
          <w:rFonts w:eastAsia="仿宋_GB2312"/>
          <w:sz w:val="32"/>
          <w:szCs w:val="32"/>
        </w:rPr>
        <w:t>3、公务用车购置费及运行维护费支出决算为</w:t>
      </w:r>
      <w:r>
        <w:rPr>
          <w:rFonts w:hint="eastAsia" w:eastAsia="仿宋_GB2312"/>
          <w:sz w:val="32"/>
          <w:szCs w:val="32"/>
        </w:rPr>
        <w:t>5.07</w:t>
      </w:r>
      <w:r>
        <w:rPr>
          <w:rFonts w:eastAsia="仿宋_GB2312"/>
          <w:sz w:val="32"/>
          <w:szCs w:val="32"/>
        </w:rPr>
        <w:t>万元，其中：公务用车购置费</w:t>
      </w:r>
      <w:r>
        <w:rPr>
          <w:rFonts w:hint="eastAsia" w:eastAsia="仿宋_GB2312"/>
          <w:sz w:val="32"/>
          <w:szCs w:val="32"/>
        </w:rPr>
        <w:t>0</w:t>
      </w:r>
      <w:r>
        <w:rPr>
          <w:rFonts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更新公务用车0辆</w:t>
      </w:r>
      <w:r>
        <w:rPr>
          <w:rFonts w:eastAsia="仿宋_GB2312"/>
          <w:sz w:val="32"/>
          <w:szCs w:val="32"/>
        </w:rPr>
        <w:t>。公务用车运行维护费</w:t>
      </w:r>
      <w:r>
        <w:rPr>
          <w:rFonts w:hint="eastAsia" w:eastAsia="仿宋_GB2312"/>
          <w:sz w:val="32"/>
          <w:szCs w:val="32"/>
        </w:rPr>
        <w:t>5.07</w:t>
      </w:r>
      <w:r>
        <w:rPr>
          <w:rFonts w:eastAsia="仿宋_GB2312"/>
          <w:sz w:val="32"/>
          <w:szCs w:val="32"/>
        </w:rPr>
        <w:t>万元，主要是</w:t>
      </w:r>
      <w:r>
        <w:rPr>
          <w:rFonts w:hint="eastAsia" w:ascii="仿宋" w:hAnsi="仿宋" w:eastAsia="仿宋" w:cs="Calibri"/>
          <w:sz w:val="32"/>
          <w:szCs w:val="32"/>
        </w:rPr>
        <w:t>车辆加油、维修、过桥过路费等</w:t>
      </w:r>
      <w:r>
        <w:rPr>
          <w:rFonts w:eastAsia="仿宋_GB2312"/>
          <w:sz w:val="32"/>
          <w:szCs w:val="32"/>
        </w:rPr>
        <w:t>支出，截止</w:t>
      </w:r>
      <w:r>
        <w:rPr>
          <w:rFonts w:hint="eastAsia" w:eastAsia="仿宋_GB2312"/>
          <w:sz w:val="32"/>
          <w:szCs w:val="32"/>
        </w:rPr>
        <w:t>2021</w:t>
      </w:r>
      <w:r>
        <w:rPr>
          <w:rFonts w:eastAsia="仿宋_GB2312"/>
          <w:sz w:val="32"/>
          <w:szCs w:val="32"/>
        </w:rPr>
        <w:t>年12月31日，我单位开支财政拨款的公务用车保有量为</w:t>
      </w:r>
      <w:r>
        <w:rPr>
          <w:rFonts w:hint="eastAsia" w:eastAsia="仿宋_GB2312"/>
          <w:sz w:val="32"/>
          <w:szCs w:val="32"/>
        </w:rPr>
        <w:t>2</w:t>
      </w:r>
      <w:r>
        <w:rPr>
          <w:rFonts w:eastAsia="仿宋_GB2312"/>
          <w:sz w:val="32"/>
          <w:szCs w:val="32"/>
        </w:rPr>
        <w:t>辆。</w:t>
      </w:r>
    </w:p>
    <w:p>
      <w:pPr>
        <w:pStyle w:val="24"/>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八、政府性基金预算收入支出决算情况</w:t>
      </w:r>
    </w:p>
    <w:p>
      <w:pPr>
        <w:pStyle w:val="24"/>
        <w:spacing w:line="600" w:lineRule="exact"/>
        <w:ind w:firstLine="640" w:firstLineChars="200"/>
        <w:rPr>
          <w:rFonts w:ascii="Times New Roman" w:hAnsi="Times New Roman" w:eastAsia="仿宋_GB2312" w:cs="Times New Roman"/>
          <w:color w:val="auto"/>
          <w:sz w:val="32"/>
          <w:szCs w:val="32"/>
        </w:rPr>
      </w:pPr>
      <w:r>
        <w:rPr>
          <w:rFonts w:ascii="仿宋" w:hAnsi="仿宋" w:eastAsia="仿宋" w:cs="Times New Roman"/>
          <w:color w:val="auto"/>
          <w:sz w:val="32"/>
          <w:szCs w:val="32"/>
        </w:rPr>
        <w:t>2021</w:t>
      </w:r>
      <w:r>
        <w:rPr>
          <w:rFonts w:hint="eastAsia" w:ascii="仿宋" w:hAnsi="仿宋" w:eastAsia="仿宋" w:cs="Times New Roman"/>
          <w:color w:val="auto"/>
          <w:sz w:val="32"/>
          <w:szCs w:val="32"/>
        </w:rPr>
        <w:t>年度</w:t>
      </w:r>
      <w:r>
        <w:rPr>
          <w:rFonts w:ascii="仿宋" w:hAnsi="仿宋" w:eastAsia="仿宋" w:cs="Times New Roman"/>
          <w:color w:val="auto"/>
          <w:sz w:val="32"/>
          <w:szCs w:val="32"/>
        </w:rPr>
        <w:t>本单位无政府性基金收支</w:t>
      </w:r>
      <w:r>
        <w:rPr>
          <w:rFonts w:hint="eastAsia" w:ascii="仿宋" w:hAnsi="仿宋" w:eastAsia="仿宋" w:cs="Times New Roman"/>
          <w:color w:val="auto"/>
          <w:sz w:val="32"/>
          <w:szCs w:val="32"/>
        </w:rPr>
        <w:t>。</w:t>
      </w:r>
    </w:p>
    <w:p>
      <w:pPr>
        <w:pStyle w:val="24"/>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pPr>
        <w:pStyle w:val="24"/>
        <w:spacing w:line="600" w:lineRule="exact"/>
        <w:ind w:firstLine="640" w:firstLineChars="200"/>
        <w:rPr>
          <w:rFonts w:hAnsi="黑体" w:cs="Times New Roman"/>
          <w:color w:val="auto"/>
          <w:sz w:val="32"/>
          <w:szCs w:val="32"/>
        </w:rPr>
      </w:pPr>
      <w:r>
        <w:rPr>
          <w:rFonts w:ascii="仿宋" w:hAnsi="仿宋" w:eastAsia="仿宋" w:cs="Times New Roman"/>
          <w:color w:val="auto"/>
          <w:sz w:val="32"/>
          <w:szCs w:val="32"/>
        </w:rPr>
        <w:t>2021</w:t>
      </w:r>
      <w:r>
        <w:rPr>
          <w:rFonts w:hint="eastAsia" w:ascii="仿宋" w:hAnsi="仿宋" w:eastAsia="仿宋" w:cs="Times New Roman"/>
          <w:color w:val="auto"/>
          <w:sz w:val="32"/>
          <w:szCs w:val="32"/>
        </w:rPr>
        <w:t>年度</w:t>
      </w:r>
      <w:r>
        <w:rPr>
          <w:rFonts w:ascii="Times New Roman" w:hAnsi="Times New Roman" w:eastAsia="仿宋_GB2312" w:cs="Times New Roman"/>
          <w:color w:val="auto"/>
          <w:sz w:val="32"/>
          <w:szCs w:val="32"/>
        </w:rPr>
        <w:t>本单位无</w:t>
      </w:r>
      <w:r>
        <w:rPr>
          <w:rFonts w:hint="eastAsia" w:ascii="Times New Roman" w:hAnsi="Times New Roman" w:eastAsia="仿宋_GB2312" w:cs="Times New Roman"/>
          <w:color w:val="auto"/>
          <w:sz w:val="32"/>
          <w:szCs w:val="32"/>
        </w:rPr>
        <w:t>国有资本经营预算支出。</w:t>
      </w:r>
    </w:p>
    <w:p>
      <w:pPr>
        <w:pStyle w:val="24"/>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十</w:t>
      </w:r>
      <w:r>
        <w:rPr>
          <w:rFonts w:hAnsi="黑体" w:cs="Times New Roman"/>
          <w:color w:val="auto"/>
          <w:sz w:val="32"/>
          <w:szCs w:val="32"/>
        </w:rPr>
        <w:t>、关于</w:t>
      </w:r>
      <w:r>
        <w:rPr>
          <w:rFonts w:hint="eastAsia" w:hAnsi="黑体" w:cs="Times New Roman"/>
          <w:color w:val="auto"/>
          <w:sz w:val="32"/>
          <w:szCs w:val="32"/>
        </w:rPr>
        <w:t>2021</w:t>
      </w:r>
      <w:r>
        <w:rPr>
          <w:rFonts w:hAnsi="黑体" w:cs="Times New Roman"/>
          <w:color w:val="auto"/>
          <w:sz w:val="32"/>
          <w:szCs w:val="32"/>
        </w:rPr>
        <w:t>年度预算绩效情况说明</w:t>
      </w:r>
    </w:p>
    <w:p>
      <w:pPr>
        <w:pStyle w:val="24"/>
        <w:spacing w:line="600" w:lineRule="exact"/>
        <w:ind w:firstLine="640" w:firstLineChars="200"/>
        <w:rPr>
          <w:rFonts w:hint="eastAsia" w:ascii="仿宋_GB2312" w:hAnsi="Times New Roman" w:eastAsia="仿宋_GB2312" w:cs="仿宋_GB2312"/>
          <w:color w:val="333333"/>
          <w:sz w:val="32"/>
          <w:szCs w:val="32"/>
          <w:shd w:val="clear" w:color="auto" w:fill="FFFFFF"/>
        </w:rPr>
      </w:pPr>
      <w:r>
        <w:rPr>
          <w:rFonts w:ascii="仿宋_GB2312" w:hAnsi="Times New Roman" w:eastAsia="仿宋_GB2312" w:cs="仿宋_GB2312"/>
          <w:color w:val="333333"/>
          <w:sz w:val="32"/>
          <w:szCs w:val="32"/>
          <w:shd w:val="clear" w:color="auto" w:fill="FFFFFF"/>
        </w:rPr>
        <w:t>本部门所有支出实行绩效目标管理。纳入</w:t>
      </w:r>
      <w:r>
        <w:rPr>
          <w:rFonts w:ascii="Times New Roman" w:hAnsi="Times New Roman" w:eastAsia="宋体" w:cs="Times New Roman"/>
          <w:color w:val="333333"/>
          <w:sz w:val="32"/>
          <w:szCs w:val="32"/>
          <w:shd w:val="clear" w:color="auto" w:fill="FFFFFF"/>
        </w:rPr>
        <w:t>202</w:t>
      </w:r>
      <w:r>
        <w:rPr>
          <w:rFonts w:hint="eastAsia" w:ascii="Times New Roman" w:hAnsi="Times New Roman" w:eastAsia="宋体" w:cs="Times New Roman"/>
          <w:color w:val="333333"/>
          <w:sz w:val="32"/>
          <w:szCs w:val="32"/>
          <w:shd w:val="clear" w:color="auto" w:fill="FFFFFF"/>
        </w:rPr>
        <w:t>1</w:t>
      </w:r>
      <w:r>
        <w:rPr>
          <w:rFonts w:ascii="仿宋_GB2312" w:hAnsi="Times New Roman" w:eastAsia="仿宋_GB2312" w:cs="仿宋_GB2312"/>
          <w:color w:val="333333"/>
          <w:sz w:val="32"/>
          <w:szCs w:val="32"/>
          <w:shd w:val="clear" w:color="auto" w:fill="FFFFFF"/>
        </w:rPr>
        <w:t>年部门整体支出绩效目标的金额为</w:t>
      </w:r>
      <w:r>
        <w:rPr>
          <w:rFonts w:hint="eastAsia" w:ascii="仿宋_GB2312" w:hAnsi="Times New Roman" w:eastAsia="仿宋_GB2312" w:cs="仿宋_GB2312"/>
          <w:color w:val="333333"/>
          <w:sz w:val="32"/>
          <w:szCs w:val="32"/>
          <w:shd w:val="clear" w:color="auto" w:fill="FFFFFF"/>
        </w:rPr>
        <w:t>395.87</w:t>
      </w:r>
      <w:r>
        <w:rPr>
          <w:rFonts w:ascii="仿宋_GB2312" w:hAnsi="Times New Roman" w:eastAsia="仿宋_GB2312" w:cs="仿宋_GB2312"/>
          <w:color w:val="333333"/>
          <w:sz w:val="32"/>
          <w:szCs w:val="32"/>
          <w:shd w:val="clear" w:color="auto" w:fill="FFFFFF"/>
        </w:rPr>
        <w:t>万元，其中，基本支出</w:t>
      </w:r>
      <w:r>
        <w:rPr>
          <w:rFonts w:hint="eastAsia" w:ascii="仿宋_GB2312" w:hAnsi="Times New Roman" w:eastAsia="仿宋_GB2312" w:cs="仿宋_GB2312"/>
          <w:color w:val="333333"/>
          <w:sz w:val="32"/>
          <w:szCs w:val="32"/>
          <w:shd w:val="clear" w:color="auto" w:fill="FFFFFF"/>
        </w:rPr>
        <w:t>284.45</w:t>
      </w:r>
      <w:r>
        <w:rPr>
          <w:rFonts w:ascii="仿宋_GB2312" w:hAnsi="Times New Roman" w:eastAsia="仿宋_GB2312" w:cs="仿宋_GB2312"/>
          <w:color w:val="333333"/>
          <w:sz w:val="32"/>
          <w:szCs w:val="32"/>
          <w:shd w:val="clear" w:color="auto" w:fill="FFFFFF"/>
        </w:rPr>
        <w:t>万元，项目支出</w:t>
      </w:r>
      <w:r>
        <w:rPr>
          <w:rFonts w:hint="eastAsia" w:ascii="仿宋_GB2312" w:hAnsi="Times New Roman" w:eastAsia="仿宋_GB2312" w:cs="仿宋_GB2312"/>
          <w:color w:val="333333"/>
          <w:sz w:val="32"/>
          <w:szCs w:val="32"/>
          <w:shd w:val="clear" w:color="auto" w:fill="FFFFFF"/>
        </w:rPr>
        <w:t>111.42</w:t>
      </w:r>
      <w:r>
        <w:rPr>
          <w:rFonts w:ascii="仿宋_GB2312" w:hAnsi="Times New Roman" w:eastAsia="仿宋_GB2312" w:cs="仿宋_GB2312"/>
          <w:color w:val="333333"/>
          <w:sz w:val="32"/>
          <w:szCs w:val="32"/>
          <w:shd w:val="clear" w:color="auto" w:fill="FFFFFF"/>
        </w:rPr>
        <w:t>万元</w:t>
      </w:r>
      <w:r>
        <w:rPr>
          <w:rFonts w:hint="eastAsia" w:ascii="仿宋_GB2312" w:hAnsi="Times New Roman" w:eastAsia="仿宋_GB2312" w:cs="仿宋_GB2312"/>
          <w:color w:val="333333"/>
          <w:sz w:val="32"/>
          <w:szCs w:val="32"/>
          <w:shd w:val="clear" w:color="auto" w:fill="FFFFFF"/>
          <w:lang w:eastAsia="zh-CN"/>
        </w:rPr>
        <w:t>，</w:t>
      </w:r>
      <w:r>
        <w:rPr>
          <w:rFonts w:hint="eastAsia" w:ascii="仿宋_GB2312" w:hAnsi="Times New Roman" w:eastAsia="仿宋_GB2312" w:cs="仿宋_GB2312"/>
          <w:color w:val="333333"/>
          <w:sz w:val="32"/>
          <w:szCs w:val="32"/>
          <w:shd w:val="clear" w:color="auto" w:fill="FFFFFF"/>
          <w:lang w:val="en-US" w:eastAsia="zh-CN"/>
        </w:rPr>
        <w:t>本部门无重点项目支出绩效</w:t>
      </w:r>
      <w:r>
        <w:rPr>
          <w:rFonts w:hint="eastAsia" w:ascii="仿宋_GB2312" w:hAnsi="Times New Roman" w:eastAsia="仿宋_GB2312" w:cs="仿宋_GB2312"/>
          <w:color w:val="333333"/>
          <w:sz w:val="32"/>
          <w:szCs w:val="32"/>
          <w:shd w:val="clear" w:color="auto" w:fill="FFFFFF"/>
        </w:rPr>
        <w:t>。</w:t>
      </w:r>
    </w:p>
    <w:p>
      <w:pPr>
        <w:pStyle w:val="24"/>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十</w:t>
      </w:r>
      <w:r>
        <w:rPr>
          <w:rFonts w:hint="eastAsia" w:hAnsi="黑体" w:cs="Times New Roman"/>
          <w:color w:val="auto"/>
          <w:sz w:val="32"/>
          <w:szCs w:val="32"/>
        </w:rPr>
        <w:t>一</w:t>
      </w:r>
      <w:r>
        <w:rPr>
          <w:rFonts w:hAnsi="黑体" w:cs="Times New Roman"/>
          <w:color w:val="auto"/>
          <w:sz w:val="32"/>
          <w:szCs w:val="32"/>
        </w:rPr>
        <w:t>、其他重要事项情况说明</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（一）机关运行经费支出情况</w:t>
      </w:r>
    </w:p>
    <w:p>
      <w:pPr>
        <w:pStyle w:val="24"/>
        <w:spacing w:line="600" w:lineRule="exact"/>
        <w:ind w:firstLine="640" w:firstLineChars="200"/>
        <w:rPr>
          <w:rFonts w:eastAsia="仿宋_GB2312"/>
          <w:sz w:val="32"/>
          <w:szCs w:val="32"/>
        </w:rPr>
      </w:pPr>
      <w:r>
        <w:rPr>
          <w:rFonts w:eastAsia="仿宋_GB2312"/>
          <w:sz w:val="32"/>
          <w:szCs w:val="32"/>
        </w:rPr>
        <w:t>本部门</w:t>
      </w:r>
      <w:r>
        <w:rPr>
          <w:rFonts w:hint="eastAsia" w:eastAsia="仿宋_GB2312"/>
          <w:sz w:val="32"/>
          <w:szCs w:val="32"/>
        </w:rPr>
        <w:t>2021</w:t>
      </w:r>
      <w:r>
        <w:rPr>
          <w:rFonts w:eastAsia="仿宋_GB2312"/>
          <w:sz w:val="32"/>
          <w:szCs w:val="32"/>
        </w:rPr>
        <w:t>年度机关运行经费支出</w:t>
      </w:r>
      <w:r>
        <w:rPr>
          <w:rFonts w:hint="eastAsia" w:eastAsia="仿宋_GB2312"/>
          <w:sz w:val="32"/>
          <w:szCs w:val="32"/>
        </w:rPr>
        <w:t>55.91</w:t>
      </w:r>
      <w:r>
        <w:rPr>
          <w:rFonts w:eastAsia="仿宋_GB2312"/>
          <w:sz w:val="32"/>
          <w:szCs w:val="32"/>
        </w:rPr>
        <w:t>万元，比年初预算数增加</w:t>
      </w:r>
      <w:r>
        <w:rPr>
          <w:rFonts w:hint="eastAsia" w:eastAsia="仿宋_GB2312"/>
          <w:sz w:val="32"/>
          <w:szCs w:val="32"/>
        </w:rPr>
        <w:t>13.41</w:t>
      </w:r>
      <w:r>
        <w:rPr>
          <w:rFonts w:eastAsia="仿宋_GB2312"/>
          <w:sz w:val="32"/>
          <w:szCs w:val="32"/>
        </w:rPr>
        <w:t>万元，增长</w:t>
      </w:r>
      <w:r>
        <w:rPr>
          <w:rFonts w:hint="eastAsia" w:eastAsia="仿宋_GB2312"/>
          <w:sz w:val="32"/>
          <w:szCs w:val="32"/>
        </w:rPr>
        <w:t>31</w:t>
      </w:r>
      <w:r>
        <w:rPr>
          <w:rFonts w:eastAsia="仿宋_GB2312"/>
          <w:sz w:val="32"/>
          <w:szCs w:val="32"/>
        </w:rPr>
        <w:t>%。主要原因是：</w:t>
      </w:r>
      <w:r>
        <w:rPr>
          <w:rFonts w:hint="eastAsia" w:eastAsia="仿宋_GB2312"/>
          <w:sz w:val="32"/>
          <w:szCs w:val="32"/>
        </w:rPr>
        <w:t>年初预算公车补贴未列入到</w:t>
      </w:r>
      <w:r>
        <w:rPr>
          <w:rFonts w:eastAsia="仿宋_GB2312"/>
          <w:sz w:val="32"/>
          <w:szCs w:val="32"/>
        </w:rPr>
        <w:t>机关运行经费</w:t>
      </w:r>
      <w:r>
        <w:rPr>
          <w:rFonts w:hint="eastAsia" w:eastAsia="仿宋_GB2312"/>
          <w:sz w:val="32"/>
          <w:szCs w:val="32"/>
        </w:rPr>
        <w:t>。</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（二）一般性支出情况</w:t>
      </w:r>
    </w:p>
    <w:p>
      <w:pPr>
        <w:spacing w:line="600" w:lineRule="exact"/>
        <w:ind w:firstLine="640" w:firstLineChars="200"/>
        <w:rPr>
          <w:rFonts w:hint="eastAsia" w:eastAsia="仿宋_GB2312"/>
          <w:kern w:val="0"/>
          <w:sz w:val="32"/>
          <w:szCs w:val="32"/>
        </w:rPr>
      </w:pPr>
      <w:r>
        <w:rPr>
          <w:rFonts w:hint="eastAsia" w:eastAsia="仿宋_GB2312"/>
          <w:kern w:val="0"/>
          <w:sz w:val="32"/>
          <w:szCs w:val="32"/>
        </w:rPr>
        <w:t>2021</w:t>
      </w:r>
      <w:r>
        <w:rPr>
          <w:rFonts w:eastAsia="仿宋_GB2312"/>
          <w:kern w:val="0"/>
          <w:sz w:val="32"/>
          <w:szCs w:val="32"/>
        </w:rPr>
        <w:t>年本部门开支会议费</w:t>
      </w:r>
      <w:r>
        <w:rPr>
          <w:rFonts w:hint="eastAsia" w:eastAsia="仿宋_GB2312"/>
          <w:sz w:val="32"/>
          <w:szCs w:val="32"/>
        </w:rPr>
        <w:t>0.2</w:t>
      </w:r>
      <w:r>
        <w:rPr>
          <w:rFonts w:eastAsia="仿宋_GB2312"/>
          <w:kern w:val="0"/>
          <w:sz w:val="32"/>
          <w:szCs w:val="32"/>
        </w:rPr>
        <w:t>万元，用于召开</w:t>
      </w:r>
      <w:r>
        <w:rPr>
          <w:rFonts w:hint="eastAsia" w:eastAsia="仿宋_GB2312"/>
          <w:kern w:val="0"/>
          <w:sz w:val="32"/>
          <w:szCs w:val="32"/>
        </w:rPr>
        <w:t>巡察工作动员部署</w:t>
      </w:r>
      <w:r>
        <w:rPr>
          <w:rFonts w:eastAsia="仿宋_GB2312"/>
          <w:kern w:val="0"/>
          <w:sz w:val="32"/>
          <w:szCs w:val="32"/>
        </w:rPr>
        <w:t>会议，人数</w:t>
      </w:r>
      <w:r>
        <w:rPr>
          <w:rFonts w:hint="eastAsia" w:eastAsia="仿宋_GB2312"/>
          <w:sz w:val="32"/>
          <w:szCs w:val="32"/>
        </w:rPr>
        <w:t>67</w:t>
      </w:r>
      <w:r>
        <w:rPr>
          <w:rFonts w:eastAsia="仿宋_GB2312"/>
          <w:kern w:val="0"/>
          <w:sz w:val="32"/>
          <w:szCs w:val="32"/>
        </w:rPr>
        <w:t>人，内容为</w:t>
      </w:r>
      <w:r>
        <w:rPr>
          <w:rFonts w:hint="eastAsia" w:eastAsia="仿宋_GB2312"/>
          <w:kern w:val="0"/>
          <w:sz w:val="32"/>
          <w:szCs w:val="32"/>
        </w:rPr>
        <w:t>巡察工作动员部署</w:t>
      </w:r>
      <w:r>
        <w:rPr>
          <w:rFonts w:eastAsia="仿宋_GB2312"/>
          <w:kern w:val="0"/>
          <w:sz w:val="32"/>
          <w:szCs w:val="32"/>
        </w:rPr>
        <w:t>会；开支培训费</w:t>
      </w:r>
      <w:r>
        <w:rPr>
          <w:rFonts w:hint="eastAsia" w:eastAsia="仿宋_GB2312"/>
          <w:sz w:val="32"/>
          <w:szCs w:val="32"/>
        </w:rPr>
        <w:t>0</w:t>
      </w:r>
      <w:r>
        <w:rPr>
          <w:rFonts w:eastAsia="仿宋_GB2312"/>
          <w:kern w:val="0"/>
          <w:sz w:val="32"/>
          <w:szCs w:val="32"/>
        </w:rPr>
        <w:t>万元</w:t>
      </w:r>
      <w:r>
        <w:rPr>
          <w:rFonts w:hint="eastAsia" w:eastAsia="仿宋_GB2312"/>
          <w:kern w:val="0"/>
          <w:sz w:val="32"/>
          <w:szCs w:val="32"/>
        </w:rPr>
        <w:t>。</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（三）政府采购支出情况</w:t>
      </w:r>
    </w:p>
    <w:p>
      <w:pPr>
        <w:spacing w:line="600" w:lineRule="exact"/>
        <w:ind w:firstLine="640" w:firstLineChars="200"/>
        <w:rPr>
          <w:rFonts w:eastAsia="仿宋_GB2312"/>
          <w:kern w:val="0"/>
          <w:sz w:val="32"/>
          <w:szCs w:val="32"/>
        </w:rPr>
      </w:pPr>
      <w:r>
        <w:rPr>
          <w:rFonts w:eastAsia="仿宋_GB2312"/>
          <w:kern w:val="0"/>
          <w:sz w:val="32"/>
          <w:szCs w:val="32"/>
        </w:rPr>
        <w:t>本部门</w:t>
      </w:r>
      <w:r>
        <w:rPr>
          <w:rFonts w:hint="eastAsia" w:eastAsia="仿宋_GB2312"/>
          <w:kern w:val="0"/>
          <w:sz w:val="32"/>
          <w:szCs w:val="32"/>
        </w:rPr>
        <w:t>2021</w:t>
      </w:r>
      <w:r>
        <w:rPr>
          <w:rFonts w:eastAsia="仿宋_GB2312"/>
          <w:kern w:val="0"/>
          <w:sz w:val="32"/>
          <w:szCs w:val="32"/>
        </w:rPr>
        <w:t>年度政府采购支出总额</w:t>
      </w:r>
      <w:r>
        <w:rPr>
          <w:rFonts w:hint="eastAsia" w:eastAsia="仿宋_GB2312"/>
          <w:sz w:val="32"/>
          <w:szCs w:val="32"/>
        </w:rPr>
        <w:t>23</w:t>
      </w:r>
      <w:r>
        <w:rPr>
          <w:rFonts w:eastAsia="仿宋_GB2312"/>
          <w:kern w:val="0"/>
          <w:sz w:val="32"/>
          <w:szCs w:val="32"/>
        </w:rPr>
        <w:t>万元，其中：政府采购货物支出</w:t>
      </w:r>
      <w:r>
        <w:rPr>
          <w:rFonts w:hint="eastAsia" w:eastAsia="仿宋_GB2312"/>
          <w:sz w:val="32"/>
          <w:szCs w:val="32"/>
        </w:rPr>
        <w:t>23</w:t>
      </w:r>
      <w:r>
        <w:rPr>
          <w:rFonts w:eastAsia="仿宋_GB2312"/>
          <w:kern w:val="0"/>
          <w:sz w:val="32"/>
          <w:szCs w:val="32"/>
        </w:rPr>
        <w:t>万元、政府采购工程支出</w:t>
      </w:r>
      <w:r>
        <w:rPr>
          <w:rFonts w:hint="eastAsia" w:eastAsia="仿宋_GB2312"/>
          <w:sz w:val="32"/>
          <w:szCs w:val="32"/>
        </w:rPr>
        <w:t>0</w:t>
      </w:r>
      <w:r>
        <w:rPr>
          <w:rFonts w:eastAsia="仿宋_GB2312"/>
          <w:kern w:val="0"/>
          <w:sz w:val="32"/>
          <w:szCs w:val="32"/>
        </w:rPr>
        <w:t>万元、政府采购服务支出</w:t>
      </w:r>
      <w:r>
        <w:rPr>
          <w:rFonts w:hint="eastAsia" w:eastAsia="仿宋_GB2312"/>
          <w:sz w:val="32"/>
          <w:szCs w:val="32"/>
        </w:rPr>
        <w:t>0</w:t>
      </w:r>
      <w:r>
        <w:rPr>
          <w:rFonts w:eastAsia="仿宋_GB2312"/>
          <w:kern w:val="0"/>
          <w:sz w:val="32"/>
          <w:szCs w:val="32"/>
        </w:rPr>
        <w:t>万元。授予中小企业合同金额</w:t>
      </w:r>
      <w:r>
        <w:rPr>
          <w:rFonts w:hint="eastAsia" w:eastAsia="仿宋_GB2312"/>
          <w:sz w:val="32"/>
          <w:szCs w:val="32"/>
        </w:rPr>
        <w:t>18.9</w:t>
      </w:r>
      <w:r>
        <w:rPr>
          <w:rFonts w:eastAsia="仿宋_GB2312"/>
          <w:kern w:val="0"/>
          <w:sz w:val="32"/>
          <w:szCs w:val="32"/>
        </w:rPr>
        <w:t>万元，占政府采购支出总额的</w:t>
      </w:r>
      <w:r>
        <w:rPr>
          <w:rFonts w:hint="eastAsia" w:eastAsia="仿宋_GB2312"/>
          <w:sz w:val="32"/>
          <w:szCs w:val="32"/>
        </w:rPr>
        <w:t>82</w:t>
      </w:r>
      <w:r>
        <w:rPr>
          <w:rFonts w:eastAsia="仿宋_GB2312"/>
          <w:kern w:val="0"/>
          <w:sz w:val="32"/>
          <w:szCs w:val="32"/>
        </w:rPr>
        <w:t>%，其中：授予小微企业合同金额</w:t>
      </w:r>
      <w:r>
        <w:rPr>
          <w:rFonts w:hint="eastAsia" w:eastAsia="仿宋_GB2312"/>
          <w:sz w:val="32"/>
          <w:szCs w:val="32"/>
        </w:rPr>
        <w:t>4.1</w:t>
      </w:r>
      <w:r>
        <w:rPr>
          <w:rFonts w:eastAsia="仿宋_GB2312"/>
          <w:kern w:val="0"/>
          <w:sz w:val="32"/>
          <w:szCs w:val="32"/>
        </w:rPr>
        <w:t>万元，占政府采购支出总额的</w:t>
      </w:r>
      <w:r>
        <w:rPr>
          <w:rFonts w:hint="eastAsia" w:eastAsia="仿宋_GB2312"/>
          <w:sz w:val="32"/>
          <w:szCs w:val="32"/>
        </w:rPr>
        <w:t>18</w:t>
      </w:r>
      <w:r>
        <w:rPr>
          <w:rFonts w:eastAsia="仿宋_GB2312"/>
          <w:kern w:val="0"/>
          <w:sz w:val="32"/>
          <w:szCs w:val="32"/>
        </w:rPr>
        <w:t>%。</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（四）国有资产占用情况</w:t>
      </w:r>
    </w:p>
    <w:p>
      <w:pPr>
        <w:spacing w:line="600" w:lineRule="exact"/>
        <w:ind w:firstLine="640" w:firstLineChars="200"/>
        <w:rPr>
          <w:rFonts w:eastAsia="仿宋_GB2312"/>
          <w:kern w:val="0"/>
          <w:sz w:val="32"/>
          <w:szCs w:val="32"/>
        </w:rPr>
      </w:pPr>
      <w:r>
        <w:rPr>
          <w:rFonts w:eastAsia="仿宋_GB2312"/>
          <w:kern w:val="0"/>
          <w:sz w:val="32"/>
          <w:szCs w:val="32"/>
        </w:rPr>
        <w:t>截至</w:t>
      </w:r>
      <w:r>
        <w:rPr>
          <w:rFonts w:hint="eastAsia" w:eastAsia="仿宋_GB2312"/>
          <w:kern w:val="0"/>
          <w:sz w:val="32"/>
          <w:szCs w:val="32"/>
        </w:rPr>
        <w:t>2021</w:t>
      </w:r>
      <w:r>
        <w:rPr>
          <w:rFonts w:eastAsia="仿宋_GB2312"/>
          <w:kern w:val="0"/>
          <w:sz w:val="32"/>
          <w:szCs w:val="32"/>
        </w:rPr>
        <w:t>年12月31日，本单位共有车辆</w:t>
      </w:r>
      <w:r>
        <w:rPr>
          <w:rFonts w:hint="eastAsia" w:eastAsia="仿宋_GB2312"/>
          <w:sz w:val="32"/>
          <w:szCs w:val="32"/>
        </w:rPr>
        <w:t>2</w:t>
      </w:r>
      <w:r>
        <w:rPr>
          <w:rFonts w:eastAsia="仿宋_GB2312"/>
          <w:kern w:val="0"/>
          <w:sz w:val="32"/>
          <w:szCs w:val="32"/>
        </w:rPr>
        <w:t>辆，其中，领导干部用车</w:t>
      </w:r>
      <w:r>
        <w:rPr>
          <w:rFonts w:hint="eastAsia" w:eastAsia="仿宋_GB2312"/>
          <w:sz w:val="32"/>
          <w:szCs w:val="32"/>
        </w:rPr>
        <w:t>0</w:t>
      </w:r>
      <w:r>
        <w:rPr>
          <w:rFonts w:eastAsia="仿宋_GB2312"/>
          <w:kern w:val="0"/>
          <w:sz w:val="32"/>
          <w:szCs w:val="32"/>
        </w:rPr>
        <w:t>辆、机要通信用车</w:t>
      </w:r>
      <w:r>
        <w:rPr>
          <w:rFonts w:hint="eastAsia" w:eastAsia="仿宋_GB2312"/>
          <w:sz w:val="32"/>
          <w:szCs w:val="32"/>
        </w:rPr>
        <w:t>0</w:t>
      </w:r>
      <w:r>
        <w:rPr>
          <w:rFonts w:eastAsia="仿宋_GB2312"/>
          <w:kern w:val="0"/>
          <w:sz w:val="32"/>
          <w:szCs w:val="32"/>
        </w:rPr>
        <w:t>辆、应急保障用车</w:t>
      </w:r>
      <w:r>
        <w:rPr>
          <w:rFonts w:hint="eastAsia" w:eastAsia="仿宋_GB2312"/>
          <w:sz w:val="32"/>
          <w:szCs w:val="32"/>
        </w:rPr>
        <w:t>0</w:t>
      </w:r>
      <w:r>
        <w:rPr>
          <w:rFonts w:eastAsia="仿宋_GB2312"/>
          <w:kern w:val="0"/>
          <w:sz w:val="32"/>
          <w:szCs w:val="32"/>
        </w:rPr>
        <w:t>辆、执法执勤用车</w:t>
      </w:r>
      <w:r>
        <w:rPr>
          <w:rFonts w:hint="eastAsia" w:eastAsia="仿宋_GB2312"/>
          <w:sz w:val="32"/>
          <w:szCs w:val="32"/>
        </w:rPr>
        <w:t>0</w:t>
      </w:r>
      <w:r>
        <w:rPr>
          <w:rFonts w:eastAsia="仿宋_GB2312"/>
          <w:kern w:val="0"/>
          <w:sz w:val="32"/>
          <w:szCs w:val="32"/>
        </w:rPr>
        <w:t>辆、特种专业技术用车</w:t>
      </w:r>
      <w:r>
        <w:rPr>
          <w:rFonts w:hint="eastAsia" w:eastAsia="仿宋_GB2312"/>
          <w:sz w:val="32"/>
          <w:szCs w:val="32"/>
        </w:rPr>
        <w:t>0</w:t>
      </w:r>
      <w:r>
        <w:rPr>
          <w:rFonts w:eastAsia="仿宋_GB2312"/>
          <w:kern w:val="0"/>
          <w:sz w:val="32"/>
          <w:szCs w:val="32"/>
        </w:rPr>
        <w:t>辆、其他用车</w:t>
      </w:r>
      <w:r>
        <w:rPr>
          <w:rFonts w:hint="eastAsia" w:eastAsia="仿宋_GB2312"/>
          <w:sz w:val="32"/>
          <w:szCs w:val="32"/>
        </w:rPr>
        <w:t>2</w:t>
      </w:r>
      <w:r>
        <w:rPr>
          <w:rFonts w:eastAsia="仿宋_GB2312"/>
          <w:kern w:val="0"/>
          <w:sz w:val="32"/>
          <w:szCs w:val="32"/>
        </w:rPr>
        <w:t>辆，其他用车主要是</w:t>
      </w:r>
      <w:r>
        <w:rPr>
          <w:rFonts w:hint="eastAsia" w:eastAsia="仿宋_GB2312"/>
          <w:kern w:val="0"/>
          <w:sz w:val="32"/>
          <w:szCs w:val="32"/>
        </w:rPr>
        <w:t>开展巡察工作</w:t>
      </w:r>
      <w:r>
        <w:rPr>
          <w:rFonts w:eastAsia="仿宋_GB2312"/>
          <w:kern w:val="0"/>
          <w:sz w:val="32"/>
          <w:szCs w:val="32"/>
        </w:rPr>
        <w:t>；单位价值50万元以上通用设备</w:t>
      </w:r>
      <w:r>
        <w:rPr>
          <w:rFonts w:hint="eastAsia" w:eastAsia="仿宋_GB2312"/>
          <w:sz w:val="32"/>
          <w:szCs w:val="32"/>
        </w:rPr>
        <w:t>0</w:t>
      </w:r>
      <w:r>
        <w:rPr>
          <w:rFonts w:eastAsia="仿宋_GB2312"/>
          <w:kern w:val="0"/>
          <w:sz w:val="32"/>
          <w:szCs w:val="32"/>
        </w:rPr>
        <w:t>台（套）；单位价值100万元以上专用设备</w:t>
      </w:r>
      <w:r>
        <w:rPr>
          <w:rFonts w:hint="eastAsia" w:eastAsia="仿宋_GB2312"/>
          <w:sz w:val="32"/>
          <w:szCs w:val="32"/>
        </w:rPr>
        <w:t>0</w:t>
      </w:r>
      <w:r>
        <w:rPr>
          <w:rFonts w:eastAsia="仿宋_GB2312"/>
          <w:kern w:val="0"/>
          <w:sz w:val="32"/>
          <w:szCs w:val="32"/>
        </w:rPr>
        <w:t>台（套）。</w:t>
      </w:r>
    </w:p>
    <w:p>
      <w:pPr>
        <w:widowControl/>
        <w:spacing w:line="600" w:lineRule="exact"/>
        <w:jc w:val="left"/>
        <w:rPr>
          <w:rFonts w:hint="eastAsia" w:eastAsia="仿宋_GB2312"/>
          <w:color w:val="000000"/>
          <w:kern w:val="0"/>
          <w:sz w:val="32"/>
          <w:szCs w:val="32"/>
        </w:rPr>
      </w:pPr>
    </w:p>
    <w:p>
      <w:pPr>
        <w:pStyle w:val="24"/>
        <w:jc w:val="center"/>
        <w:rPr>
          <w:sz w:val="72"/>
          <w:szCs w:val="72"/>
        </w:rPr>
      </w:pPr>
    </w:p>
    <w:p>
      <w:pPr>
        <w:pStyle w:val="24"/>
        <w:jc w:val="center"/>
        <w:rPr>
          <w:sz w:val="72"/>
          <w:szCs w:val="72"/>
        </w:rPr>
      </w:pPr>
    </w:p>
    <w:p>
      <w:pPr>
        <w:pStyle w:val="24"/>
        <w:jc w:val="center"/>
        <w:rPr>
          <w:sz w:val="72"/>
          <w:szCs w:val="72"/>
        </w:rPr>
      </w:pPr>
    </w:p>
    <w:p>
      <w:pPr>
        <w:pStyle w:val="24"/>
        <w:jc w:val="center"/>
        <w:rPr>
          <w:sz w:val="72"/>
          <w:szCs w:val="72"/>
        </w:rPr>
      </w:pPr>
    </w:p>
    <w:p>
      <w:pPr>
        <w:pStyle w:val="24"/>
        <w:jc w:val="center"/>
        <w:rPr>
          <w:sz w:val="72"/>
          <w:szCs w:val="72"/>
        </w:rPr>
      </w:pPr>
    </w:p>
    <w:p>
      <w:pPr>
        <w:pStyle w:val="24"/>
        <w:jc w:val="center"/>
        <w:rPr>
          <w:sz w:val="72"/>
          <w:szCs w:val="72"/>
        </w:rPr>
      </w:pPr>
    </w:p>
    <w:p>
      <w:pPr>
        <w:pStyle w:val="24"/>
        <w:jc w:val="center"/>
        <w:rPr>
          <w:sz w:val="72"/>
          <w:szCs w:val="72"/>
        </w:rPr>
      </w:pPr>
    </w:p>
    <w:p>
      <w:pPr>
        <w:pStyle w:val="24"/>
        <w:jc w:val="center"/>
        <w:rPr>
          <w:sz w:val="72"/>
          <w:szCs w:val="72"/>
        </w:rPr>
      </w:pPr>
    </w:p>
    <w:p>
      <w:pPr>
        <w:pStyle w:val="24"/>
        <w:jc w:val="center"/>
        <w:rPr>
          <w:sz w:val="72"/>
          <w:szCs w:val="72"/>
        </w:rPr>
      </w:pPr>
    </w:p>
    <w:p>
      <w:pPr>
        <w:pStyle w:val="24"/>
        <w:jc w:val="center"/>
        <w:rPr>
          <w:rFonts w:hint="eastAsia"/>
          <w:sz w:val="72"/>
          <w:szCs w:val="72"/>
        </w:rPr>
      </w:pPr>
    </w:p>
    <w:p>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第四部分 名词解释</w:t>
      </w:r>
    </w:p>
    <w:p>
      <w:pPr>
        <w:widowControl/>
        <w:jc w:val="left"/>
        <w:rPr>
          <w:rFonts w:hint="eastAsia" w:ascii="宋体" w:hAnsi="宋体" w:cs="黑体"/>
          <w:color w:val="000000"/>
          <w:kern w:val="0"/>
          <w:sz w:val="32"/>
          <w:szCs w:val="32"/>
        </w:rPr>
      </w:pPr>
    </w:p>
    <w:p>
      <w:pPr>
        <w:spacing w:line="560" w:lineRule="atLeast"/>
        <w:ind w:firstLine="643" w:firstLineChars="200"/>
        <w:rPr>
          <w:rFonts w:hint="eastAsia" w:ascii="仿宋_GB2312" w:hAnsi="仿宋_GB2312" w:eastAsia="仿宋_GB2312" w:cs="仿宋_GB2312"/>
          <w:color w:val="000000"/>
          <w:sz w:val="32"/>
          <w:szCs w:val="32"/>
          <w:shd w:val="clear" w:color="auto" w:fill="FFFFFF"/>
        </w:rPr>
      </w:pPr>
      <w:bookmarkStart w:id="2" w:name="_Hlk104207476"/>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pPr>
        <w:spacing w:line="56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pPr>
        <w:pStyle w:val="11"/>
        <w:ind w:firstLine="640"/>
        <w:rPr>
          <w:rFonts w:hint="eastAsia" w:ascii="仿宋_GB2312" w:hAnsi="仿宋_GB2312" w:eastAsia="仿宋_GB2312" w:cs="仿宋_GB2312"/>
          <w:color w:val="000000"/>
          <w:sz w:val="32"/>
          <w:szCs w:val="32"/>
          <w:shd w:val="clear" w:color="auto" w:fill="FFFFFF"/>
        </w:rPr>
      </w:pPr>
    </w:p>
    <w:p>
      <w:pPr>
        <w:widowControl/>
        <w:jc w:val="left"/>
        <w:rPr>
          <w:rFonts w:ascii="宋体" w:hAnsi="宋体" w:cs="黑体"/>
          <w:color w:val="000000"/>
          <w:kern w:val="0"/>
          <w:sz w:val="32"/>
          <w:szCs w:val="32"/>
        </w:rPr>
      </w:pPr>
    </w:p>
    <w:bookmarkEnd w:id="2"/>
    <w:p>
      <w:pPr>
        <w:widowControl/>
        <w:jc w:val="left"/>
        <w:rPr>
          <w:rFonts w:ascii="宋体" w:hAnsi="宋体" w:cs="黑体"/>
          <w:color w:val="000000"/>
          <w:kern w:val="0"/>
          <w:sz w:val="32"/>
          <w:szCs w:val="32"/>
        </w:rPr>
      </w:pPr>
    </w:p>
    <w:p>
      <w:pPr>
        <w:widowControl/>
        <w:jc w:val="left"/>
        <w:rPr>
          <w:rFonts w:hint="eastAsia" w:ascii="宋体" w:hAnsi="宋体"/>
          <w:i/>
          <w:color w:val="FF0000"/>
          <w:kern w:val="0"/>
          <w:sz w:val="32"/>
          <w:szCs w:val="32"/>
        </w:rPr>
      </w:pPr>
    </w:p>
    <w:p>
      <w:pPr>
        <w:widowControl/>
        <w:spacing w:line="600" w:lineRule="exact"/>
        <w:jc w:val="center"/>
        <w:rPr>
          <w:rFonts w:eastAsia="方正小标宋_GBK"/>
          <w:bCs/>
          <w:kern w:val="0"/>
          <w:sz w:val="36"/>
          <w:szCs w:val="36"/>
        </w:rPr>
      </w:pPr>
    </w:p>
    <w:p>
      <w:pPr>
        <w:pStyle w:val="2"/>
      </w:pPr>
    </w:p>
    <w:p>
      <w:pPr>
        <w:pStyle w:val="3"/>
      </w:pPr>
    </w:p>
    <w:p/>
    <w:p>
      <w:pPr>
        <w:pStyle w:val="2"/>
      </w:pPr>
    </w:p>
    <w:p>
      <w:pPr>
        <w:pStyle w:val="3"/>
      </w:pPr>
    </w:p>
    <w:p/>
    <w:p>
      <w:pPr>
        <w:pStyle w:val="3"/>
        <w:rPr>
          <w:rFonts w:hint="eastAsia"/>
        </w:rPr>
      </w:pPr>
    </w:p>
    <w:p>
      <w:pPr>
        <w:pStyle w:val="2"/>
        <w:rPr>
          <w:rFonts w:hint="eastAsia"/>
        </w:rPr>
      </w:pPr>
    </w:p>
    <w:p>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第五部分 附件</w:t>
      </w:r>
    </w:p>
    <w:p>
      <w:pPr>
        <w:jc w:val="center"/>
        <w:rPr>
          <w:rFonts w:hint="eastAsia" w:ascii="黑体" w:eastAsia="黑体" w:cs="黑体"/>
          <w:color w:val="000000"/>
          <w:kern w:val="0"/>
          <w:sz w:val="70"/>
          <w:szCs w:val="70"/>
        </w:rPr>
      </w:pPr>
    </w:p>
    <w:p>
      <w:pPr>
        <w:widowControl/>
        <w:spacing w:line="600" w:lineRule="exact"/>
        <w:jc w:val="center"/>
        <w:rPr>
          <w:rFonts w:hint="eastAsia" w:eastAsia="方正小标宋_GBK"/>
          <w:bCs/>
          <w:kern w:val="0"/>
          <w:sz w:val="36"/>
          <w:szCs w:val="36"/>
        </w:rPr>
      </w:pPr>
      <w:r>
        <w:rPr>
          <w:rFonts w:hint="eastAsia" w:eastAsia="方正小标宋_GBK"/>
          <w:bCs/>
          <w:kern w:val="0"/>
          <w:sz w:val="36"/>
          <w:szCs w:val="36"/>
        </w:rPr>
        <w:t>第五部分 附件</w:t>
      </w:r>
    </w:p>
    <w:p>
      <w:pPr>
        <w:spacing w:line="560" w:lineRule="exact"/>
        <w:jc w:val="center"/>
        <w:rPr>
          <w:rFonts w:hint="eastAsia" w:ascii="方正小标宋简体" w:eastAsia="方正小标宋简体" w:cs="方正小标宋简体"/>
          <w:bCs/>
          <w:sz w:val="36"/>
          <w:szCs w:val="36"/>
        </w:rPr>
      </w:pPr>
      <w:r>
        <w:rPr>
          <w:rFonts w:hint="eastAsia" w:ascii="方正小标宋简体" w:eastAsia="方正小标宋简体" w:cs="方正小标宋简体"/>
          <w:bCs/>
          <w:sz w:val="36"/>
          <w:szCs w:val="36"/>
        </w:rPr>
        <w:t>中共蓝山县委巡察工作领导小组办公室</w:t>
      </w:r>
    </w:p>
    <w:p>
      <w:pPr>
        <w:spacing w:after="240" w:afterLines="100" w:line="560" w:lineRule="exact"/>
        <w:jc w:val="center"/>
        <w:rPr>
          <w:rFonts w:hint="eastAsia" w:ascii="仿宋_GB2312" w:eastAsia="仿宋_GB2312" w:cs="仿宋_GB2312"/>
          <w:b/>
          <w:color w:val="000000"/>
          <w:sz w:val="32"/>
          <w:szCs w:val="32"/>
        </w:rPr>
      </w:pPr>
      <w:r>
        <w:rPr>
          <w:rFonts w:hint="eastAsia" w:ascii="方正小标宋简体" w:eastAsia="方正小标宋简体" w:cs="方正小标宋简体"/>
          <w:bCs/>
          <w:sz w:val="36"/>
          <w:szCs w:val="36"/>
        </w:rPr>
        <w:t>2021年度部门整体支出绩效评价自评报告</w:t>
      </w:r>
    </w:p>
    <w:p>
      <w:pPr>
        <w:pStyle w:val="9"/>
        <w:spacing w:before="0" w:beforeAutospacing="0" w:after="0" w:afterAutospacing="0" w:line="560" w:lineRule="exact"/>
        <w:ind w:firstLine="640" w:firstLineChars="20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为进一步财政资金管理，牢固树立预算绩效强化支出责任，提高财政资金使用效益，根据《蓝山县关于推进预算绩效管理的实施意见》，对我单位2021年度部门整体支出绩效进行了全面综合评价。</w:t>
      </w:r>
    </w:p>
    <w:p>
      <w:pPr>
        <w:pStyle w:val="9"/>
        <w:spacing w:before="0" w:beforeAutospacing="0" w:after="0" w:afterAutospacing="0" w:line="560" w:lineRule="exact"/>
        <w:ind w:firstLine="640" w:firstLineChars="200"/>
        <w:jc w:val="both"/>
        <w:rPr>
          <w:rFonts w:hint="eastAsia" w:ascii="黑体" w:eastAsia="黑体" w:cs="黑体"/>
          <w:color w:val="000000"/>
          <w:sz w:val="32"/>
          <w:szCs w:val="32"/>
        </w:rPr>
      </w:pPr>
      <w:r>
        <w:rPr>
          <w:rFonts w:hint="eastAsia" w:ascii="黑体" w:eastAsia="黑体" w:cs="黑体"/>
          <w:color w:val="000000"/>
          <w:sz w:val="32"/>
          <w:szCs w:val="32"/>
        </w:rPr>
        <w:t>一、部门整体支出情况</w:t>
      </w:r>
    </w:p>
    <w:p>
      <w:pPr>
        <w:pStyle w:val="24"/>
        <w:spacing w:line="560" w:lineRule="exact"/>
        <w:ind w:firstLine="643" w:firstLineChars="200"/>
        <w:rPr>
          <w:rFonts w:hint="eastAsia" w:ascii="楷体" w:eastAsia="楷体" w:cs="楷体"/>
          <w:b/>
          <w:sz w:val="32"/>
          <w:szCs w:val="32"/>
        </w:rPr>
      </w:pPr>
      <w:r>
        <w:rPr>
          <w:rFonts w:hint="eastAsia" w:ascii="楷体" w:eastAsia="楷体" w:cs="楷体"/>
          <w:b/>
          <w:sz w:val="32"/>
          <w:szCs w:val="32"/>
        </w:rPr>
        <w:t>（一）基本支出</w:t>
      </w:r>
    </w:p>
    <w:p>
      <w:pPr>
        <w:pStyle w:val="9"/>
        <w:spacing w:before="0" w:beforeAutospacing="0" w:after="0" w:afterAutospacing="0"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1.本年预算指标可用情况</w:t>
      </w:r>
    </w:p>
    <w:p>
      <w:pPr>
        <w:pStyle w:val="24"/>
        <w:spacing w:line="600"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sym w:font="Wingdings" w:char="F081"/>
      </w:r>
      <w:r>
        <w:rPr>
          <w:rFonts w:hint="eastAsia" w:ascii="仿宋_GB2312" w:eastAsia="仿宋_GB2312" w:cs="仿宋_GB2312"/>
          <w:sz w:val="32"/>
          <w:szCs w:val="32"/>
        </w:rPr>
        <w:t>2021年收入预算总体情况：2021年公共财政拨款收入预算数312.35万元，执行数395.87万元主要因为工资福利增加、粮食领域专项巡察差旅费增加。</w:t>
      </w:r>
    </w:p>
    <w:p>
      <w:pPr>
        <w:pStyle w:val="9"/>
        <w:spacing w:before="0" w:beforeAutospacing="0" w:after="0" w:afterAutospacing="0" w:line="560" w:lineRule="exact"/>
        <w:ind w:firstLine="640" w:firstLineChars="200"/>
        <w:rPr>
          <w:rFonts w:hint="eastAsia" w:ascii="仿宋_GB2312" w:hAnsi="Calibri" w:eastAsia="仿宋_GB2312" w:cs="仿宋_GB2312"/>
          <w:color w:val="000000"/>
          <w:sz w:val="32"/>
          <w:szCs w:val="32"/>
        </w:rPr>
      </w:pPr>
      <w:r>
        <w:rPr>
          <w:rFonts w:ascii="仿宋_GB2312" w:eastAsia="仿宋_GB2312" w:cs="仿宋_GB2312"/>
          <w:color w:val="000000"/>
          <w:sz w:val="32"/>
          <w:szCs w:val="32"/>
        </w:rPr>
        <w:sym w:font="Wingdings" w:char="F082"/>
      </w:r>
      <w:r>
        <w:rPr>
          <w:rFonts w:hint="eastAsia" w:ascii="仿宋_GB2312" w:eastAsia="仿宋_GB2312" w:cs="仿宋_GB2312"/>
          <w:color w:val="000000"/>
          <w:spacing w:val="-6"/>
          <w:sz w:val="32"/>
          <w:szCs w:val="32"/>
        </w:rPr>
        <w:t>支出预算安排情况：2021年一般公共服务支出</w:t>
      </w:r>
      <w:r>
        <w:rPr>
          <w:rFonts w:hint="eastAsia" w:ascii="仿宋_GB2312" w:eastAsia="仿宋_GB2312" w:cs="仿宋_GB2312"/>
          <w:color w:val="000000"/>
          <w:sz w:val="32"/>
          <w:szCs w:val="32"/>
        </w:rPr>
        <w:t>312.35</w:t>
      </w:r>
      <w:r>
        <w:rPr>
          <w:rFonts w:hint="eastAsia" w:ascii="仿宋_GB2312" w:eastAsia="仿宋_GB2312" w:cs="仿宋_GB2312"/>
          <w:color w:val="000000"/>
          <w:spacing w:val="-6"/>
          <w:sz w:val="32"/>
          <w:szCs w:val="32"/>
        </w:rPr>
        <w:t>万</w:t>
      </w:r>
      <w:r>
        <w:rPr>
          <w:rFonts w:hint="eastAsia" w:ascii="仿宋_GB2312" w:eastAsia="仿宋_GB2312" w:cs="仿宋_GB2312"/>
          <w:color w:val="000000"/>
          <w:sz w:val="32"/>
          <w:szCs w:val="32"/>
        </w:rPr>
        <w:t>，执行</w:t>
      </w:r>
      <w:r>
        <w:rPr>
          <w:rFonts w:hint="eastAsia" w:ascii="仿宋_GB2312" w:hAnsi="Calibri" w:eastAsia="仿宋_GB2312" w:cs="仿宋_GB2312"/>
          <w:color w:val="000000"/>
          <w:sz w:val="32"/>
          <w:szCs w:val="32"/>
        </w:rPr>
        <w:t>数395.87万元主要因为工资福利增加、粮食领域专项巡察差旅费增加。</w:t>
      </w:r>
    </w:p>
    <w:p>
      <w:pPr>
        <w:pStyle w:val="9"/>
        <w:spacing w:before="0" w:beforeAutospacing="0" w:after="0" w:afterAutospacing="0"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③2021年基本支出预算安排情况说明：人员经费预算数171.81万元，执行数228.49万元，超56.68万</w:t>
      </w:r>
      <w:r>
        <w:rPr>
          <w:rFonts w:hint="eastAsia" w:eastAsia="仿宋_GB2312"/>
          <w:sz w:val="32"/>
          <w:szCs w:val="32"/>
        </w:rPr>
        <w:t>元，主要因</w:t>
      </w:r>
      <w:r>
        <w:rPr>
          <w:rFonts w:eastAsia="仿宋_GB2312"/>
          <w:sz w:val="32"/>
          <w:szCs w:val="32"/>
        </w:rPr>
        <w:t>为</w:t>
      </w:r>
      <w:r>
        <w:rPr>
          <w:rFonts w:hint="eastAsia" w:eastAsia="仿宋_GB2312"/>
          <w:sz w:val="32"/>
          <w:szCs w:val="32"/>
        </w:rPr>
        <w:t>增加事业编人员，工资福利增加等；</w:t>
      </w:r>
      <w:r>
        <w:rPr>
          <w:rFonts w:hint="eastAsia" w:ascii="仿宋_GB2312" w:eastAsia="仿宋_GB2312" w:cs="仿宋_GB2312"/>
          <w:color w:val="000000"/>
          <w:sz w:val="32"/>
          <w:szCs w:val="32"/>
        </w:rPr>
        <w:t>公共运行经费预算数42.5万元，执行数55.96万元，超13.46万元，主要原因是加大了巡察力度，增加相关运行开支。</w:t>
      </w:r>
    </w:p>
    <w:p>
      <w:pPr>
        <w:pStyle w:val="24"/>
        <w:spacing w:line="560" w:lineRule="exact"/>
        <w:ind w:firstLine="643" w:firstLineChars="200"/>
        <w:rPr>
          <w:rFonts w:hint="eastAsia" w:ascii="楷体" w:eastAsia="楷体" w:cs="楷体"/>
          <w:b/>
          <w:sz w:val="32"/>
          <w:szCs w:val="32"/>
        </w:rPr>
      </w:pPr>
      <w:r>
        <w:rPr>
          <w:rFonts w:hint="eastAsia" w:ascii="楷体" w:eastAsia="楷体" w:cs="楷体"/>
          <w:b/>
          <w:sz w:val="32"/>
          <w:szCs w:val="32"/>
        </w:rPr>
        <w:t>（三）“三公经费”</w:t>
      </w:r>
    </w:p>
    <w:p>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“三公”经费支出情况：2021年“三公”经费支出7.88万元，同比降低12%。其中公务用车运行维护费支出5.07万元，同比下降9%，主要原因是厉行节约。公务接待费支出</w:t>
      </w:r>
      <w:r>
        <w:rPr>
          <w:rFonts w:hint="eastAsia" w:ascii="仿宋_GB2312" w:eastAsia="仿宋_GB2312" w:cs="仿宋_GB2312"/>
          <w:color w:val="000000"/>
          <w:sz w:val="32"/>
          <w:szCs w:val="32"/>
          <w:shd w:val="solid" w:color="FFFFFF" w:fill="FFFFFF"/>
        </w:rPr>
        <w:t>2.81</w:t>
      </w:r>
      <w:r>
        <w:rPr>
          <w:rFonts w:hint="eastAsia" w:ascii="仿宋_GB2312" w:eastAsia="仿宋_GB2312" w:cs="仿宋_GB2312"/>
          <w:color w:val="000000"/>
          <w:sz w:val="32"/>
          <w:szCs w:val="32"/>
        </w:rPr>
        <w:t>万元，同比下降18%，主要原因是厉行节约。无出国出境费。</w:t>
      </w:r>
    </w:p>
    <w:p>
      <w:pPr>
        <w:pStyle w:val="9"/>
        <w:spacing w:before="0" w:beforeAutospacing="0" w:after="0" w:afterAutospacing="0" w:line="560" w:lineRule="exact"/>
        <w:ind w:firstLine="643" w:firstLineChars="200"/>
        <w:rPr>
          <w:rFonts w:hint="eastAsia" w:ascii="仿宋_GB2312" w:eastAsia="仿宋_GB2312" w:cs="仿宋_GB2312"/>
          <w:b/>
          <w:bCs/>
          <w:color w:val="000000"/>
          <w:sz w:val="32"/>
          <w:szCs w:val="32"/>
        </w:rPr>
      </w:pPr>
      <w:r>
        <w:rPr>
          <w:rFonts w:hint="eastAsia" w:ascii="楷体" w:eastAsia="楷体" w:cs="楷体"/>
          <w:b/>
          <w:color w:val="000000"/>
          <w:sz w:val="32"/>
          <w:szCs w:val="32"/>
        </w:rPr>
        <w:t>（四）年末结转和结余</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2021年当期经费结余为0万元，累计经费结余0万元。</w:t>
      </w:r>
    </w:p>
    <w:p>
      <w:pPr>
        <w:pStyle w:val="9"/>
        <w:spacing w:before="0" w:beforeAutospacing="0" w:after="0" w:afterAutospacing="0" w:line="560" w:lineRule="exact"/>
        <w:ind w:firstLine="640" w:firstLineChars="200"/>
        <w:jc w:val="both"/>
        <w:rPr>
          <w:rFonts w:hint="eastAsia" w:ascii="黑体" w:eastAsia="黑体" w:cs="黑体"/>
          <w:color w:val="000000"/>
          <w:sz w:val="32"/>
          <w:szCs w:val="32"/>
        </w:rPr>
      </w:pPr>
      <w:r>
        <w:rPr>
          <w:rFonts w:hint="eastAsia" w:ascii="黑体" w:eastAsia="黑体" w:cs="黑体"/>
          <w:color w:val="000000"/>
          <w:sz w:val="32"/>
          <w:szCs w:val="32"/>
        </w:rPr>
        <w:t>二、绩效评价工作组织实施情况</w:t>
      </w:r>
    </w:p>
    <w:p>
      <w:pPr>
        <w:pStyle w:val="9"/>
        <w:spacing w:before="0" w:beforeAutospacing="0" w:after="0" w:afterAutospacing="0" w:line="560" w:lineRule="exact"/>
        <w:ind w:firstLine="640" w:firstLineChars="20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评估程序。成立机关绩效评估工作领导小组，由分管机关工作的副主任任组长，办公室主任任副组长，办公室成员为成员。评估评分采取各委办总结自评，评估小组初评，主任会议复评审定的方式进行。绩效评估由委办提供依据和相关文字材料。</w:t>
      </w:r>
    </w:p>
    <w:p>
      <w:pPr>
        <w:pStyle w:val="9"/>
        <w:spacing w:before="0" w:beforeAutospacing="0" w:after="0" w:afterAutospacing="0" w:line="560" w:lineRule="exact"/>
        <w:ind w:firstLine="640" w:firstLineChars="200"/>
        <w:jc w:val="both"/>
        <w:rPr>
          <w:rFonts w:hint="eastAsia" w:ascii="黑体" w:eastAsia="黑体" w:cs="黑体"/>
          <w:color w:val="000000"/>
          <w:sz w:val="32"/>
          <w:szCs w:val="32"/>
        </w:rPr>
      </w:pPr>
      <w:r>
        <w:rPr>
          <w:rFonts w:hint="eastAsia" w:ascii="黑体" w:eastAsia="黑体" w:cs="黑体"/>
          <w:color w:val="000000"/>
          <w:sz w:val="32"/>
          <w:szCs w:val="32"/>
        </w:rPr>
        <w:t>三、部门整体支出绩效完成情况</w:t>
      </w:r>
    </w:p>
    <w:p>
      <w:pPr>
        <w:pStyle w:val="9"/>
        <w:spacing w:before="0" w:beforeAutospacing="0" w:after="0" w:afterAutospacing="0" w:line="560" w:lineRule="exact"/>
        <w:ind w:firstLine="640" w:firstLineChars="20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2021年，中共蓝山县委巡察工作领导小组办公室积极履行工作职能，不断加强自身建设，各项工作取得了新的进步。</w:t>
      </w:r>
    </w:p>
    <w:p>
      <w:pPr>
        <w:spacing w:line="560" w:lineRule="exact"/>
        <w:ind w:firstLine="643" w:firstLineChars="200"/>
        <w:rPr>
          <w:rFonts w:hint="eastAsia" w:ascii="仿宋_GB2312" w:eastAsia="仿宋_GB2312" w:cs="仿宋_GB2312"/>
          <w:color w:val="000000"/>
          <w:sz w:val="32"/>
          <w:szCs w:val="32"/>
        </w:rPr>
      </w:pPr>
      <w:r>
        <w:rPr>
          <w:rFonts w:hint="eastAsia" w:ascii="仿宋_GB2312" w:eastAsia="仿宋_GB2312" w:cs="仿宋_GB2312"/>
          <w:b/>
          <w:bCs/>
          <w:color w:val="000000"/>
          <w:sz w:val="32"/>
          <w:szCs w:val="32"/>
        </w:rPr>
        <w:t>1.自觉坚持党的领导。</w:t>
      </w:r>
      <w:r>
        <w:rPr>
          <w:rFonts w:hint="eastAsia" w:ascii="仿宋_GB2312" w:eastAsia="仿宋_GB2312" w:cs="仿宋_GB2312"/>
          <w:color w:val="000000"/>
          <w:sz w:val="32"/>
          <w:szCs w:val="32"/>
        </w:rPr>
        <w:t>严守政治纪律和政治规矩，切实增强政治意识、大局意识、核心意识、看齐意识，</w:t>
      </w:r>
      <w:r>
        <w:rPr>
          <w:rFonts w:hint="eastAsia" w:ascii="仿宋_GB2312" w:eastAsia="仿宋_GB2312" w:cs="仿宋_GB2312"/>
          <w:color w:val="000000"/>
          <w:sz w:val="32"/>
          <w:szCs w:val="32"/>
          <w:shd w:val="clear" w:color="auto" w:fill="FFFFFF"/>
        </w:rPr>
        <w:t>紧扣党的“六大纪律”，把纪律建设摆在更加突出的重要位置，积极开展党风廉政教育，严格落实各项党内制度，加强和规范</w:t>
      </w:r>
      <w:r>
        <w:rPr>
          <w:rFonts w:hint="eastAsia" w:ascii="仿宋_GB2312" w:eastAsia="仿宋_GB2312" w:cs="仿宋_GB2312"/>
          <w:color w:val="000000"/>
          <w:sz w:val="32"/>
          <w:szCs w:val="32"/>
        </w:rPr>
        <w:t>党内政治生活，强化党内监督和人民群众</w:t>
      </w:r>
      <w:r>
        <w:rPr>
          <w:rFonts w:hint="eastAsia" w:ascii="仿宋_GB2312" w:eastAsia="仿宋_GB2312" w:cs="仿宋_GB2312"/>
          <w:color w:val="000000"/>
          <w:sz w:val="32"/>
          <w:szCs w:val="32"/>
          <w:shd w:val="clear" w:color="auto" w:fill="FFFFFF"/>
        </w:rPr>
        <w:t>监督，保证全体党员发挥先锋模范作用，保证领导干部忠诚干净担当。加强党组向县委报告工作，在党的领导下，积极行权，认真履职。</w:t>
      </w:r>
    </w:p>
    <w:p>
      <w:pPr>
        <w:spacing w:line="560" w:lineRule="exact"/>
        <w:ind w:firstLine="643" w:firstLineChars="200"/>
        <w:rPr>
          <w:rFonts w:hint="eastAsia" w:ascii="仿宋_GB2312" w:eastAsia="仿宋_GB2312" w:cs="仿宋_GB2312"/>
          <w:color w:val="000000"/>
          <w:sz w:val="32"/>
          <w:szCs w:val="32"/>
        </w:rPr>
      </w:pPr>
      <w:r>
        <w:rPr>
          <w:rFonts w:hint="eastAsia" w:ascii="仿宋_GB2312" w:eastAsia="仿宋_GB2312" w:cs="仿宋_GB2312"/>
          <w:b/>
          <w:bCs/>
          <w:color w:val="000000"/>
          <w:sz w:val="32"/>
          <w:szCs w:val="32"/>
        </w:rPr>
        <w:t>2.依法履行巡察工作。</w:t>
      </w:r>
      <w:r>
        <w:rPr>
          <w:rFonts w:hint="eastAsia" w:ascii="仿宋_GB2312" w:eastAsia="仿宋_GB2312" w:cs="仿宋_GB2312"/>
          <w:color w:val="000000"/>
          <w:sz w:val="32"/>
          <w:szCs w:val="32"/>
        </w:rPr>
        <w:t>一是</w:t>
      </w:r>
      <w:r>
        <w:rPr>
          <w:rFonts w:hint="eastAsia" w:ascii="仿宋_GB2312" w:eastAsia="仿宋_GB2312" w:cs="仿宋_GB2312"/>
          <w:color w:val="000000"/>
          <w:sz w:val="32"/>
          <w:szCs w:val="32"/>
          <w:shd w:val="clear" w:color="auto" w:fill="FFFFFF"/>
        </w:rPr>
        <w:t>做好常规巡察工作，二是配合省委、市委做好专项巡视巡察工作，三是做好县委及县委巡察工作领导小组安排部署的专项巡察工作四是抓好各级巡视巡察整改工作。</w:t>
      </w:r>
    </w:p>
    <w:p>
      <w:pPr>
        <w:pStyle w:val="9"/>
        <w:spacing w:before="0" w:beforeAutospacing="0" w:after="0" w:afterAutospacing="0" w:line="560" w:lineRule="exact"/>
        <w:ind w:firstLine="643" w:firstLineChars="200"/>
        <w:jc w:val="both"/>
        <w:rPr>
          <w:rFonts w:hint="eastAsia" w:ascii="仿宋_GB2312" w:eastAsia="仿宋_GB2312" w:cs="仿宋_GB2312"/>
          <w:color w:val="000000"/>
          <w:sz w:val="32"/>
          <w:szCs w:val="32"/>
        </w:rPr>
      </w:pPr>
      <w:r>
        <w:rPr>
          <w:rFonts w:hint="eastAsia" w:ascii="仿宋_GB2312" w:eastAsia="仿宋_GB2312" w:cs="仿宋_GB2312"/>
          <w:b/>
          <w:bCs/>
          <w:color w:val="000000"/>
          <w:kern w:val="2"/>
          <w:sz w:val="32"/>
          <w:szCs w:val="32"/>
        </w:rPr>
        <w:t>3</w:t>
      </w:r>
      <w:r>
        <w:rPr>
          <w:rFonts w:hint="eastAsia" w:ascii="仿宋_GB2312" w:eastAsia="仿宋_GB2312" w:cs="仿宋_GB2312"/>
          <w:b/>
          <w:bCs/>
          <w:color w:val="000000"/>
          <w:sz w:val="32"/>
          <w:szCs w:val="32"/>
        </w:rPr>
        <w:t>.</w:t>
      </w:r>
      <w:r>
        <w:rPr>
          <w:rFonts w:hint="eastAsia" w:ascii="仿宋_GB2312" w:eastAsia="仿宋_GB2312" w:cs="仿宋_GB2312"/>
          <w:b/>
          <w:bCs/>
          <w:color w:val="000000"/>
          <w:kern w:val="2"/>
          <w:sz w:val="32"/>
          <w:szCs w:val="32"/>
        </w:rPr>
        <w:t>积极参与中心工作。</w:t>
      </w:r>
      <w:r>
        <w:rPr>
          <w:rFonts w:hint="eastAsia" w:ascii="仿宋_GB2312" w:eastAsia="仿宋_GB2312" w:cs="仿宋_GB2312"/>
          <w:color w:val="000000"/>
          <w:sz w:val="32"/>
          <w:szCs w:val="32"/>
        </w:rPr>
        <w:t>对于县委县政府及县纪委、监委交办的中心工作，积极履职，确保工作落到实处，收到实效。</w:t>
      </w:r>
    </w:p>
    <w:p>
      <w:pPr>
        <w:pStyle w:val="9"/>
        <w:spacing w:before="0" w:beforeAutospacing="0" w:after="0" w:afterAutospacing="0" w:line="560" w:lineRule="exact"/>
        <w:ind w:firstLine="640" w:firstLineChars="200"/>
        <w:jc w:val="both"/>
        <w:rPr>
          <w:rFonts w:hint="eastAsia" w:ascii="黑体" w:eastAsia="黑体" w:cs="黑体"/>
          <w:color w:val="000000"/>
          <w:sz w:val="32"/>
          <w:szCs w:val="32"/>
        </w:rPr>
      </w:pPr>
      <w:r>
        <w:rPr>
          <w:rFonts w:hint="eastAsia" w:ascii="黑体" w:eastAsia="黑体" w:cs="黑体"/>
          <w:color w:val="000000"/>
          <w:sz w:val="32"/>
          <w:szCs w:val="32"/>
        </w:rPr>
        <w:t>四、改进措施和有关建议</w:t>
      </w:r>
    </w:p>
    <w:p>
      <w:pPr>
        <w:pStyle w:val="9"/>
        <w:spacing w:before="0" w:beforeAutospacing="0" w:after="0" w:afterAutospacing="0" w:line="560" w:lineRule="exact"/>
        <w:ind w:firstLine="643" w:firstLineChars="200"/>
        <w:jc w:val="both"/>
        <w:rPr>
          <w:rFonts w:hint="eastAsia" w:ascii="仿宋_GB2312" w:eastAsia="仿宋_GB2312" w:cs="仿宋_GB2312"/>
          <w:color w:val="000000"/>
          <w:sz w:val="32"/>
          <w:szCs w:val="32"/>
        </w:rPr>
      </w:pPr>
      <w:r>
        <w:rPr>
          <w:rFonts w:hint="eastAsia" w:ascii="仿宋_GB2312" w:eastAsia="仿宋_GB2312" w:cs="仿宋_GB2312"/>
          <w:b/>
          <w:bCs/>
          <w:color w:val="000000"/>
          <w:sz w:val="32"/>
          <w:szCs w:val="32"/>
        </w:rPr>
        <w:t>（一）严格执行财务制度。</w:t>
      </w:r>
      <w:r>
        <w:rPr>
          <w:rFonts w:hint="eastAsia" w:ascii="仿宋_GB2312" w:eastAsia="仿宋_GB2312" w:cs="仿宋_GB2312"/>
          <w:color w:val="000000"/>
          <w:sz w:val="32"/>
          <w:szCs w:val="32"/>
        </w:rPr>
        <w:t>机关进一步建立健全财务管理制度，办公室、各组认真对照机关财务管理制度，严格执行并落实。</w:t>
      </w:r>
    </w:p>
    <w:p>
      <w:pPr>
        <w:pStyle w:val="9"/>
        <w:spacing w:before="0" w:beforeAutospacing="0" w:after="0" w:afterAutospacing="0" w:line="560" w:lineRule="exact"/>
        <w:ind w:firstLine="643" w:firstLineChars="200"/>
        <w:jc w:val="both"/>
        <w:rPr>
          <w:rFonts w:hint="eastAsia" w:ascii="仿宋_GB2312" w:eastAsia="仿宋_GB2312" w:cs="仿宋_GB2312"/>
          <w:color w:val="000000"/>
          <w:sz w:val="32"/>
          <w:szCs w:val="32"/>
        </w:rPr>
      </w:pPr>
      <w:r>
        <w:rPr>
          <w:rFonts w:hint="eastAsia" w:ascii="仿宋_GB2312" w:eastAsia="仿宋_GB2312" w:cs="仿宋_GB2312"/>
          <w:b/>
          <w:bCs/>
          <w:color w:val="000000"/>
          <w:sz w:val="32"/>
          <w:szCs w:val="32"/>
        </w:rPr>
        <w:t>（二）完善财务审批制度。</w:t>
      </w:r>
      <w:r>
        <w:rPr>
          <w:rFonts w:hint="eastAsia" w:ascii="仿宋_GB2312" w:eastAsia="仿宋_GB2312" w:cs="仿宋_GB2312"/>
          <w:color w:val="000000"/>
          <w:sz w:val="32"/>
          <w:szCs w:val="32"/>
        </w:rPr>
        <w:t>办公室、各组、财务人员严格按照财务审批制度进行报账，并建立好相关台账，各类凭证要真实、规范。财务室需进行认真审核，剔除不合规的发票，对发票及金额进行严格把关。加强财务监督和管理，各类报账发票需经会审联签审核盖章后方能生效。</w:t>
      </w:r>
    </w:p>
    <w:p>
      <w:pPr>
        <w:pStyle w:val="9"/>
        <w:spacing w:before="0" w:beforeAutospacing="0" w:after="0" w:afterAutospacing="0" w:line="560" w:lineRule="exact"/>
        <w:ind w:firstLine="643" w:firstLineChars="200"/>
        <w:jc w:val="both"/>
        <w:rPr>
          <w:rFonts w:hint="eastAsia" w:ascii="仿宋_GB2312" w:eastAsia="仿宋_GB2312" w:cs="仿宋_GB2312"/>
          <w:color w:val="000000"/>
          <w:sz w:val="32"/>
          <w:szCs w:val="32"/>
        </w:rPr>
      </w:pPr>
      <w:r>
        <w:rPr>
          <w:rFonts w:hint="eastAsia" w:ascii="仿宋_GB2312" w:eastAsia="仿宋_GB2312" w:cs="仿宋_GB2312"/>
          <w:b/>
          <w:bCs/>
          <w:color w:val="000000"/>
          <w:sz w:val="32"/>
          <w:szCs w:val="32"/>
        </w:rPr>
        <w:t>（三）严格控制公务接待。</w:t>
      </w:r>
      <w:r>
        <w:rPr>
          <w:rFonts w:hint="eastAsia" w:ascii="仿宋_GB2312" w:eastAsia="仿宋_GB2312" w:cs="仿宋_GB2312"/>
          <w:color w:val="000000"/>
          <w:sz w:val="32"/>
          <w:szCs w:val="32"/>
        </w:rPr>
        <w:t>公务接待严格按照机关相关制度和中央省市有关精神执行，坚持公务接待审批程序，由办公室开具接待审批单，报相关领导审批后，安排在定点酒店接待，严格控制接待标准。</w:t>
      </w:r>
    </w:p>
    <w:p>
      <w:pPr>
        <w:pStyle w:val="9"/>
        <w:spacing w:before="0" w:beforeAutospacing="0" w:after="0" w:afterAutospacing="0" w:line="560" w:lineRule="exact"/>
        <w:ind w:firstLine="643" w:firstLineChars="200"/>
        <w:rPr>
          <w:rFonts w:hint="eastAsia" w:ascii="仿宋_GB2312" w:eastAsia="仿宋_GB2312" w:cs="仿宋_GB2312"/>
          <w:color w:val="000000"/>
          <w:sz w:val="32"/>
          <w:szCs w:val="32"/>
        </w:rPr>
      </w:pPr>
      <w:r>
        <w:rPr>
          <w:rFonts w:hint="eastAsia" w:ascii="仿宋_GB2312" w:eastAsia="仿宋_GB2312" w:cs="仿宋_GB2312"/>
          <w:b/>
          <w:bCs/>
          <w:color w:val="000000"/>
          <w:sz w:val="32"/>
          <w:szCs w:val="32"/>
        </w:rPr>
        <w:t>（四）加强车辆管理。</w:t>
      </w:r>
      <w:r>
        <w:rPr>
          <w:rFonts w:hint="eastAsia" w:ascii="仿宋_GB2312" w:eastAsia="仿宋_GB2312" w:cs="仿宋_GB2312"/>
          <w:color w:val="000000"/>
          <w:sz w:val="32"/>
          <w:szCs w:val="32"/>
        </w:rPr>
        <w:t>完善车辆报账程序，公车平台与办公室每月应在报账前统一时间进行里程数登记，建立台账，车辆充油、通行费、车辆维修等报账凭证需经分管领导签字核实再进行汇总报账。</w:t>
      </w:r>
    </w:p>
    <w:p>
      <w:pPr>
        <w:pStyle w:val="9"/>
        <w:spacing w:before="0" w:beforeAutospacing="0" w:after="0" w:afterAutospacing="0" w:line="560" w:lineRule="exact"/>
        <w:ind w:firstLine="643" w:firstLineChars="200"/>
        <w:rPr>
          <w:rFonts w:hint="eastAsia" w:ascii="仿宋_GB2312" w:eastAsia="仿宋_GB2312" w:cs="仿宋_GB2312"/>
          <w:color w:val="000000"/>
          <w:sz w:val="32"/>
          <w:szCs w:val="32"/>
        </w:rPr>
      </w:pPr>
      <w:r>
        <w:rPr>
          <w:rFonts w:hint="eastAsia" w:ascii="仿宋_GB2312" w:eastAsia="仿宋_GB2312" w:cs="仿宋_GB2312"/>
          <w:b/>
          <w:bCs/>
          <w:color w:val="000000"/>
          <w:sz w:val="32"/>
          <w:szCs w:val="32"/>
        </w:rPr>
        <w:t>（五）控制内务支出。</w:t>
      </w:r>
      <w:r>
        <w:rPr>
          <w:rFonts w:hint="eastAsia" w:ascii="仿宋_GB2312" w:eastAsia="仿宋_GB2312" w:cs="仿宋_GB2312"/>
          <w:color w:val="000000"/>
          <w:sz w:val="32"/>
          <w:szCs w:val="32"/>
        </w:rPr>
        <w:t>严格按照新文印管理办法执行，在指定文印室进行文件、材料印制。简单性文件尽可能由各办公室自行打印，减少开支。加强水电管理，下班后一律断水断电，避免浪费现象以及安全事故发生。</w:t>
      </w:r>
    </w:p>
    <w:p>
      <w:pPr>
        <w:tabs>
          <w:tab w:val="left" w:pos="0"/>
        </w:tabs>
        <w:spacing w:line="560" w:lineRule="exact"/>
        <w:ind w:firstLine="640" w:firstLineChars="200"/>
        <w:jc w:val="left"/>
        <w:rPr>
          <w:rFonts w:hint="eastAsia" w:ascii="黑体" w:eastAsia="黑体" w:cs="黑体"/>
          <w:bCs/>
          <w:color w:val="000000"/>
          <w:sz w:val="32"/>
          <w:szCs w:val="32"/>
        </w:rPr>
      </w:pPr>
      <w:r>
        <w:rPr>
          <w:rFonts w:hint="eastAsia" w:ascii="黑体" w:eastAsia="黑体" w:cs="黑体"/>
          <w:bCs/>
          <w:color w:val="000000"/>
          <w:sz w:val="32"/>
          <w:szCs w:val="32"/>
        </w:rPr>
        <w:t>七、今后努力的方向</w:t>
      </w:r>
    </w:p>
    <w:p>
      <w:pPr>
        <w:pStyle w:val="9"/>
        <w:spacing w:before="0" w:beforeAutospacing="0" w:after="0" w:afterAutospacing="0" w:line="560" w:lineRule="exact"/>
        <w:ind w:firstLine="640" w:firstLineChars="200"/>
        <w:jc w:val="both"/>
        <w:rPr>
          <w:rFonts w:hint="eastAsia" w:ascii="仿宋_GB2312" w:eastAsia="仿宋_GB2312" w:cs="仿宋_GB2312"/>
          <w:color w:val="000000"/>
          <w:sz w:val="32"/>
          <w:szCs w:val="32"/>
        </w:rPr>
      </w:pPr>
      <w:r>
        <w:rPr>
          <w:rFonts w:hint="eastAsia" w:ascii="楷体_GB2312" w:eastAsia="楷体_GB2312" w:cs="楷体_GB2312"/>
          <w:color w:val="000000"/>
          <w:sz w:val="32"/>
          <w:szCs w:val="32"/>
        </w:rPr>
        <w:t>一是注意严控支出。</w:t>
      </w:r>
      <w:r>
        <w:rPr>
          <w:rFonts w:hint="eastAsia" w:ascii="仿宋_GB2312" w:eastAsia="仿宋_GB2312" w:cs="仿宋_GB2312"/>
          <w:color w:val="000000"/>
          <w:sz w:val="32"/>
          <w:szCs w:val="32"/>
        </w:rPr>
        <w:t>防止一些经常性支出项目增幅过快。</w:t>
      </w:r>
    </w:p>
    <w:p>
      <w:pPr>
        <w:pStyle w:val="9"/>
        <w:spacing w:before="0" w:beforeAutospacing="0" w:after="0" w:afterAutospacing="0" w:line="560" w:lineRule="exact"/>
        <w:ind w:firstLine="640" w:firstLineChars="200"/>
        <w:jc w:val="both"/>
        <w:rPr>
          <w:rFonts w:hint="eastAsia" w:ascii="仿宋_GB2312" w:eastAsia="仿宋_GB2312" w:cs="仿宋_GB2312"/>
          <w:color w:val="000000"/>
          <w:sz w:val="32"/>
          <w:szCs w:val="32"/>
        </w:rPr>
      </w:pPr>
      <w:r>
        <w:rPr>
          <w:rFonts w:hint="eastAsia" w:ascii="楷体_GB2312" w:eastAsia="楷体_GB2312" w:cs="楷体_GB2312"/>
          <w:color w:val="000000"/>
          <w:sz w:val="32"/>
          <w:szCs w:val="32"/>
        </w:rPr>
        <w:t>二是坚持厉行节约。</w:t>
      </w:r>
      <w:r>
        <w:rPr>
          <w:rFonts w:hint="eastAsia" w:ascii="仿宋_GB2312" w:eastAsia="仿宋_GB2312" w:cs="仿宋_GB2312"/>
          <w:color w:val="000000"/>
          <w:sz w:val="32"/>
          <w:szCs w:val="32"/>
        </w:rPr>
        <w:t>机关的一切公务活动，要严格依规办事和操作，不讲排场，不比阔气。</w:t>
      </w:r>
    </w:p>
    <w:p>
      <w:pPr>
        <w:pStyle w:val="9"/>
        <w:spacing w:before="0" w:beforeAutospacing="0" w:after="0" w:afterAutospacing="0" w:line="560" w:lineRule="exact"/>
        <w:ind w:firstLine="640" w:firstLineChars="200"/>
        <w:jc w:val="both"/>
        <w:rPr>
          <w:rFonts w:hint="eastAsia" w:ascii="仿宋_GB2312" w:eastAsia="仿宋_GB2312" w:cs="仿宋_GB2312"/>
          <w:color w:val="000000"/>
          <w:sz w:val="32"/>
          <w:szCs w:val="32"/>
        </w:rPr>
      </w:pPr>
      <w:r>
        <w:rPr>
          <w:rFonts w:hint="eastAsia" w:ascii="楷体_GB2312" w:eastAsia="楷体_GB2312" w:cs="楷体_GB2312"/>
          <w:color w:val="000000"/>
          <w:sz w:val="32"/>
          <w:szCs w:val="32"/>
        </w:rPr>
        <w:t>三是完善相关制度。</w:t>
      </w:r>
      <w:r>
        <w:rPr>
          <w:rFonts w:hint="eastAsia" w:ascii="仿宋_GB2312" w:eastAsia="仿宋_GB2312" w:cs="仿宋_GB2312"/>
          <w:color w:val="000000"/>
          <w:sz w:val="32"/>
          <w:szCs w:val="32"/>
        </w:rPr>
        <w:t>进一步完善机关财务管理相关制度，确保实现"三公"经费在去年的基础上有所下降的目标。</w:t>
      </w: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sectPr>
      <w:headerReference r:id="rId3" w:type="default"/>
      <w:footerReference r:id="rId4" w:type="default"/>
      <w:footerReference r:id="rId5" w:type="even"/>
      <w:pgSz w:w="11905" w:h="16837"/>
      <w:pgMar w:top="1418" w:right="1588" w:bottom="1418" w:left="1588" w:header="720" w:footer="1701" w:gutter="0"/>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914B6B1-0C52-4CF3-AE43-94830425208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3D1D090-B264-43A6-8FED-3A0FF5A847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68EDE70-CD07-4AA5-9403-28E8FD316AF1}"/>
  </w:font>
  <w:font w:name="楷体_GB2312">
    <w:altName w:val="楷体"/>
    <w:panose1 w:val="02010609030101010101"/>
    <w:charset w:val="86"/>
    <w:family w:val="modern"/>
    <w:pitch w:val="default"/>
    <w:sig w:usb0="00000001" w:usb1="080E0000" w:usb2="00000010" w:usb3="00000000" w:csb0="00040000" w:csb1="00000000"/>
    <w:embedRegular r:id="rId4" w:fontKey="{F752D0FB-E0B0-473D-9D8B-E543D92166BB}"/>
  </w:font>
  <w:font w:name="仿宋_GB2312">
    <w:altName w:val="仿宋"/>
    <w:panose1 w:val="02010609030101010101"/>
    <w:charset w:val="86"/>
    <w:family w:val="modern"/>
    <w:pitch w:val="default"/>
    <w:sig w:usb0="00000001" w:usb1="080E0000" w:usb2="00000000" w:usb3="00000000" w:csb0="00040000" w:csb1="00000000"/>
    <w:embedRegular r:id="rId5" w:fontKey="{3C9426B8-D8D4-4CE5-9B6E-35F114A1A9E3}"/>
  </w:font>
  <w:font w:name="方正小标宋_GBK">
    <w:altName w:val="微软雅黑"/>
    <w:panose1 w:val="00000000000000000000"/>
    <w:charset w:val="86"/>
    <w:family w:val="script"/>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___WRD_EMBED_SUB_41">
    <w:altName w:val="宋体"/>
    <w:panose1 w:val="02010609030101010101"/>
    <w:charset w:val="86"/>
    <w:family w:val="modern"/>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6" w:fontKey="{019ECD97-5BF4-45C2-A5DB-C23B347495A0}"/>
  </w:font>
  <w:font w:name="楷体">
    <w:panose1 w:val="02010609060101010101"/>
    <w:charset w:val="86"/>
    <w:family w:val="auto"/>
    <w:pitch w:val="default"/>
    <w:sig w:usb0="800002BF" w:usb1="38CF7CFA" w:usb2="00000016" w:usb3="00000000" w:csb0="00040001" w:csb1="00000000"/>
    <w:embedRegular r:id="rId7" w:fontKey="{C0226180-132E-4217-A54E-29694F680D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80" w:firstLine="360"/>
      <w:jc w:val="right"/>
      <w:rPr>
        <w:rFonts w:hint="eastAsia" w:ascii="宋体" w:hAnsi="宋体"/>
        <w:sz w:val="28"/>
        <w:szCs w:val="28"/>
      </w:rPr>
    </w:pPr>
    <w:r>
      <w:rPr>
        <w:rStyle w:val="14"/>
        <w:rFonts w:hint="eastAsia" w:ascii="宋体" w:hAnsi="宋体"/>
        <w:sz w:val="28"/>
        <w:szCs w:val="28"/>
      </w:rPr>
      <w:t>—</w:t>
    </w:r>
    <w:r>
      <w:rPr>
        <w:rFonts w:ascii="宋体" w:hAnsi="宋体"/>
        <w:sz w:val="28"/>
        <w:szCs w:val="28"/>
      </w:rPr>
      <w:fldChar w:fldCharType="begin"/>
    </w:r>
    <w:r>
      <w:rPr>
        <w:rStyle w:val="14"/>
        <w:rFonts w:ascii="宋体" w:hAnsi="宋体"/>
        <w:sz w:val="28"/>
        <w:szCs w:val="28"/>
      </w:rPr>
      <w:instrText xml:space="preserve"> PAGE </w:instrText>
    </w:r>
    <w:r>
      <w:rPr>
        <w:rFonts w:ascii="宋体" w:hAnsi="宋体"/>
        <w:sz w:val="28"/>
        <w:szCs w:val="28"/>
      </w:rPr>
      <w:fldChar w:fldCharType="separate"/>
    </w:r>
    <w:r>
      <w:rPr>
        <w:rStyle w:val="14"/>
        <w:rFonts w:ascii="宋体" w:hAnsi="宋体"/>
        <w:sz w:val="28"/>
        <w:szCs w:val="28"/>
        <w:lang/>
      </w:rPr>
      <w:t>9</w:t>
    </w:r>
    <w:r>
      <w:rPr>
        <w:rFonts w:ascii="宋体" w:hAnsi="宋体"/>
        <w:sz w:val="28"/>
        <w:szCs w:val="28"/>
      </w:rPr>
      <w:fldChar w:fldCharType="end"/>
    </w:r>
    <w:r>
      <w:rPr>
        <w:rStyle w:val="14"/>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280" w:firstLineChars="100"/>
      <w:rPr>
        <w:rFonts w:hint="eastAsia" w:ascii="宋体" w:hAnsi="宋体"/>
        <w:sz w:val="28"/>
        <w:szCs w:val="28"/>
      </w:rPr>
    </w:pPr>
    <w:r>
      <w:rPr>
        <w:rStyle w:val="14"/>
        <w:rFonts w:hint="eastAsia" w:ascii="宋体" w:hAnsi="宋体"/>
        <w:sz w:val="28"/>
        <w:szCs w:val="28"/>
      </w:rPr>
      <w:t>—</w:t>
    </w:r>
    <w:r>
      <w:rPr>
        <w:rFonts w:ascii="宋体" w:hAnsi="宋体"/>
        <w:sz w:val="28"/>
        <w:szCs w:val="28"/>
      </w:rPr>
      <w:fldChar w:fldCharType="begin"/>
    </w:r>
    <w:r>
      <w:rPr>
        <w:rStyle w:val="14"/>
        <w:rFonts w:ascii="宋体" w:hAnsi="宋体"/>
        <w:sz w:val="28"/>
        <w:szCs w:val="28"/>
      </w:rPr>
      <w:instrText xml:space="preserve"> PAGE </w:instrText>
    </w:r>
    <w:r>
      <w:rPr>
        <w:rFonts w:ascii="宋体" w:hAnsi="宋体"/>
        <w:sz w:val="28"/>
        <w:szCs w:val="28"/>
      </w:rPr>
      <w:fldChar w:fldCharType="separate"/>
    </w:r>
    <w:r>
      <w:rPr>
        <w:rStyle w:val="14"/>
        <w:rFonts w:ascii="宋体" w:hAnsi="宋体"/>
        <w:sz w:val="28"/>
        <w:szCs w:val="28"/>
        <w:lang/>
      </w:rPr>
      <w:t>2</w:t>
    </w:r>
    <w:r>
      <w:rPr>
        <w:rFonts w:ascii="宋体" w:hAnsi="宋体"/>
        <w:sz w:val="28"/>
        <w:szCs w:val="28"/>
      </w:rPr>
      <w:fldChar w:fldCharType="end"/>
    </w:r>
    <w:r>
      <w:rPr>
        <w:rStyle w:val="14"/>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NWQ2MDVmZDhmNmQ1NTQ3ZmQxOTAwMmZiOTE3NDQifQ=="/>
  </w:docVars>
  <w:rsids>
    <w:rsidRoot w:val="00484B88"/>
    <w:rsid w:val="00103E94"/>
    <w:rsid w:val="003D7093"/>
    <w:rsid w:val="00484B88"/>
    <w:rsid w:val="004B5E06"/>
    <w:rsid w:val="004E5A1A"/>
    <w:rsid w:val="0068323F"/>
    <w:rsid w:val="006E5481"/>
    <w:rsid w:val="0082269E"/>
    <w:rsid w:val="00830834"/>
    <w:rsid w:val="009C7E75"/>
    <w:rsid w:val="00A275B6"/>
    <w:rsid w:val="00BE388A"/>
    <w:rsid w:val="00DC6A69"/>
    <w:rsid w:val="00FE40A6"/>
    <w:rsid w:val="103F008D"/>
    <w:rsid w:val="12602774"/>
    <w:rsid w:val="1C0749EB"/>
    <w:rsid w:val="1E66366C"/>
    <w:rsid w:val="221D71C0"/>
    <w:rsid w:val="23BE67FD"/>
    <w:rsid w:val="2E4B4D9E"/>
    <w:rsid w:val="3519672B"/>
    <w:rsid w:val="3A9674DA"/>
    <w:rsid w:val="45B23B60"/>
    <w:rsid w:val="4A402707"/>
    <w:rsid w:val="511F77AB"/>
    <w:rsid w:val="55910A25"/>
    <w:rsid w:val="56C04098"/>
    <w:rsid w:val="592316F1"/>
    <w:rsid w:val="5EAD0AA6"/>
    <w:rsid w:val="6663483B"/>
    <w:rsid w:val="768D537D"/>
    <w:rsid w:val="76A96B4A"/>
    <w:rsid w:val="7F4513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3">
    <w:name w:val="Default Paragraph Font"/>
    <w:unhideWhenUsed/>
    <w:uiPriority w:val="1"/>
  </w:style>
  <w:style w:type="table" w:default="1" w:styleId="12">
    <w:name w:val="Normal Table"/>
    <w:unhideWhenUsed/>
    <w:qFormat/>
    <w:uiPriority w:val="99"/>
    <w:tblPr>
      <w:tblStyle w:val="12"/>
      <w:tblCellMar>
        <w:top w:w="0" w:type="dxa"/>
        <w:left w:w="108" w:type="dxa"/>
        <w:bottom w:w="0" w:type="dxa"/>
        <w:right w:w="108" w:type="dxa"/>
      </w:tblCellMar>
    </w:tblPr>
  </w:style>
  <w:style w:type="paragraph" w:styleId="2">
    <w:name w:val="Body Text"/>
    <w:basedOn w:val="1"/>
    <w:next w:val="3"/>
    <w:link w:val="16"/>
    <w:uiPriority w:val="0"/>
    <w:pPr>
      <w:spacing w:after="120"/>
    </w:p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annotation text"/>
    <w:basedOn w:val="1"/>
    <w:link w:val="17"/>
    <w:unhideWhenUsed/>
    <w:uiPriority w:val="99"/>
    <w:pPr>
      <w:jc w:val="left"/>
    </w:pPr>
  </w:style>
  <w:style w:type="paragraph" w:styleId="5">
    <w:name w:val="Body Text Indent"/>
    <w:basedOn w:val="1"/>
    <w:link w:val="18"/>
    <w:unhideWhenUsed/>
    <w:uiPriority w:val="99"/>
    <w:pPr>
      <w:spacing w:after="120"/>
      <w:ind w:left="420" w:leftChars="200"/>
    </w:pPr>
  </w:style>
  <w:style w:type="paragraph" w:styleId="6">
    <w:name w:val="Balloon Text"/>
    <w:basedOn w:val="1"/>
    <w:link w:val="19"/>
    <w:semiHidden/>
    <w:uiPriority w:val="99"/>
    <w:rPr>
      <w:sz w:val="18"/>
      <w:szCs w:val="18"/>
    </w:rPr>
  </w:style>
  <w:style w:type="paragraph" w:styleId="7">
    <w:name w:val="footer"/>
    <w:basedOn w:val="1"/>
    <w:link w:val="20"/>
    <w:unhideWhenUsed/>
    <w:uiPriority w:val="99"/>
    <w:pPr>
      <w:tabs>
        <w:tab w:val="center" w:pos="4153"/>
        <w:tab w:val="right" w:pos="8306"/>
      </w:tabs>
      <w:snapToGrid w:val="0"/>
      <w:jc w:val="left"/>
    </w:pPr>
    <w:rPr>
      <w:sz w:val="18"/>
      <w:szCs w:val="18"/>
    </w:rPr>
  </w:style>
  <w:style w:type="paragraph" w:styleId="8">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pacing w:before="100" w:beforeAutospacing="1" w:after="100" w:afterAutospacing="1"/>
      <w:ind w:left="0" w:right="0"/>
      <w:jc w:val="left"/>
    </w:pPr>
    <w:rPr>
      <w:kern w:val="0"/>
      <w:sz w:val="24"/>
      <w:lang w:val="en-US" w:eastAsia="zh-CN"/>
    </w:rPr>
  </w:style>
  <w:style w:type="paragraph" w:styleId="10">
    <w:name w:val="annotation subject"/>
    <w:basedOn w:val="4"/>
    <w:next w:val="4"/>
    <w:link w:val="22"/>
    <w:unhideWhenUsed/>
    <w:uiPriority w:val="99"/>
    <w:rPr>
      <w:b/>
      <w:bCs/>
    </w:rPr>
  </w:style>
  <w:style w:type="paragraph" w:styleId="11">
    <w:name w:val="Body Text First Indent 2"/>
    <w:basedOn w:val="5"/>
    <w:link w:val="23"/>
    <w:unhideWhenUsed/>
    <w:qFormat/>
    <w:uiPriority w:val="99"/>
    <w:pPr>
      <w:ind w:firstLine="420" w:firstLineChars="200"/>
    </w:pPr>
  </w:style>
  <w:style w:type="character" w:styleId="14">
    <w:name w:val="page number"/>
    <w:basedOn w:val="13"/>
    <w:uiPriority w:val="0"/>
  </w:style>
  <w:style w:type="character" w:styleId="15">
    <w:name w:val="annotation reference"/>
    <w:unhideWhenUsed/>
    <w:uiPriority w:val="99"/>
    <w:rPr>
      <w:sz w:val="21"/>
      <w:szCs w:val="21"/>
    </w:rPr>
  </w:style>
  <w:style w:type="character" w:customStyle="1" w:styleId="16">
    <w:name w:val="正文文本 字符"/>
    <w:link w:val="2"/>
    <w:uiPriority w:val="0"/>
    <w:rPr>
      <w:rFonts w:ascii="Times New Roman" w:hAnsi="Times New Roman" w:eastAsia="宋体" w:cs="Times New Roman"/>
      <w:szCs w:val="24"/>
    </w:rPr>
  </w:style>
  <w:style w:type="character" w:customStyle="1" w:styleId="17">
    <w:name w:val="批注文字 字符"/>
    <w:link w:val="4"/>
    <w:uiPriority w:val="99"/>
    <w:rPr>
      <w:kern w:val="2"/>
      <w:sz w:val="21"/>
      <w:szCs w:val="24"/>
    </w:rPr>
  </w:style>
  <w:style w:type="character" w:customStyle="1" w:styleId="18">
    <w:name w:val="正文文本缩进 字符"/>
    <w:link w:val="5"/>
    <w:semiHidden/>
    <w:uiPriority w:val="99"/>
    <w:rPr>
      <w:kern w:val="2"/>
      <w:sz w:val="21"/>
      <w:szCs w:val="24"/>
    </w:rPr>
  </w:style>
  <w:style w:type="character" w:customStyle="1" w:styleId="19">
    <w:name w:val="批注框文本 字符"/>
    <w:link w:val="6"/>
    <w:semiHidden/>
    <w:uiPriority w:val="99"/>
    <w:rPr>
      <w:rFonts w:ascii="Times New Roman" w:hAnsi="Times New Roman" w:eastAsia="宋体" w:cs="Times New Roman"/>
      <w:sz w:val="18"/>
      <w:szCs w:val="18"/>
    </w:rPr>
  </w:style>
  <w:style w:type="character" w:customStyle="1" w:styleId="20">
    <w:name w:val="页脚 字符"/>
    <w:link w:val="7"/>
    <w:uiPriority w:val="99"/>
    <w:rPr>
      <w:sz w:val="18"/>
      <w:szCs w:val="18"/>
    </w:rPr>
  </w:style>
  <w:style w:type="character" w:customStyle="1" w:styleId="21">
    <w:name w:val="页眉 字符"/>
    <w:link w:val="8"/>
    <w:uiPriority w:val="99"/>
    <w:rPr>
      <w:sz w:val="18"/>
      <w:szCs w:val="18"/>
    </w:rPr>
  </w:style>
  <w:style w:type="character" w:customStyle="1" w:styleId="22">
    <w:name w:val="批注主题 字符"/>
    <w:link w:val="10"/>
    <w:semiHidden/>
    <w:uiPriority w:val="99"/>
    <w:rPr>
      <w:b/>
      <w:bCs/>
      <w:kern w:val="2"/>
      <w:sz w:val="21"/>
      <w:szCs w:val="24"/>
    </w:rPr>
  </w:style>
  <w:style w:type="character" w:customStyle="1" w:styleId="23">
    <w:name w:val="正文文本首行缩进 2 字符"/>
    <w:basedOn w:val="18"/>
    <w:link w:val="11"/>
    <w:uiPriority w:val="99"/>
  </w:style>
  <w:style w:type="paragraph" w:customStyle="1" w:styleId="24">
    <w:name w:val="Defaul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6966</Words>
  <Characters>8088</Characters>
  <Lines>77</Lines>
  <Paragraphs>21</Paragraphs>
  <TotalTime>1</TotalTime>
  <ScaleCrop>false</ScaleCrop>
  <LinksUpToDate>false</LinksUpToDate>
  <CharactersWithSpaces>9512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2021-06-06T13:55:00Z</dcterms:created>
  <dc:creator>土豆你吃么</dc:creator>
  <cp:lastModifiedBy>刘媛</cp:lastModifiedBy>
  <dcterms:modified xsi:type="dcterms:W3CDTF">2023-09-11T12:13:27Z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EBABB969874A4885893276416E263108_13</vt:lpwstr>
  </property>
</Properties>
</file>