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outlineLvl w:val="0"/>
        <w:rPr>
          <w:rFonts w:hint="eastAsia" w:ascii="黑体" w:hAnsi="黑体" w:eastAsia="黑体" w:cs="黑体"/>
          <w:b w:val="0"/>
          <w:bCs/>
          <w:kern w:val="0"/>
          <w:sz w:val="44"/>
          <w:szCs w:val="44"/>
          <w:lang w:val="en-US" w:eastAsia="zh-CN"/>
        </w:rPr>
      </w:pPr>
      <w:r>
        <w:rPr>
          <w:rFonts w:hint="eastAsia" w:ascii="黑体" w:hAnsi="黑体" w:eastAsia="黑体" w:cs="黑体"/>
          <w:b w:val="0"/>
          <w:bCs/>
          <w:kern w:val="0"/>
          <w:sz w:val="44"/>
          <w:szCs w:val="44"/>
          <w:lang w:val="en-US" w:eastAsia="zh-CN"/>
        </w:rPr>
        <w:t>2021年蓝山县教师进修学校部门决算</w:t>
      </w:r>
    </w:p>
    <w:p>
      <w:pPr>
        <w:widowControl/>
        <w:spacing w:line="600" w:lineRule="exact"/>
        <w:jc w:val="center"/>
        <w:rPr>
          <w:rFonts w:eastAsia="黑体"/>
          <w:b/>
          <w:bCs w:val="0"/>
          <w:kern w:val="0"/>
          <w:sz w:val="32"/>
          <w:szCs w:val="32"/>
        </w:rPr>
      </w:pPr>
    </w:p>
    <w:p>
      <w:pPr>
        <w:widowControl/>
        <w:spacing w:line="600" w:lineRule="exact"/>
        <w:jc w:val="center"/>
        <w:rPr>
          <w:rFonts w:eastAsia="黑体"/>
          <w:b/>
          <w:bCs w:val="0"/>
          <w:kern w:val="0"/>
          <w:sz w:val="32"/>
          <w:szCs w:val="32"/>
        </w:rPr>
      </w:pPr>
      <w:r>
        <w:rPr>
          <w:rFonts w:eastAsia="黑体"/>
          <w:b/>
          <w:bCs w:val="0"/>
          <w:kern w:val="0"/>
          <w:sz w:val="32"/>
          <w:szCs w:val="32"/>
        </w:rPr>
        <w:t>目录</w:t>
      </w:r>
    </w:p>
    <w:p>
      <w:pPr>
        <w:widowControl/>
        <w:spacing w:line="600" w:lineRule="exact"/>
        <w:ind w:firstLine="643" w:firstLineChars="200"/>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第一部分蓝山县教师进修学校部门概况</w:t>
      </w:r>
    </w:p>
    <w:p>
      <w:pPr>
        <w:pStyle w:val="10"/>
        <w:spacing w:line="600" w:lineRule="exact"/>
        <w:ind w:firstLine="800" w:firstLineChars="25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部门职责</w:t>
      </w:r>
    </w:p>
    <w:p>
      <w:pPr>
        <w:pStyle w:val="10"/>
        <w:spacing w:line="600" w:lineRule="exact"/>
        <w:ind w:firstLine="800" w:firstLineChars="25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rPr>
        <w:t>机构设置</w:t>
      </w:r>
      <w:r>
        <w:rPr>
          <w:rFonts w:hint="eastAsia" w:ascii="Times New Roman" w:hAnsi="Times New Roman" w:eastAsia="仿宋_GB2312" w:cs="Times New Roman"/>
          <w:sz w:val="32"/>
          <w:szCs w:val="32"/>
          <w:lang w:val="en-US" w:eastAsia="zh-CN"/>
        </w:rPr>
        <w:t>及决算单位构成</w:t>
      </w:r>
    </w:p>
    <w:p>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第二部分</w:t>
      </w:r>
      <w:r>
        <w:rPr>
          <w:rFonts w:hint="eastAsia" w:ascii="黑体" w:hAnsi="黑体" w:eastAsia="黑体" w:cs="黑体"/>
          <w:b/>
          <w:bCs/>
          <w:kern w:val="0"/>
          <w:sz w:val="32"/>
          <w:szCs w:val="32"/>
          <w:lang w:val="en-US" w:eastAsia="zh-CN"/>
        </w:rPr>
        <w:t>2021年</w:t>
      </w:r>
      <w:r>
        <w:rPr>
          <w:rFonts w:hint="eastAsia" w:ascii="黑体" w:hAnsi="黑体" w:eastAsia="黑体" w:cs="黑体"/>
          <w:b/>
          <w:bCs/>
          <w:kern w:val="0"/>
          <w:sz w:val="32"/>
          <w:szCs w:val="32"/>
        </w:rPr>
        <w:t>部门决算表</w:t>
      </w:r>
    </w:p>
    <w:p>
      <w:pPr>
        <w:pStyle w:val="10"/>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部门收支</w:t>
      </w:r>
      <w:r>
        <w:rPr>
          <w:rFonts w:ascii="Times New Roman" w:hAnsi="Times New Roman" w:eastAsia="仿宋_GB2312" w:cs="Times New Roman"/>
          <w:sz w:val="32"/>
          <w:szCs w:val="32"/>
        </w:rPr>
        <w:t>决算总表</w:t>
      </w:r>
    </w:p>
    <w:p>
      <w:pPr>
        <w:pStyle w:val="10"/>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rPr>
        <w:t>部门</w:t>
      </w:r>
      <w:r>
        <w:rPr>
          <w:rFonts w:ascii="Times New Roman" w:hAnsi="Times New Roman" w:eastAsia="仿宋_GB2312" w:cs="Times New Roman"/>
          <w:sz w:val="32"/>
          <w:szCs w:val="32"/>
        </w:rPr>
        <w:t>收入决算表</w:t>
      </w:r>
    </w:p>
    <w:p>
      <w:pPr>
        <w:pStyle w:val="10"/>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三、</w:t>
      </w:r>
      <w:r>
        <w:rPr>
          <w:rFonts w:hint="eastAsia" w:ascii="Times New Roman" w:hAnsi="Times New Roman" w:eastAsia="仿宋_GB2312" w:cs="Times New Roman"/>
          <w:sz w:val="32"/>
          <w:szCs w:val="32"/>
        </w:rPr>
        <w:t>部门</w:t>
      </w:r>
      <w:r>
        <w:rPr>
          <w:rFonts w:ascii="Times New Roman" w:hAnsi="Times New Roman" w:eastAsia="仿宋_GB2312" w:cs="Times New Roman"/>
          <w:sz w:val="32"/>
          <w:szCs w:val="32"/>
        </w:rPr>
        <w:t>支出决算表</w:t>
      </w:r>
    </w:p>
    <w:p>
      <w:pPr>
        <w:pStyle w:val="10"/>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四、</w:t>
      </w:r>
      <w:r>
        <w:rPr>
          <w:rFonts w:ascii="Times New Roman" w:hAnsi="Times New Roman" w:eastAsia="仿宋_GB2312" w:cs="Times New Roman"/>
          <w:sz w:val="32"/>
          <w:szCs w:val="32"/>
        </w:rPr>
        <w:t>财政拨款</w:t>
      </w:r>
      <w:r>
        <w:rPr>
          <w:rFonts w:hint="eastAsia" w:ascii="Times New Roman" w:hAnsi="Times New Roman" w:eastAsia="仿宋_GB2312" w:cs="Times New Roman"/>
          <w:sz w:val="32"/>
          <w:szCs w:val="32"/>
        </w:rPr>
        <w:t>收支</w:t>
      </w:r>
      <w:r>
        <w:rPr>
          <w:rFonts w:ascii="Times New Roman" w:hAnsi="Times New Roman" w:eastAsia="仿宋_GB2312" w:cs="Times New Roman"/>
          <w:sz w:val="32"/>
          <w:szCs w:val="32"/>
        </w:rPr>
        <w:t>决算总表</w:t>
      </w:r>
    </w:p>
    <w:p>
      <w:pPr>
        <w:pStyle w:val="10"/>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五、</w:t>
      </w:r>
      <w:r>
        <w:rPr>
          <w:rFonts w:ascii="Times New Roman" w:hAnsi="Times New Roman" w:eastAsia="仿宋_GB2312" w:cs="Times New Roman"/>
          <w:sz w:val="32"/>
          <w:szCs w:val="32"/>
        </w:rPr>
        <w:t>一般公共预算财政拨款支出决算表</w:t>
      </w:r>
    </w:p>
    <w:p>
      <w:pPr>
        <w:pStyle w:val="10"/>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六、</w:t>
      </w:r>
      <w:r>
        <w:rPr>
          <w:rFonts w:ascii="Times New Roman" w:hAnsi="Times New Roman" w:eastAsia="仿宋_GB2312" w:cs="Times New Roman"/>
          <w:sz w:val="32"/>
          <w:szCs w:val="32"/>
        </w:rPr>
        <w:t>一般公共预算财政拨款基本支出决算表</w:t>
      </w:r>
    </w:p>
    <w:p>
      <w:pPr>
        <w:pStyle w:val="10"/>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七、</w:t>
      </w:r>
      <w:r>
        <w:rPr>
          <w:rFonts w:ascii="Times New Roman" w:hAnsi="Times New Roman" w:eastAsia="仿宋_GB2312" w:cs="Times New Roman"/>
          <w:sz w:val="32"/>
          <w:szCs w:val="32"/>
        </w:rPr>
        <w:t>一般公共预算财政拨款“三公”经费支出决算表</w:t>
      </w:r>
    </w:p>
    <w:p>
      <w:pPr>
        <w:pStyle w:val="10"/>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八、</w:t>
      </w:r>
      <w:r>
        <w:rPr>
          <w:rFonts w:ascii="Times New Roman" w:hAnsi="Times New Roman" w:eastAsia="仿宋_GB2312" w:cs="Times New Roman"/>
          <w:sz w:val="32"/>
          <w:szCs w:val="32"/>
        </w:rPr>
        <w:t>政府性基金预算财政拨款收入支出决算表</w:t>
      </w:r>
    </w:p>
    <w:p>
      <w:pPr>
        <w:pStyle w:val="10"/>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color w:val="000000"/>
          <w:kern w:val="0"/>
          <w:sz w:val="32"/>
          <w:szCs w:val="32"/>
          <w:lang w:val="en-US" w:eastAsia="zh-CN" w:bidi="ar-SA"/>
        </w:rPr>
        <w:t>九、国有资本经营预算财政拨款支出决算表</w:t>
      </w:r>
    </w:p>
    <w:p>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第三部分</w:t>
      </w:r>
      <w:r>
        <w:rPr>
          <w:rFonts w:hint="eastAsia" w:ascii="黑体" w:hAnsi="黑体" w:eastAsia="黑体" w:cs="黑体"/>
          <w:b/>
          <w:bCs/>
          <w:kern w:val="0"/>
          <w:sz w:val="32"/>
          <w:szCs w:val="32"/>
          <w:lang w:val="en-US" w:eastAsia="zh-CN"/>
        </w:rPr>
        <w:t>2021</w:t>
      </w:r>
      <w:r>
        <w:rPr>
          <w:rFonts w:hint="eastAsia" w:ascii="黑体" w:hAnsi="黑体" w:eastAsia="黑体" w:cs="黑体"/>
          <w:b/>
          <w:bCs/>
          <w:kern w:val="0"/>
          <w:sz w:val="32"/>
          <w:szCs w:val="32"/>
        </w:rPr>
        <w:t>年度部门决算情况说明</w:t>
      </w:r>
    </w:p>
    <w:p>
      <w:pPr>
        <w:pStyle w:val="10"/>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ascii="Times New Roman" w:hAnsi="Times New Roman" w:eastAsia="仿宋_GB2312" w:cs="Times New Roman"/>
          <w:sz w:val="32"/>
          <w:szCs w:val="32"/>
        </w:rPr>
        <w:t>收入支出决算总体情况说明</w:t>
      </w:r>
    </w:p>
    <w:p>
      <w:pPr>
        <w:spacing w:line="600" w:lineRule="exact"/>
        <w:ind w:firstLine="800" w:firstLineChars="250"/>
        <w:jc w:val="left"/>
        <w:rPr>
          <w:rFonts w:eastAsia="仿宋_GB2312"/>
          <w:sz w:val="32"/>
          <w:szCs w:val="32"/>
        </w:rPr>
      </w:pPr>
      <w:r>
        <w:rPr>
          <w:rFonts w:hint="eastAsia" w:eastAsia="仿宋_GB2312"/>
          <w:sz w:val="32"/>
          <w:szCs w:val="32"/>
          <w:lang w:eastAsia="zh-CN"/>
        </w:rPr>
        <w:t>二、</w:t>
      </w:r>
      <w:r>
        <w:rPr>
          <w:rFonts w:eastAsia="仿宋_GB2312"/>
          <w:sz w:val="32"/>
          <w:szCs w:val="32"/>
        </w:rPr>
        <w:t>收入决算情况说明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三、</w:t>
      </w:r>
      <w:r>
        <w:rPr>
          <w:rFonts w:eastAsia="仿宋_GB2312"/>
          <w:color w:val="000000"/>
          <w:kern w:val="0"/>
          <w:sz w:val="32"/>
          <w:szCs w:val="32"/>
        </w:rPr>
        <w:t>支出决算情况说明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四、</w:t>
      </w:r>
      <w:r>
        <w:rPr>
          <w:rFonts w:eastAsia="仿宋_GB2312"/>
          <w:color w:val="000000"/>
          <w:kern w:val="0"/>
          <w:sz w:val="32"/>
          <w:szCs w:val="32"/>
        </w:rPr>
        <w:t>财政拨款收入支出决算总体情况说明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五、</w:t>
      </w:r>
      <w:r>
        <w:rPr>
          <w:rFonts w:eastAsia="仿宋_GB2312"/>
          <w:color w:val="000000"/>
          <w:kern w:val="0"/>
          <w:sz w:val="32"/>
          <w:szCs w:val="32"/>
        </w:rPr>
        <w:t>一般公共预算财政拨款支出决算情况说明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六、</w:t>
      </w:r>
      <w:r>
        <w:rPr>
          <w:rFonts w:eastAsia="仿宋_GB2312"/>
          <w:color w:val="000000"/>
          <w:kern w:val="0"/>
          <w:sz w:val="32"/>
          <w:szCs w:val="32"/>
        </w:rPr>
        <w:t>一般公共预算财政拨款基本支出决算情况说明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七、</w:t>
      </w:r>
      <w:r>
        <w:rPr>
          <w:rFonts w:eastAsia="仿宋_GB2312"/>
          <w:color w:val="000000"/>
          <w:kern w:val="0"/>
          <w:sz w:val="32"/>
          <w:szCs w:val="32"/>
        </w:rPr>
        <w:t>一般公共预算财政拨款三公经费支出决算情况说明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八、</w:t>
      </w:r>
      <w:r>
        <w:rPr>
          <w:rFonts w:eastAsia="仿宋_GB2312"/>
          <w:color w:val="000000"/>
          <w:kern w:val="0"/>
          <w:sz w:val="32"/>
          <w:szCs w:val="32"/>
        </w:rPr>
        <w:t>政府性基金预算收入支出决算情况</w:t>
      </w:r>
    </w:p>
    <w:p>
      <w:pPr>
        <w:autoSpaceDE w:val="0"/>
        <w:autoSpaceDN w:val="0"/>
        <w:adjustRightInd w:val="0"/>
        <w:spacing w:line="600" w:lineRule="exact"/>
        <w:ind w:firstLine="800" w:firstLineChars="25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九、国有资本经营预算财政拨款支出决算情况</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十、</w:t>
      </w:r>
      <w:r>
        <w:rPr>
          <w:rFonts w:eastAsia="仿宋_GB2312"/>
          <w:color w:val="000000"/>
          <w:kern w:val="0"/>
          <w:sz w:val="32"/>
          <w:szCs w:val="32"/>
        </w:rPr>
        <w:t>预算绩效情况说明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十一、</w:t>
      </w:r>
      <w:r>
        <w:rPr>
          <w:rFonts w:eastAsia="仿宋_GB2312"/>
          <w:color w:val="000000"/>
          <w:kern w:val="0"/>
          <w:sz w:val="32"/>
          <w:szCs w:val="32"/>
        </w:rPr>
        <w:t>其他重要事项情况说明</w:t>
      </w:r>
    </w:p>
    <w:p>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第四部分名词解释</w:t>
      </w:r>
    </w:p>
    <w:p>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第五部分附件</w:t>
      </w:r>
    </w:p>
    <w:p>
      <w:pPr>
        <w:widowControl/>
        <w:spacing w:line="600" w:lineRule="exact"/>
        <w:ind w:firstLine="643" w:firstLineChars="200"/>
        <w:jc w:val="left"/>
        <w:rPr>
          <w:rFonts w:hint="eastAsia" w:eastAsia="仿宋_GB2312"/>
          <w:b/>
          <w:bCs/>
          <w:kern w:val="0"/>
          <w:sz w:val="32"/>
          <w:szCs w:val="32"/>
        </w:rPr>
      </w:pPr>
    </w:p>
    <w:p>
      <w:pPr>
        <w:widowControl/>
        <w:spacing w:line="600" w:lineRule="exact"/>
        <w:jc w:val="both"/>
        <w:rPr>
          <w:rFonts w:hint="eastAsia" w:eastAsia="方正小标宋_GBK"/>
          <w:bCs/>
          <w:kern w:val="0"/>
          <w:sz w:val="36"/>
          <w:szCs w:val="36"/>
        </w:rPr>
      </w:pPr>
      <w:r>
        <w:rPr>
          <w:rFonts w:hint="eastAsia" w:eastAsia="方正小标宋_GBK"/>
          <w:bCs/>
          <w:kern w:val="0"/>
          <w:sz w:val="36"/>
          <w:szCs w:val="36"/>
        </w:rPr>
        <w:br w:type="page"/>
      </w:r>
    </w:p>
    <w:p>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第一部分</w:t>
      </w:r>
      <w:r>
        <w:rPr>
          <w:rFonts w:hint="eastAsia" w:ascii="黑体" w:hAnsi="黑体" w:eastAsia="黑体" w:cs="黑体"/>
          <w:b/>
          <w:bCs w:val="0"/>
          <w:kern w:val="0"/>
          <w:sz w:val="44"/>
          <w:szCs w:val="44"/>
          <w:lang w:val="en-US" w:eastAsia="zh-CN"/>
        </w:rPr>
        <w:t xml:space="preserve"> </w:t>
      </w:r>
      <w:r>
        <w:rPr>
          <w:rFonts w:hint="eastAsia" w:ascii="黑体" w:hAnsi="黑体" w:eastAsia="黑体" w:cs="黑体"/>
          <w:b/>
          <w:bCs w:val="0"/>
          <w:kern w:val="0"/>
          <w:sz w:val="44"/>
          <w:szCs w:val="44"/>
        </w:rPr>
        <w:t>蓝山县教师进修学校概况</w:t>
      </w:r>
    </w:p>
    <w:p>
      <w:pPr>
        <w:pStyle w:val="11"/>
        <w:ind w:firstLine="0" w:firstLineChars="0"/>
        <w:jc w:val="left"/>
        <w:rPr>
          <w:rFonts w:ascii="黑体" w:hAnsi="黑体" w:eastAsia="黑体"/>
          <w:sz w:val="32"/>
          <w:szCs w:val="32"/>
        </w:rPr>
      </w:pPr>
    </w:p>
    <w:p>
      <w:pPr>
        <w:widowControl/>
        <w:spacing w:line="600" w:lineRule="exact"/>
        <w:ind w:firstLine="640" w:firstLineChars="200"/>
        <w:outlineLvl w:val="1"/>
        <w:rPr>
          <w:rFonts w:hint="eastAsia" w:ascii="黑体" w:hAnsi="黑体" w:eastAsia="黑体"/>
          <w:b w:val="0"/>
          <w:bCs/>
          <w:kern w:val="0"/>
          <w:sz w:val="32"/>
          <w:szCs w:val="32"/>
        </w:rPr>
      </w:pPr>
      <w:r>
        <w:rPr>
          <w:rFonts w:hint="eastAsia" w:ascii="黑体" w:hAnsi="黑体" w:eastAsia="黑体"/>
          <w:b w:val="0"/>
          <w:bCs/>
          <w:kern w:val="0"/>
          <w:sz w:val="32"/>
          <w:szCs w:val="32"/>
        </w:rPr>
        <w:t>一、部门</w:t>
      </w:r>
      <w:r>
        <w:rPr>
          <w:rFonts w:hint="eastAsia" w:ascii="黑体" w:hAnsi="黑体" w:eastAsia="黑体" w:cs="Times New Roman"/>
          <w:b w:val="0"/>
          <w:bCs/>
          <w:kern w:val="0"/>
          <w:sz w:val="32"/>
          <w:szCs w:val="32"/>
        </w:rPr>
        <w:t>职责</w:t>
      </w:r>
    </w:p>
    <w:p>
      <w:pPr>
        <w:widowControl/>
        <w:snapToGrid/>
        <w:spacing w:line="600" w:lineRule="exact"/>
        <w:ind w:firstLine="627" w:firstLineChars="196"/>
        <w:jc w:val="left"/>
        <w:rPr>
          <w:rFonts w:hint="eastAsia" w:ascii="仿宋_GB2312" w:hAnsi="Times New Roman" w:eastAsia="仿宋_GB2312"/>
          <w:b w:val="0"/>
          <w:bCs w:val="0"/>
          <w:color w:val="auto"/>
          <w:kern w:val="2"/>
          <w:sz w:val="32"/>
          <w:szCs w:val="32"/>
          <w:lang w:eastAsia="zh-CN"/>
        </w:rPr>
      </w:pPr>
      <w:r>
        <w:rPr>
          <w:rFonts w:hint="eastAsia" w:ascii="仿宋_GB2312" w:eastAsia="仿宋_GB2312"/>
          <w:b w:val="0"/>
          <w:bCs w:val="0"/>
          <w:color w:val="auto"/>
          <w:kern w:val="2"/>
          <w:sz w:val="32"/>
          <w:szCs w:val="32"/>
          <w:lang w:val="en-US" w:eastAsia="zh-CN"/>
        </w:rPr>
        <w:t>1、</w:t>
      </w:r>
      <w:r>
        <w:rPr>
          <w:rFonts w:hint="eastAsia" w:ascii="仿宋_GB2312" w:hAnsi="Times New Roman" w:eastAsia="仿宋_GB2312"/>
          <w:b w:val="0"/>
          <w:bCs w:val="0"/>
          <w:color w:val="auto"/>
          <w:kern w:val="2"/>
          <w:sz w:val="32"/>
          <w:szCs w:val="32"/>
          <w:lang w:eastAsia="zh-CN"/>
        </w:rPr>
        <w:t>学校业务范围为：为全县中小学教师和中小学行政管理人员提供继续教育培训服务。</w:t>
      </w:r>
    </w:p>
    <w:p>
      <w:pPr>
        <w:widowControl/>
        <w:snapToGrid/>
        <w:spacing w:line="600" w:lineRule="exact"/>
        <w:ind w:firstLine="627" w:firstLineChars="196"/>
        <w:jc w:val="left"/>
        <w:rPr>
          <w:rFonts w:hint="eastAsia" w:ascii="仿宋_GB2312" w:hAnsi="Times New Roman" w:eastAsia="仿宋_GB2312"/>
          <w:b w:val="0"/>
          <w:bCs w:val="0"/>
          <w:color w:val="auto"/>
          <w:kern w:val="2"/>
          <w:sz w:val="32"/>
          <w:szCs w:val="32"/>
          <w:lang w:eastAsia="zh-CN"/>
        </w:rPr>
      </w:pPr>
      <w:r>
        <w:rPr>
          <w:rFonts w:hint="eastAsia" w:ascii="仿宋_GB2312" w:eastAsia="仿宋_GB2312"/>
          <w:b w:val="0"/>
          <w:bCs w:val="0"/>
          <w:color w:val="auto"/>
          <w:kern w:val="2"/>
          <w:sz w:val="32"/>
          <w:szCs w:val="32"/>
          <w:lang w:val="en-US" w:eastAsia="zh-CN"/>
        </w:rPr>
        <w:t>2、</w:t>
      </w:r>
      <w:r>
        <w:rPr>
          <w:rFonts w:hint="eastAsia" w:ascii="仿宋_GB2312" w:hAnsi="Times New Roman" w:eastAsia="仿宋_GB2312"/>
          <w:b w:val="0"/>
          <w:bCs w:val="0"/>
          <w:color w:val="auto"/>
          <w:kern w:val="2"/>
          <w:sz w:val="32"/>
          <w:szCs w:val="32"/>
          <w:lang w:eastAsia="zh-CN"/>
        </w:rPr>
        <w:t>学校办学宗旨：蓝山县教师进修学校是对全县中小学教师和教育行政干部开展继续教育培训活动，以提高他们的教育教学水平、教育教学艺术和教育教学管理水平为目的。</w:t>
      </w:r>
    </w:p>
    <w:p>
      <w:pPr>
        <w:widowControl/>
        <w:spacing w:line="600" w:lineRule="exact"/>
        <w:ind w:firstLine="640" w:firstLineChars="200"/>
        <w:outlineLvl w:val="1"/>
        <w:rPr>
          <w:rFonts w:hint="eastAsia"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napToGrid/>
        <w:spacing w:line="600" w:lineRule="exact"/>
        <w:ind w:firstLine="627" w:firstLineChars="196"/>
        <w:jc w:val="left"/>
        <w:rPr>
          <w:rFonts w:hint="eastAsia" w:ascii="仿宋_GB2312" w:hAnsi="Times New Roman" w:eastAsia="仿宋_GB2312"/>
          <w:b w:val="0"/>
          <w:bCs w:val="0"/>
          <w:color w:val="auto"/>
          <w:kern w:val="2"/>
          <w:sz w:val="32"/>
          <w:szCs w:val="32"/>
          <w:lang w:eastAsia="zh-CN"/>
        </w:rPr>
      </w:pPr>
      <w:r>
        <w:rPr>
          <w:rFonts w:hint="eastAsia" w:ascii="仿宋_GB2312" w:eastAsia="仿宋_GB2312"/>
          <w:b w:val="0"/>
          <w:bCs w:val="0"/>
          <w:color w:val="auto"/>
          <w:kern w:val="2"/>
          <w:sz w:val="32"/>
          <w:szCs w:val="32"/>
          <w:lang w:val="en-US" w:eastAsia="zh-CN"/>
        </w:rPr>
        <w:t>1、机构设置：</w:t>
      </w:r>
      <w:r>
        <w:rPr>
          <w:rFonts w:hint="eastAsia" w:ascii="仿宋_GB2312" w:hAnsi="Times New Roman" w:eastAsia="仿宋_GB2312"/>
          <w:b w:val="0"/>
          <w:bCs w:val="0"/>
          <w:color w:val="auto"/>
          <w:kern w:val="2"/>
          <w:sz w:val="32"/>
          <w:szCs w:val="32"/>
          <w:lang w:eastAsia="zh-CN"/>
        </w:rPr>
        <w:t>学校是一个财政全额拨款的正科级事业单位。单位现有校长一名，副校长二名，现有下设机构五个：学校办公室一个，设办公室主任一名，工会委员会一个，设有工会主席一名，工会委员二名；培训部一个，设有培训部主任一名；函授部一个，设有函授部主任一名，总务处一个；财务室一个，设有会计一名，出纳一名。</w:t>
      </w:r>
    </w:p>
    <w:p>
      <w:pPr>
        <w:widowControl/>
        <w:numPr>
          <w:ilvl w:val="0"/>
          <w:numId w:val="0"/>
        </w:numPr>
        <w:spacing w:line="600" w:lineRule="exact"/>
        <w:ind w:firstLine="627" w:firstLineChars="196"/>
        <w:jc w:val="left"/>
        <w:rPr>
          <w:rFonts w:hint="eastAsia" w:eastAsia="仿宋_GB2312"/>
          <w:bCs/>
          <w:kern w:val="0"/>
          <w:sz w:val="32"/>
          <w:szCs w:val="32"/>
        </w:rPr>
      </w:pPr>
      <w:r>
        <w:rPr>
          <w:rFonts w:hint="eastAsia" w:ascii="仿宋_GB2312" w:eastAsia="仿宋_GB2312" w:cs="Times New Roman"/>
          <w:color w:val="auto"/>
          <w:sz w:val="32"/>
          <w:szCs w:val="32"/>
          <w:lang w:val="en-US" w:eastAsia="zh-CN"/>
        </w:rPr>
        <w:t xml:space="preserve"> </w:t>
      </w:r>
      <w:r>
        <w:rPr>
          <w:rFonts w:hint="eastAsia" w:ascii="仿宋_GB2312" w:eastAsia="仿宋_GB2312"/>
          <w:b w:val="0"/>
          <w:bCs w:val="0"/>
          <w:color w:val="auto"/>
          <w:kern w:val="2"/>
          <w:sz w:val="32"/>
          <w:szCs w:val="32"/>
          <w:lang w:val="en-US" w:eastAsia="zh-CN"/>
        </w:rPr>
        <w:t>2、决算单位构成：</w:t>
      </w:r>
      <w:r>
        <w:rPr>
          <w:rFonts w:hint="eastAsia" w:eastAsia="仿宋_GB2312"/>
          <w:bCs/>
          <w:kern w:val="0"/>
          <w:sz w:val="32"/>
          <w:szCs w:val="32"/>
          <w:lang w:val="en-US" w:eastAsia="zh-CN"/>
        </w:rPr>
        <w:t>蓝山县教师进修学校2021年部门决算汇总公开单位构成包括：蓝山县教师进修学校单位本级。</w:t>
      </w:r>
    </w:p>
    <w:p>
      <w:pPr>
        <w:pStyle w:val="7"/>
        <w:rPr>
          <w:rFonts w:hint="eastAsia"/>
          <w:lang w:eastAsia="zh-CN"/>
        </w:rPr>
      </w:pPr>
    </w:p>
    <w:p/>
    <w:p>
      <w:pPr>
        <w:widowControl/>
        <w:numPr>
          <w:ilvl w:val="0"/>
          <w:numId w:val="0"/>
        </w:numPr>
        <w:spacing w:line="600" w:lineRule="exact"/>
        <w:jc w:val="left"/>
        <w:outlineLvl w:val="9"/>
        <w:rPr>
          <w:rFonts w:hint="eastAsia" w:ascii="仿宋_GB2312" w:hAnsi="Times New Roman" w:eastAsia="仿宋_GB2312" w:cs="Times New Roman"/>
          <w:bCs w:val="0"/>
          <w:kern w:val="2"/>
          <w:sz w:val="32"/>
          <w:szCs w:val="32"/>
        </w:rPr>
      </w:pPr>
    </w:p>
    <w:p>
      <w:pPr>
        <w:widowControl/>
        <w:numPr>
          <w:ilvl w:val="0"/>
          <w:numId w:val="0"/>
        </w:numPr>
        <w:spacing w:line="600" w:lineRule="exact"/>
        <w:jc w:val="left"/>
        <w:outlineLvl w:val="9"/>
        <w:rPr>
          <w:rFonts w:hint="eastAsia" w:ascii="仿宋_GB2312" w:hAnsi="Times New Roman" w:eastAsia="仿宋_GB2312" w:cs="Times New Roman"/>
          <w:bCs w:val="0"/>
          <w:kern w:val="2"/>
          <w:sz w:val="32"/>
          <w:szCs w:val="32"/>
        </w:rPr>
      </w:pPr>
    </w:p>
    <w:p>
      <w:pPr>
        <w:widowControl/>
        <w:numPr>
          <w:ilvl w:val="0"/>
          <w:numId w:val="0"/>
        </w:numPr>
        <w:spacing w:line="600" w:lineRule="exact"/>
        <w:jc w:val="left"/>
        <w:outlineLvl w:val="9"/>
        <w:rPr>
          <w:rFonts w:hint="eastAsia" w:ascii="仿宋_GB2312" w:hAnsi="Times New Roman" w:eastAsia="仿宋_GB2312" w:cs="Times New Roman"/>
          <w:bCs w:val="0"/>
          <w:kern w:val="2"/>
          <w:sz w:val="32"/>
          <w:szCs w:val="32"/>
        </w:rPr>
      </w:pPr>
    </w:p>
    <w:p>
      <w:pPr>
        <w:widowControl/>
        <w:numPr>
          <w:ilvl w:val="0"/>
          <w:numId w:val="0"/>
        </w:numPr>
        <w:spacing w:line="600" w:lineRule="exact"/>
        <w:jc w:val="left"/>
        <w:outlineLvl w:val="9"/>
        <w:rPr>
          <w:rFonts w:hint="eastAsia" w:ascii="黑体" w:hAnsi="黑体" w:eastAsia="黑体" w:cs="黑体"/>
          <w:bCs/>
          <w:kern w:val="0"/>
          <w:sz w:val="32"/>
          <w:szCs w:val="32"/>
        </w:rPr>
      </w:pPr>
    </w:p>
    <w:p>
      <w:pPr>
        <w:widowControl/>
        <w:spacing w:line="600" w:lineRule="exact"/>
        <w:jc w:val="center"/>
        <w:outlineLvl w:val="0"/>
        <w:rPr>
          <w:rFonts w:hint="eastAsia" w:ascii="黑体" w:hAnsi="黑体" w:eastAsia="黑体" w:cs="黑体"/>
          <w:bCs/>
          <w:kern w:val="0"/>
          <w:sz w:val="44"/>
          <w:szCs w:val="44"/>
          <w:lang w:val="en-US" w:eastAsia="zh-CN"/>
        </w:rPr>
      </w:pPr>
    </w:p>
    <w:p>
      <w:pPr>
        <w:widowControl/>
        <w:spacing w:line="600" w:lineRule="exact"/>
        <w:jc w:val="center"/>
        <w:outlineLvl w:val="0"/>
        <w:rPr>
          <w:rFonts w:hint="eastAsia" w:ascii="黑体" w:hAnsi="黑体" w:eastAsia="黑体" w:cs="黑体"/>
          <w:bCs/>
          <w:kern w:val="0"/>
          <w:sz w:val="44"/>
          <w:szCs w:val="44"/>
          <w:lang w:val="en-US" w:eastAsia="zh-CN"/>
        </w:rPr>
      </w:pPr>
    </w:p>
    <w:p>
      <w:pPr>
        <w:widowControl/>
        <w:spacing w:line="600" w:lineRule="exact"/>
        <w:jc w:val="center"/>
        <w:outlineLvl w:val="0"/>
        <w:rPr>
          <w:rFonts w:hint="eastAsia" w:ascii="黑体" w:hAnsi="黑体" w:eastAsia="黑体" w:cs="黑体"/>
          <w:bCs/>
          <w:kern w:val="0"/>
          <w:sz w:val="44"/>
          <w:szCs w:val="44"/>
          <w:lang w:val="en-US" w:eastAsia="zh-CN"/>
        </w:rPr>
      </w:pPr>
    </w:p>
    <w:p>
      <w:pPr>
        <w:widowControl/>
        <w:spacing w:line="600" w:lineRule="exact"/>
        <w:jc w:val="center"/>
        <w:outlineLvl w:val="0"/>
        <w:rPr>
          <w:rFonts w:hint="eastAsia" w:ascii="黑体" w:hAnsi="黑体" w:eastAsia="黑体" w:cs="黑体"/>
          <w:bCs/>
          <w:kern w:val="0"/>
          <w:sz w:val="44"/>
          <w:szCs w:val="44"/>
          <w:lang w:val="en-US" w:eastAsia="zh-CN"/>
        </w:rPr>
        <w:sectPr>
          <w:pgSz w:w="11906" w:h="16838"/>
          <w:pgMar w:top="1701" w:right="1587" w:bottom="1701" w:left="1587" w:header="851" w:footer="992" w:gutter="0"/>
          <w:pgBorders w:offsetFrom="page">
            <w:top w:val="none" w:sz="0" w:space="0"/>
            <w:left w:val="none" w:sz="0" w:space="0"/>
            <w:bottom w:val="none" w:sz="0" w:space="0"/>
            <w:right w:val="none" w:sz="0" w:space="0"/>
          </w:pgBorders>
          <w:cols w:space="720" w:num="1"/>
          <w:docGrid w:type="lines" w:linePitch="312" w:charSpace="0"/>
        </w:sectPr>
      </w:pPr>
      <w:r>
        <w:rPr>
          <w:rFonts w:hint="eastAsia" w:ascii="黑体" w:hAnsi="黑体" w:eastAsia="黑体" w:cs="黑体"/>
          <w:bCs/>
          <w:kern w:val="0"/>
          <w:sz w:val="44"/>
          <w:szCs w:val="44"/>
          <w:lang w:val="en-US" w:eastAsia="zh-CN"/>
        </w:rPr>
        <w:t>第二部分2021年部门决算表</w:t>
      </w:r>
    </w:p>
    <w:p>
      <w:pPr>
        <w:jc w:val="center"/>
        <w:rPr>
          <w:rFonts w:hint="eastAsia" w:ascii="方正小标宋_GBK" w:hAnsi="黑体" w:eastAsia="方正小标宋_GBK"/>
          <w:sz w:val="36"/>
          <w:szCs w:val="32"/>
          <w:lang w:val="en-US" w:eastAsia="zh-CN"/>
        </w:rPr>
      </w:pPr>
    </w:p>
    <w:tbl>
      <w:tblPr>
        <w:tblStyle w:val="8"/>
        <w:tblpPr w:leftFromText="180" w:rightFromText="180" w:vertAnchor="text" w:horzAnchor="page" w:tblpX="1479" w:tblpY="555"/>
        <w:tblOverlap w:val="never"/>
        <w:tblW w:w="14072" w:type="dxa"/>
        <w:tblInd w:w="0" w:type="dxa"/>
        <w:tblLayout w:type="fixed"/>
        <w:tblCellMar>
          <w:top w:w="0" w:type="dxa"/>
          <w:left w:w="108" w:type="dxa"/>
          <w:bottom w:w="0" w:type="dxa"/>
          <w:right w:w="108" w:type="dxa"/>
        </w:tblCellMar>
      </w:tblPr>
      <w:tblGrid>
        <w:gridCol w:w="812"/>
        <w:gridCol w:w="709"/>
        <w:gridCol w:w="4233"/>
        <w:gridCol w:w="241"/>
        <w:gridCol w:w="375"/>
        <w:gridCol w:w="2485"/>
        <w:gridCol w:w="375"/>
        <w:gridCol w:w="4842"/>
      </w:tblGrid>
      <w:tr>
        <w:tblPrEx>
          <w:tblCellMar>
            <w:top w:w="0" w:type="dxa"/>
            <w:left w:w="108" w:type="dxa"/>
            <w:bottom w:w="0" w:type="dxa"/>
            <w:right w:w="108" w:type="dxa"/>
          </w:tblCellMar>
        </w:tblPrEx>
        <w:trPr>
          <w:trHeight w:val="834" w:hRule="atLeast"/>
        </w:trPr>
        <w:tc>
          <w:tcPr>
            <w:tcW w:w="14072" w:type="dxa"/>
            <w:gridSpan w:val="8"/>
            <w:tcBorders>
              <w:top w:val="nil"/>
              <w:left w:val="nil"/>
              <w:bottom w:val="nil"/>
              <w:right w:val="nil"/>
            </w:tcBorders>
            <w:noWrap w:val="0"/>
            <w:vAlign w:val="center"/>
          </w:tcPr>
          <w:p>
            <w:pPr>
              <w:widowControl/>
              <w:jc w:val="center"/>
              <w:rPr>
                <w:rFonts w:ascii="华文中宋" w:hAnsi="华文中宋" w:eastAsia="华文中宋" w:cs="宋体"/>
                <w:kern w:val="0"/>
                <w:sz w:val="32"/>
                <w:szCs w:val="32"/>
              </w:rPr>
            </w:pPr>
            <w:r>
              <w:rPr>
                <w:rFonts w:hint="eastAsia" w:ascii="黑体" w:hAnsi="黑体" w:eastAsia="黑体" w:cs="黑体"/>
                <w:sz w:val="36"/>
                <w:szCs w:val="32"/>
              </w:rPr>
              <w:t>部门收支决算总表</w:t>
            </w:r>
          </w:p>
        </w:tc>
      </w:tr>
      <w:tr>
        <w:tblPrEx>
          <w:tblCellMar>
            <w:top w:w="0" w:type="dxa"/>
            <w:left w:w="108" w:type="dxa"/>
            <w:bottom w:w="0" w:type="dxa"/>
            <w:right w:w="108" w:type="dxa"/>
          </w:tblCellMar>
        </w:tblPrEx>
        <w:trPr>
          <w:trHeight w:val="346" w:hRule="atLeast"/>
        </w:trPr>
        <w:tc>
          <w:tcPr>
            <w:tcW w:w="812"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233"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16" w:type="dxa"/>
            <w:gridSpan w:val="2"/>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0" w:type="dxa"/>
            <w:gridSpan w:val="2"/>
            <w:tcBorders>
              <w:top w:val="nil"/>
              <w:left w:val="nil"/>
              <w:bottom w:val="nil"/>
              <w:right w:val="nil"/>
            </w:tcBorders>
            <w:noWrap w:val="0"/>
            <w:vAlign w:val="center"/>
          </w:tcPr>
          <w:p>
            <w:pPr>
              <w:widowControl/>
              <w:jc w:val="right"/>
              <w:rPr>
                <w:rFonts w:hint="eastAsia" w:ascii="宋体" w:hAnsi="宋体" w:eastAsia="宋体" w:cs="宋体"/>
                <w:kern w:val="0"/>
                <w:sz w:val="20"/>
                <w:szCs w:val="20"/>
              </w:rPr>
            </w:pPr>
          </w:p>
        </w:tc>
        <w:tc>
          <w:tcPr>
            <w:tcW w:w="4842" w:type="dxa"/>
            <w:tcBorders>
              <w:top w:val="nil"/>
              <w:left w:val="nil"/>
              <w:bottom w:val="nil"/>
              <w:right w:val="nil"/>
            </w:tcBorders>
            <w:noWrap/>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1</w:t>
            </w:r>
            <w:r>
              <w:rPr>
                <w:rFonts w:hint="eastAsia" w:eastAsia="仿宋_GB2312"/>
                <w:color w:val="000000"/>
                <w:kern w:val="0"/>
                <w:szCs w:val="21"/>
              </w:rPr>
              <w:t>表</w:t>
            </w:r>
          </w:p>
        </w:tc>
      </w:tr>
      <w:tr>
        <w:tblPrEx>
          <w:tblCellMar>
            <w:top w:w="0" w:type="dxa"/>
            <w:left w:w="108" w:type="dxa"/>
            <w:bottom w:w="0" w:type="dxa"/>
            <w:right w:w="108" w:type="dxa"/>
          </w:tblCellMar>
        </w:tblPrEx>
        <w:trPr>
          <w:trHeight w:val="346" w:hRule="atLeast"/>
        </w:trPr>
        <w:tc>
          <w:tcPr>
            <w:tcW w:w="812" w:type="dxa"/>
            <w:tcBorders>
              <w:top w:val="nil"/>
              <w:left w:val="nil"/>
              <w:bottom w:val="nil"/>
              <w:right w:val="nil"/>
            </w:tcBorders>
            <w:noWrap/>
            <w:vAlign w:val="center"/>
          </w:tcPr>
          <w:p>
            <w:pPr>
              <w:widowControl/>
              <w:jc w:val="both"/>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942" w:type="dxa"/>
            <w:gridSpan w:val="2"/>
            <w:tcBorders>
              <w:top w:val="nil"/>
              <w:left w:val="nil"/>
              <w:bottom w:val="nil"/>
              <w:right w:val="nil"/>
            </w:tcBorders>
            <w:noWrap w:val="0"/>
            <w:vAlign w:val="center"/>
          </w:tcPr>
          <w:p>
            <w:pPr>
              <w:widowControl/>
              <w:jc w:val="both"/>
              <w:rPr>
                <w:rFonts w:hint="eastAsia" w:ascii="宋体" w:hAnsi="宋体" w:eastAsia="仿宋_GB2312" w:cs="宋体"/>
                <w:kern w:val="0"/>
                <w:sz w:val="20"/>
                <w:szCs w:val="20"/>
                <w:lang w:eastAsia="zh-CN"/>
              </w:rPr>
            </w:pPr>
            <w:r>
              <w:rPr>
                <w:rFonts w:hint="eastAsia" w:ascii="宋体" w:hAnsi="宋体" w:cs="宋体"/>
                <w:kern w:val="0"/>
                <w:sz w:val="20"/>
                <w:szCs w:val="20"/>
                <w:lang w:eastAsia="zh-CN"/>
              </w:rPr>
              <w:t>蓝山县教师进修学校</w:t>
            </w:r>
          </w:p>
        </w:tc>
        <w:tc>
          <w:tcPr>
            <w:tcW w:w="241"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0" w:type="dxa"/>
            <w:gridSpan w:val="2"/>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17" w:type="dxa"/>
            <w:gridSpan w:val="2"/>
            <w:tcBorders>
              <w:top w:val="nil"/>
              <w:left w:val="nil"/>
              <w:bottom w:val="nil"/>
              <w:right w:val="nil"/>
            </w:tcBorders>
            <w:noWrap/>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pPr>
        <w:widowControl/>
        <w:spacing w:line="320" w:lineRule="exact"/>
        <w:ind w:right="198"/>
        <w:jc w:val="right"/>
        <w:rPr>
          <w:rFonts w:hint="eastAsia" w:eastAsia="仿宋_GB2312"/>
          <w:color w:val="000000"/>
          <w:kern w:val="0"/>
          <w:szCs w:val="21"/>
          <w:lang w:eastAsia="zh-CN"/>
        </w:rPr>
      </w:pPr>
    </w:p>
    <w:tbl>
      <w:tblPr>
        <w:tblStyle w:val="8"/>
        <w:tblW w:w="14061" w:type="dxa"/>
        <w:jc w:val="center"/>
        <w:tblLayout w:type="fixed"/>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项目</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项目</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栏次</w:t>
            </w:r>
          </w:p>
        </w:tc>
        <w:tc>
          <w:tcPr>
            <w:tcW w:w="702" w:type="dxa"/>
            <w:tcBorders>
              <w:top w:val="nil"/>
              <w:left w:val="nil"/>
              <w:bottom w:val="single" w:color="auto" w:sz="4" w:space="0"/>
              <w:right w:val="single" w:color="auto" w:sz="4" w:space="0"/>
            </w:tcBorders>
            <w:noWrap/>
            <w:vAlign w:val="center"/>
          </w:tcPr>
          <w:p>
            <w:pPr>
              <w:rPr>
                <w:rFonts w:eastAsia="仿宋_GB2312"/>
                <w:kern w:val="0"/>
                <w:szCs w:val="21"/>
              </w:rPr>
            </w:pPr>
            <w:r>
              <w:rPr>
                <w:rFonts w:hint="eastAsia" w:eastAsia="仿宋_GB2312"/>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栏次</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lang w:val="en-US" w:eastAsia="zh-CN"/>
              </w:rPr>
              <w:t>366.00</w:t>
            </w: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14</w:t>
            </w:r>
          </w:p>
        </w:tc>
        <w:tc>
          <w:tcPr>
            <w:tcW w:w="1681"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15</w:t>
            </w:r>
          </w:p>
        </w:tc>
        <w:tc>
          <w:tcPr>
            <w:tcW w:w="1681"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3</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16</w:t>
            </w:r>
          </w:p>
        </w:tc>
        <w:tc>
          <w:tcPr>
            <w:tcW w:w="1681"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4</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17</w:t>
            </w:r>
          </w:p>
        </w:tc>
        <w:tc>
          <w:tcPr>
            <w:tcW w:w="1681"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5</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18</w:t>
            </w:r>
          </w:p>
        </w:tc>
        <w:tc>
          <w:tcPr>
            <w:tcW w:w="1681"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lang w:val="en-US" w:eastAsia="zh-CN"/>
              </w:rPr>
              <w:t>366.00</w:t>
            </w:r>
            <w:r>
              <w:rPr>
                <w:rFonts w:hint="eastAsia" w:eastAsia="仿宋_GB2312"/>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6</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19</w:t>
            </w:r>
          </w:p>
        </w:tc>
        <w:tc>
          <w:tcPr>
            <w:tcW w:w="1681"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7</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20</w:t>
            </w:r>
          </w:p>
        </w:tc>
        <w:tc>
          <w:tcPr>
            <w:tcW w:w="1681"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8</w:t>
            </w:r>
          </w:p>
        </w:tc>
        <w:tc>
          <w:tcPr>
            <w:tcW w:w="1224"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21</w:t>
            </w:r>
          </w:p>
        </w:tc>
        <w:tc>
          <w:tcPr>
            <w:tcW w:w="1681"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eastAsia="仿宋_GB2312"/>
                <w:b/>
                <w:bCs/>
                <w:kern w:val="0"/>
                <w:szCs w:val="21"/>
              </w:rPr>
            </w:pPr>
            <w:r>
              <w:rPr>
                <w:rFonts w:hint="eastAsia" w:eastAsia="仿宋_GB2312"/>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9</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lang w:val="en-US" w:eastAsia="zh-CN"/>
              </w:rPr>
              <w:t>366.00</w:t>
            </w: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center"/>
              <w:rPr>
                <w:rFonts w:eastAsia="仿宋_GB2312"/>
                <w:b/>
                <w:bCs/>
                <w:kern w:val="0"/>
                <w:szCs w:val="21"/>
              </w:rPr>
            </w:pPr>
            <w:r>
              <w:rPr>
                <w:rFonts w:hint="eastAsia" w:eastAsia="仿宋_GB2312"/>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22</w:t>
            </w:r>
          </w:p>
        </w:tc>
        <w:tc>
          <w:tcPr>
            <w:tcW w:w="1681" w:type="dxa"/>
            <w:tcBorders>
              <w:top w:val="nil"/>
              <w:left w:val="nil"/>
              <w:bottom w:val="single" w:color="auto" w:sz="4" w:space="0"/>
              <w:right w:val="single" w:color="auto" w:sz="4" w:space="0"/>
            </w:tcBorders>
            <w:noWrap/>
            <w:vAlign w:val="center"/>
          </w:tcPr>
          <w:p>
            <w:pPr>
              <w:widowControl/>
              <w:jc w:val="right"/>
              <w:rPr>
                <w:rFonts w:eastAsia="仿宋_GB2312"/>
                <w:b/>
                <w:bCs/>
                <w:kern w:val="0"/>
                <w:szCs w:val="21"/>
              </w:rPr>
            </w:pPr>
            <w:r>
              <w:rPr>
                <w:rFonts w:hint="eastAsia" w:eastAsia="仿宋_GB2312"/>
                <w:kern w:val="0"/>
                <w:szCs w:val="21"/>
                <w:lang w:val="en-US" w:eastAsia="zh-CN"/>
              </w:rPr>
              <w:t>366.00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10</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23</w:t>
            </w:r>
          </w:p>
        </w:tc>
        <w:tc>
          <w:tcPr>
            <w:tcW w:w="1681"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11</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24</w:t>
            </w:r>
          </w:p>
        </w:tc>
        <w:tc>
          <w:tcPr>
            <w:tcW w:w="1681"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12</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25</w:t>
            </w:r>
          </w:p>
        </w:tc>
        <w:tc>
          <w:tcPr>
            <w:tcW w:w="1681"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eastAsia="仿宋_GB2312"/>
                <w:b/>
                <w:bCs/>
                <w:kern w:val="0"/>
                <w:szCs w:val="21"/>
              </w:rPr>
            </w:pPr>
            <w:r>
              <w:rPr>
                <w:rFonts w:hint="eastAsia" w:eastAsia="仿宋_GB2312"/>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13</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lang w:val="en-US" w:eastAsia="zh-CN"/>
              </w:rPr>
              <w:t>366.00</w:t>
            </w: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pPr>
              <w:widowControl/>
              <w:jc w:val="center"/>
              <w:rPr>
                <w:rFonts w:eastAsia="仿宋_GB2312"/>
                <w:b/>
                <w:bCs/>
                <w:kern w:val="0"/>
                <w:szCs w:val="21"/>
              </w:rPr>
            </w:pPr>
            <w:r>
              <w:rPr>
                <w:rFonts w:hint="eastAsia" w:eastAsia="仿宋_GB2312"/>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26</w:t>
            </w:r>
          </w:p>
        </w:tc>
        <w:tc>
          <w:tcPr>
            <w:tcW w:w="1681" w:type="dxa"/>
            <w:tcBorders>
              <w:top w:val="nil"/>
              <w:left w:val="nil"/>
              <w:bottom w:val="single" w:color="auto" w:sz="4" w:space="0"/>
              <w:right w:val="single" w:color="auto" w:sz="4" w:space="0"/>
            </w:tcBorders>
            <w:noWrap/>
            <w:vAlign w:val="center"/>
          </w:tcPr>
          <w:p>
            <w:pPr>
              <w:widowControl/>
              <w:jc w:val="right"/>
              <w:rPr>
                <w:rFonts w:eastAsia="仿宋_GB2312"/>
                <w:b/>
                <w:bCs/>
                <w:kern w:val="0"/>
                <w:szCs w:val="21"/>
              </w:rPr>
            </w:pPr>
            <w:r>
              <w:rPr>
                <w:rFonts w:hint="eastAsia" w:eastAsia="仿宋_GB2312"/>
                <w:b/>
                <w:bCs/>
                <w:kern w:val="0"/>
                <w:szCs w:val="21"/>
              </w:rPr>
              <w:t>　</w:t>
            </w:r>
            <w:r>
              <w:rPr>
                <w:rFonts w:hint="eastAsia" w:eastAsia="仿宋_GB2312"/>
                <w:kern w:val="0"/>
                <w:szCs w:val="21"/>
                <w:lang w:val="en-US" w:eastAsia="zh-CN"/>
              </w:rPr>
              <w:t>366.00</w:t>
            </w:r>
          </w:p>
        </w:tc>
      </w:tr>
    </w:tbl>
    <w:p>
      <w:pPr>
        <w:widowControl/>
        <w:ind w:firstLine="630" w:firstLineChars="300"/>
        <w:jc w:val="left"/>
        <w:rPr>
          <w:rFonts w:eastAsia="仿宋_GB2312"/>
          <w:kern w:val="0"/>
          <w:szCs w:val="21"/>
        </w:rPr>
      </w:pPr>
      <w:r>
        <w:rPr>
          <w:rFonts w:hint="eastAsia" w:eastAsia="仿宋_GB2312"/>
          <w:kern w:val="0"/>
          <w:szCs w:val="21"/>
        </w:rPr>
        <w:t>注：本表反映部门本年度的总收支和年末结转结余情况。</w:t>
      </w:r>
    </w:p>
    <w:p>
      <w:pPr>
        <w:widowControl/>
        <w:jc w:val="left"/>
        <w:rPr>
          <w:rFonts w:eastAsia="黑体"/>
          <w:bCs/>
          <w:kern w:val="0"/>
          <w:sz w:val="32"/>
          <w:szCs w:val="32"/>
        </w:rPr>
      </w:pPr>
      <w:r>
        <w:rPr>
          <w:rFonts w:eastAsia="黑体"/>
          <w:bCs/>
          <w:kern w:val="0"/>
          <w:sz w:val="32"/>
          <w:szCs w:val="32"/>
        </w:rPr>
        <w:br w:type="page"/>
      </w:r>
    </w:p>
    <w:tbl>
      <w:tblPr>
        <w:tblStyle w:val="8"/>
        <w:tblpPr w:leftFromText="180" w:rightFromText="180" w:vertAnchor="text" w:horzAnchor="page" w:tblpX="1591" w:tblpY="555"/>
        <w:tblOverlap w:val="never"/>
        <w:tblW w:w="13849" w:type="dxa"/>
        <w:tblInd w:w="0" w:type="dxa"/>
        <w:tblLayout w:type="fixed"/>
        <w:tblCellMar>
          <w:top w:w="0" w:type="dxa"/>
          <w:left w:w="108" w:type="dxa"/>
          <w:bottom w:w="0" w:type="dxa"/>
          <w:right w:w="108" w:type="dxa"/>
        </w:tblCellMar>
      </w:tblPr>
      <w:tblGrid>
        <w:gridCol w:w="763"/>
        <w:gridCol w:w="636"/>
        <w:gridCol w:w="4200"/>
        <w:gridCol w:w="240"/>
        <w:gridCol w:w="372"/>
        <w:gridCol w:w="2466"/>
        <w:gridCol w:w="372"/>
        <w:gridCol w:w="4800"/>
      </w:tblGrid>
      <w:tr>
        <w:tblPrEx>
          <w:tblCellMar>
            <w:top w:w="0" w:type="dxa"/>
            <w:left w:w="108" w:type="dxa"/>
            <w:bottom w:w="0" w:type="dxa"/>
            <w:right w:w="108" w:type="dxa"/>
          </w:tblCellMar>
        </w:tblPrEx>
        <w:trPr>
          <w:trHeight w:val="1381" w:hRule="atLeast"/>
        </w:trPr>
        <w:tc>
          <w:tcPr>
            <w:tcW w:w="13849" w:type="dxa"/>
            <w:gridSpan w:val="8"/>
            <w:tcBorders>
              <w:top w:val="nil"/>
              <w:left w:val="nil"/>
              <w:bottom w:val="nil"/>
              <w:right w:val="nil"/>
            </w:tcBorders>
            <w:noWrap w:val="0"/>
            <w:vAlign w:val="center"/>
          </w:tcPr>
          <w:p>
            <w:pPr>
              <w:jc w:val="center"/>
              <w:rPr>
                <w:rFonts w:ascii="华文中宋" w:hAnsi="华文中宋" w:eastAsia="华文中宋" w:cs="宋体"/>
                <w:kern w:val="0"/>
                <w:sz w:val="32"/>
                <w:szCs w:val="32"/>
              </w:rPr>
            </w:pPr>
            <w:r>
              <w:rPr>
                <w:rFonts w:hint="eastAsia" w:ascii="黑体" w:hAnsi="黑体" w:eastAsia="黑体" w:cs="黑体"/>
                <w:sz w:val="36"/>
                <w:szCs w:val="32"/>
              </w:rPr>
              <w:t>部门收入决算表</w:t>
            </w:r>
          </w:p>
        </w:tc>
      </w:tr>
      <w:tr>
        <w:tblPrEx>
          <w:tblCellMar>
            <w:top w:w="0" w:type="dxa"/>
            <w:left w:w="108" w:type="dxa"/>
            <w:bottom w:w="0" w:type="dxa"/>
            <w:right w:w="108" w:type="dxa"/>
          </w:tblCellMar>
        </w:tblPrEx>
        <w:trPr>
          <w:trHeight w:val="345" w:hRule="atLeast"/>
        </w:trPr>
        <w:tc>
          <w:tcPr>
            <w:tcW w:w="763"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36"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200"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12" w:type="dxa"/>
            <w:gridSpan w:val="2"/>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38" w:type="dxa"/>
            <w:gridSpan w:val="2"/>
            <w:tcBorders>
              <w:top w:val="nil"/>
              <w:left w:val="nil"/>
              <w:bottom w:val="nil"/>
              <w:right w:val="nil"/>
            </w:tcBorders>
            <w:noWrap w:val="0"/>
            <w:vAlign w:val="center"/>
          </w:tcPr>
          <w:p>
            <w:pPr>
              <w:widowControl/>
              <w:jc w:val="right"/>
              <w:rPr>
                <w:rFonts w:hint="eastAsia" w:ascii="宋体" w:hAnsi="宋体" w:eastAsia="宋体" w:cs="宋体"/>
                <w:kern w:val="0"/>
                <w:sz w:val="20"/>
                <w:szCs w:val="20"/>
              </w:rPr>
            </w:pPr>
          </w:p>
        </w:tc>
        <w:tc>
          <w:tcPr>
            <w:tcW w:w="4800" w:type="dxa"/>
            <w:tcBorders>
              <w:top w:val="nil"/>
              <w:left w:val="nil"/>
              <w:bottom w:val="nil"/>
              <w:right w:val="nil"/>
            </w:tcBorders>
            <w:noWrap/>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2</w:t>
            </w:r>
            <w:r>
              <w:rPr>
                <w:rFonts w:hint="eastAsia" w:eastAsia="仿宋_GB2312"/>
                <w:color w:val="000000"/>
                <w:kern w:val="0"/>
                <w:szCs w:val="21"/>
              </w:rPr>
              <w:t>表</w:t>
            </w:r>
          </w:p>
        </w:tc>
      </w:tr>
      <w:tr>
        <w:tblPrEx>
          <w:tblCellMar>
            <w:top w:w="0" w:type="dxa"/>
            <w:left w:w="108" w:type="dxa"/>
            <w:bottom w:w="0" w:type="dxa"/>
            <w:right w:w="108" w:type="dxa"/>
          </w:tblCellMar>
        </w:tblPrEx>
        <w:trPr>
          <w:trHeight w:val="345" w:hRule="atLeast"/>
        </w:trPr>
        <w:tc>
          <w:tcPr>
            <w:tcW w:w="763" w:type="dxa"/>
            <w:tcBorders>
              <w:top w:val="nil"/>
              <w:left w:val="nil"/>
              <w:bottom w:val="nil"/>
              <w:right w:val="nil"/>
            </w:tcBorders>
            <w:noWrap/>
            <w:vAlign w:val="center"/>
          </w:tcPr>
          <w:p>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836" w:type="dxa"/>
            <w:gridSpan w:val="2"/>
            <w:tcBorders>
              <w:top w:val="nil"/>
              <w:left w:val="nil"/>
              <w:bottom w:val="nil"/>
              <w:right w:val="nil"/>
            </w:tcBorders>
            <w:noWrap w:val="0"/>
            <w:vAlign w:val="center"/>
          </w:tcPr>
          <w:p>
            <w:pPr>
              <w:widowControl/>
              <w:jc w:val="both"/>
              <w:rPr>
                <w:rFonts w:hint="eastAsia" w:ascii="宋体" w:hAnsi="宋体" w:eastAsia="仿宋_GB2312" w:cs="宋体"/>
                <w:kern w:val="0"/>
                <w:sz w:val="20"/>
                <w:szCs w:val="20"/>
                <w:lang w:eastAsia="zh-CN"/>
              </w:rPr>
            </w:pPr>
            <w:r>
              <w:rPr>
                <w:rFonts w:hint="eastAsia" w:ascii="宋体" w:hAnsi="宋体" w:cs="宋体"/>
                <w:kern w:val="0"/>
                <w:sz w:val="20"/>
                <w:szCs w:val="20"/>
                <w:lang w:eastAsia="zh-CN"/>
              </w:rPr>
              <w:t>蓝山县教师进修学校</w:t>
            </w:r>
          </w:p>
        </w:tc>
        <w:tc>
          <w:tcPr>
            <w:tcW w:w="240"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38" w:type="dxa"/>
            <w:gridSpan w:val="2"/>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172" w:type="dxa"/>
            <w:gridSpan w:val="2"/>
            <w:tcBorders>
              <w:top w:val="nil"/>
              <w:left w:val="nil"/>
              <w:bottom w:val="nil"/>
              <w:right w:val="nil"/>
            </w:tcBorders>
            <w:noWrap/>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pPr>
        <w:widowControl/>
        <w:ind w:firstLine="630" w:firstLineChars="300"/>
        <w:jc w:val="left"/>
        <w:rPr>
          <w:rFonts w:hint="eastAsia" w:eastAsia="仿宋_GB2312"/>
          <w:color w:val="000000"/>
          <w:kern w:val="0"/>
          <w:szCs w:val="21"/>
          <w:lang w:eastAsia="zh-CN"/>
        </w:rPr>
      </w:pPr>
    </w:p>
    <w:tbl>
      <w:tblPr>
        <w:tblStyle w:val="8"/>
        <w:tblW w:w="13813" w:type="dxa"/>
        <w:jc w:val="center"/>
        <w:tblLayout w:type="fixed"/>
        <w:tblCellMar>
          <w:top w:w="0" w:type="dxa"/>
          <w:left w:w="108" w:type="dxa"/>
          <w:bottom w:w="0" w:type="dxa"/>
          <w:right w:w="108" w:type="dxa"/>
        </w:tblCellMar>
      </w:tblPr>
      <w:tblGrid>
        <w:gridCol w:w="1074"/>
        <w:gridCol w:w="1444"/>
        <w:gridCol w:w="1543"/>
        <w:gridCol w:w="1595"/>
        <w:gridCol w:w="1676"/>
        <w:gridCol w:w="1382"/>
        <w:gridCol w:w="1412"/>
        <w:gridCol w:w="1676"/>
        <w:gridCol w:w="2011"/>
      </w:tblGrid>
      <w:tr>
        <w:tblPrEx>
          <w:tblCellMar>
            <w:top w:w="0" w:type="dxa"/>
            <w:left w:w="108" w:type="dxa"/>
            <w:bottom w:w="0" w:type="dxa"/>
            <w:right w:w="108" w:type="dxa"/>
          </w:tblCellMar>
        </w:tblPrEx>
        <w:trPr>
          <w:trHeight w:val="450" w:hRule="atLeast"/>
          <w:jc w:val="center"/>
        </w:trPr>
        <w:tc>
          <w:tcPr>
            <w:tcW w:w="251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项目</w:t>
            </w:r>
          </w:p>
        </w:tc>
        <w:tc>
          <w:tcPr>
            <w:tcW w:w="154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本年收入合计</w:t>
            </w:r>
          </w:p>
        </w:tc>
        <w:tc>
          <w:tcPr>
            <w:tcW w:w="159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财政拨款收入</w:t>
            </w:r>
          </w:p>
        </w:tc>
        <w:tc>
          <w:tcPr>
            <w:tcW w:w="167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上级补助收入</w:t>
            </w:r>
          </w:p>
        </w:tc>
        <w:tc>
          <w:tcPr>
            <w:tcW w:w="138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事业收入</w:t>
            </w:r>
          </w:p>
        </w:tc>
        <w:tc>
          <w:tcPr>
            <w:tcW w:w="141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经营收入</w:t>
            </w:r>
          </w:p>
        </w:tc>
        <w:tc>
          <w:tcPr>
            <w:tcW w:w="167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附属单位上缴收入</w:t>
            </w:r>
          </w:p>
        </w:tc>
        <w:tc>
          <w:tcPr>
            <w:tcW w:w="201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其他收入</w:t>
            </w:r>
          </w:p>
        </w:tc>
      </w:tr>
      <w:tr>
        <w:tblPrEx>
          <w:tblCellMar>
            <w:top w:w="0" w:type="dxa"/>
            <w:left w:w="108" w:type="dxa"/>
            <w:bottom w:w="0" w:type="dxa"/>
            <w:right w:w="108" w:type="dxa"/>
          </w:tblCellMar>
        </w:tblPrEx>
        <w:trPr>
          <w:trHeight w:val="450" w:hRule="atLeast"/>
          <w:jc w:val="center"/>
        </w:trPr>
        <w:tc>
          <w:tcPr>
            <w:tcW w:w="107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功能分类科目编码</w:t>
            </w:r>
          </w:p>
        </w:tc>
        <w:tc>
          <w:tcPr>
            <w:tcW w:w="144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科目名称</w:t>
            </w:r>
          </w:p>
        </w:tc>
        <w:tc>
          <w:tcPr>
            <w:tcW w:w="15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5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6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3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4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6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201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r>
      <w:tr>
        <w:tblPrEx>
          <w:tblCellMar>
            <w:top w:w="0" w:type="dxa"/>
            <w:left w:w="108" w:type="dxa"/>
            <w:bottom w:w="0" w:type="dxa"/>
            <w:right w:w="108" w:type="dxa"/>
          </w:tblCellMar>
        </w:tblPrEx>
        <w:trPr>
          <w:trHeight w:val="450" w:hRule="atLeast"/>
          <w:jc w:val="center"/>
        </w:trPr>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44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5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5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6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3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4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6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201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r>
      <w:tr>
        <w:tblPrEx>
          <w:tblCellMar>
            <w:top w:w="0" w:type="dxa"/>
            <w:left w:w="108" w:type="dxa"/>
            <w:bottom w:w="0" w:type="dxa"/>
            <w:right w:w="108" w:type="dxa"/>
          </w:tblCellMar>
        </w:tblPrEx>
        <w:trPr>
          <w:trHeight w:val="450" w:hRule="atLeast"/>
          <w:jc w:val="center"/>
        </w:trPr>
        <w:tc>
          <w:tcPr>
            <w:tcW w:w="2518"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栏次</w:t>
            </w:r>
          </w:p>
        </w:tc>
        <w:tc>
          <w:tcPr>
            <w:tcW w:w="15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w:t>
            </w:r>
          </w:p>
        </w:tc>
        <w:tc>
          <w:tcPr>
            <w:tcW w:w="159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w:t>
            </w:r>
          </w:p>
        </w:tc>
        <w:tc>
          <w:tcPr>
            <w:tcW w:w="167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3</w:t>
            </w:r>
          </w:p>
        </w:tc>
        <w:tc>
          <w:tcPr>
            <w:tcW w:w="138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4</w:t>
            </w:r>
          </w:p>
        </w:tc>
        <w:tc>
          <w:tcPr>
            <w:tcW w:w="141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5</w:t>
            </w:r>
          </w:p>
        </w:tc>
        <w:tc>
          <w:tcPr>
            <w:tcW w:w="167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6</w:t>
            </w:r>
          </w:p>
        </w:tc>
        <w:tc>
          <w:tcPr>
            <w:tcW w:w="201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7</w:t>
            </w:r>
          </w:p>
        </w:tc>
      </w:tr>
      <w:tr>
        <w:tblPrEx>
          <w:tblCellMar>
            <w:top w:w="0" w:type="dxa"/>
            <w:left w:w="108" w:type="dxa"/>
            <w:bottom w:w="0" w:type="dxa"/>
            <w:right w:w="108" w:type="dxa"/>
          </w:tblCellMar>
        </w:tblPrEx>
        <w:trPr>
          <w:trHeight w:val="450" w:hRule="atLeast"/>
          <w:jc w:val="center"/>
        </w:trPr>
        <w:tc>
          <w:tcPr>
            <w:tcW w:w="2518"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合计</w:t>
            </w:r>
          </w:p>
        </w:tc>
        <w:tc>
          <w:tcPr>
            <w:tcW w:w="154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eastAsia="仿宋_GB2312"/>
                <w:kern w:val="0"/>
                <w:szCs w:val="21"/>
              </w:rPr>
            </w:pPr>
            <w:r>
              <w:rPr>
                <w:rFonts w:hint="eastAsia" w:eastAsia="仿宋_GB2312"/>
                <w:kern w:val="0"/>
                <w:szCs w:val="21"/>
                <w:lang w:val="en-US" w:eastAsia="zh-CN"/>
              </w:rPr>
              <w:t>366.00</w:t>
            </w:r>
          </w:p>
        </w:tc>
        <w:tc>
          <w:tcPr>
            <w:tcW w:w="159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eastAsia="仿宋_GB2312"/>
                <w:kern w:val="0"/>
                <w:szCs w:val="21"/>
              </w:rPr>
            </w:pPr>
            <w:r>
              <w:rPr>
                <w:rFonts w:hint="eastAsia" w:eastAsia="仿宋_GB2312"/>
                <w:kern w:val="0"/>
                <w:szCs w:val="21"/>
                <w:lang w:val="en-US" w:eastAsia="zh-CN"/>
              </w:rPr>
              <w:t>366.00</w:t>
            </w:r>
          </w:p>
        </w:tc>
        <w:tc>
          <w:tcPr>
            <w:tcW w:w="1676"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382"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412"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2011"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450" w:hRule="atLeast"/>
          <w:jc w:val="center"/>
        </w:trPr>
        <w:tc>
          <w:tcPr>
            <w:tcW w:w="1074"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205</w:t>
            </w:r>
          </w:p>
        </w:tc>
        <w:tc>
          <w:tcPr>
            <w:tcW w:w="144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eastAsia="仿宋_GB2312"/>
                <w:kern w:val="0"/>
                <w:szCs w:val="21"/>
              </w:rPr>
            </w:pPr>
            <w:r>
              <w:rPr>
                <w:rFonts w:hint="eastAsia" w:ascii="宋体" w:hAnsi="宋体" w:eastAsia="宋体" w:cs="宋体"/>
                <w:i w:val="0"/>
                <w:color w:val="000000"/>
                <w:kern w:val="0"/>
                <w:sz w:val="22"/>
                <w:szCs w:val="22"/>
                <w:u w:val="none"/>
                <w:lang w:val="en-US" w:eastAsia="zh-CN" w:bidi="ar"/>
              </w:rPr>
              <w:t>教育支出</w:t>
            </w:r>
          </w:p>
        </w:tc>
        <w:tc>
          <w:tcPr>
            <w:tcW w:w="154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eastAsia="仿宋_GB2312"/>
                <w:kern w:val="0"/>
                <w:szCs w:val="21"/>
              </w:rPr>
            </w:pPr>
            <w:r>
              <w:rPr>
                <w:rFonts w:hint="eastAsia" w:eastAsia="仿宋_GB2312"/>
                <w:kern w:val="0"/>
                <w:szCs w:val="21"/>
                <w:lang w:val="en-US" w:eastAsia="zh-CN"/>
              </w:rPr>
              <w:t>366.00</w:t>
            </w:r>
          </w:p>
        </w:tc>
        <w:tc>
          <w:tcPr>
            <w:tcW w:w="159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eastAsia="仿宋_GB2312"/>
                <w:kern w:val="0"/>
                <w:szCs w:val="21"/>
              </w:rPr>
            </w:pPr>
            <w:r>
              <w:rPr>
                <w:rFonts w:hint="eastAsia" w:eastAsia="仿宋_GB2312"/>
                <w:kern w:val="0"/>
                <w:szCs w:val="21"/>
                <w:lang w:val="en-US" w:eastAsia="zh-CN"/>
              </w:rPr>
              <w:t>366.00</w:t>
            </w:r>
          </w:p>
        </w:tc>
        <w:tc>
          <w:tcPr>
            <w:tcW w:w="1676"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382"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412"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2011"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450" w:hRule="atLeast"/>
          <w:jc w:val="center"/>
        </w:trPr>
        <w:tc>
          <w:tcPr>
            <w:tcW w:w="1074"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2050</w:t>
            </w:r>
            <w:r>
              <w:rPr>
                <w:rFonts w:hint="eastAsia" w:eastAsia="仿宋_GB2312" w:cs="Times New Roman"/>
                <w:kern w:val="0"/>
                <w:szCs w:val="21"/>
                <w:lang w:val="en-US" w:eastAsia="zh-CN"/>
              </w:rPr>
              <w:t>8</w:t>
            </w:r>
          </w:p>
        </w:tc>
        <w:tc>
          <w:tcPr>
            <w:tcW w:w="144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eastAsia="仿宋_GB2312"/>
                <w:kern w:val="0"/>
                <w:szCs w:val="21"/>
              </w:rPr>
            </w:pPr>
            <w:r>
              <w:rPr>
                <w:rFonts w:hint="eastAsia" w:ascii="宋体" w:hAnsi="宋体" w:cs="宋体"/>
                <w:i w:val="0"/>
                <w:color w:val="000000"/>
                <w:kern w:val="0"/>
                <w:sz w:val="22"/>
                <w:szCs w:val="22"/>
                <w:u w:val="none"/>
                <w:lang w:val="en-US" w:eastAsia="zh-CN" w:bidi="ar"/>
              </w:rPr>
              <w:t>进修及培训</w:t>
            </w:r>
          </w:p>
        </w:tc>
        <w:tc>
          <w:tcPr>
            <w:tcW w:w="1543" w:type="dxa"/>
            <w:tcBorders>
              <w:top w:val="single" w:color="auto" w:sz="4" w:space="0"/>
              <w:left w:val="single" w:color="auto" w:sz="4" w:space="0"/>
              <w:bottom w:val="single" w:color="auto" w:sz="4" w:space="0"/>
              <w:right w:val="single" w:color="auto" w:sz="4" w:space="0"/>
            </w:tcBorders>
            <w:noWrap/>
            <w:vAlign w:val="center"/>
          </w:tcPr>
          <w:p>
            <w:pPr>
              <w:widowControl/>
              <w:jc w:val="both"/>
              <w:rPr>
                <w:rFonts w:eastAsia="仿宋_GB2312"/>
                <w:kern w:val="0"/>
                <w:szCs w:val="21"/>
              </w:rPr>
            </w:pPr>
            <w:r>
              <w:rPr>
                <w:rFonts w:hint="eastAsia" w:eastAsia="仿宋_GB2312"/>
                <w:kern w:val="0"/>
                <w:szCs w:val="21"/>
                <w:lang w:val="en-US" w:eastAsia="zh-CN"/>
              </w:rPr>
              <w:t>366.00</w:t>
            </w:r>
          </w:p>
        </w:tc>
        <w:tc>
          <w:tcPr>
            <w:tcW w:w="1595" w:type="dxa"/>
            <w:tcBorders>
              <w:top w:val="single" w:color="auto" w:sz="4" w:space="0"/>
              <w:left w:val="single" w:color="auto" w:sz="4" w:space="0"/>
              <w:bottom w:val="single" w:color="auto" w:sz="4" w:space="0"/>
              <w:right w:val="single" w:color="auto" w:sz="4" w:space="0"/>
            </w:tcBorders>
            <w:noWrap/>
            <w:vAlign w:val="center"/>
          </w:tcPr>
          <w:p>
            <w:pPr>
              <w:widowControl/>
              <w:jc w:val="both"/>
              <w:rPr>
                <w:rFonts w:eastAsia="仿宋_GB2312"/>
                <w:kern w:val="0"/>
                <w:szCs w:val="21"/>
              </w:rPr>
            </w:pPr>
            <w:r>
              <w:rPr>
                <w:rFonts w:hint="eastAsia" w:eastAsia="仿宋_GB2312"/>
                <w:kern w:val="0"/>
                <w:szCs w:val="21"/>
                <w:lang w:val="en-US" w:eastAsia="zh-CN"/>
              </w:rPr>
              <w:t>366.00</w:t>
            </w:r>
          </w:p>
        </w:tc>
        <w:tc>
          <w:tcPr>
            <w:tcW w:w="1676"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382"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412"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2011"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450" w:hRule="atLeast"/>
          <w:jc w:val="center"/>
        </w:trPr>
        <w:tc>
          <w:tcPr>
            <w:tcW w:w="1074"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ascii="Times New Roman" w:hAnsi="Times New Roman" w:eastAsia="仿宋_GB2312" w:cs="Times New Roman"/>
                <w:kern w:val="0"/>
                <w:szCs w:val="21"/>
                <w:lang w:val="en-US" w:eastAsia="zh-CN"/>
              </w:rPr>
              <w:t>2050</w:t>
            </w:r>
            <w:r>
              <w:rPr>
                <w:rFonts w:hint="eastAsia" w:eastAsia="仿宋_GB2312" w:cs="Times New Roman"/>
                <w:kern w:val="0"/>
                <w:szCs w:val="21"/>
                <w:lang w:val="en-US" w:eastAsia="zh-CN"/>
              </w:rPr>
              <w:t>801</w:t>
            </w:r>
          </w:p>
        </w:tc>
        <w:tc>
          <w:tcPr>
            <w:tcW w:w="1444" w:type="dxa"/>
            <w:tcBorders>
              <w:top w:val="single" w:color="auto" w:sz="4" w:space="0"/>
              <w:left w:val="single" w:color="auto" w:sz="4" w:space="0"/>
              <w:bottom w:val="single" w:color="auto" w:sz="4" w:space="0"/>
              <w:right w:val="single" w:color="auto" w:sz="4" w:space="0"/>
            </w:tcBorders>
            <w:noWrap/>
            <w:vAlign w:val="center"/>
          </w:tcPr>
          <w:p>
            <w:pPr>
              <w:widowControl/>
              <w:jc w:val="both"/>
              <w:rPr>
                <w:rFonts w:eastAsia="仿宋_GB2312"/>
                <w:kern w:val="0"/>
                <w:szCs w:val="21"/>
              </w:rPr>
            </w:pPr>
            <w:r>
              <w:rPr>
                <w:rFonts w:hint="eastAsia" w:ascii="宋体" w:hAnsi="宋体" w:cs="宋体"/>
                <w:i w:val="0"/>
                <w:color w:val="000000"/>
                <w:kern w:val="0"/>
                <w:sz w:val="22"/>
                <w:szCs w:val="22"/>
                <w:u w:val="none"/>
                <w:lang w:val="en-US" w:eastAsia="zh-CN" w:bidi="ar"/>
              </w:rPr>
              <w:t>教师进修</w:t>
            </w:r>
          </w:p>
        </w:tc>
        <w:tc>
          <w:tcPr>
            <w:tcW w:w="154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eastAsia="仿宋_GB2312"/>
                <w:kern w:val="0"/>
                <w:szCs w:val="21"/>
              </w:rPr>
            </w:pPr>
            <w:r>
              <w:rPr>
                <w:rFonts w:hint="eastAsia" w:eastAsia="仿宋_GB2312"/>
                <w:kern w:val="0"/>
                <w:szCs w:val="21"/>
                <w:lang w:val="en-US" w:eastAsia="zh-CN"/>
              </w:rPr>
              <w:t>366.00</w:t>
            </w:r>
          </w:p>
        </w:tc>
        <w:tc>
          <w:tcPr>
            <w:tcW w:w="159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eastAsia="仿宋_GB2312"/>
                <w:kern w:val="0"/>
                <w:szCs w:val="21"/>
              </w:rPr>
            </w:pPr>
            <w:r>
              <w:rPr>
                <w:rFonts w:hint="eastAsia" w:eastAsia="仿宋_GB2312"/>
                <w:kern w:val="0"/>
                <w:szCs w:val="21"/>
                <w:lang w:val="en-US" w:eastAsia="zh-CN"/>
              </w:rPr>
              <w:t>366.00</w:t>
            </w:r>
          </w:p>
        </w:tc>
        <w:tc>
          <w:tcPr>
            <w:tcW w:w="1676"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382"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412"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2011"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450" w:hRule="atLeast"/>
          <w:jc w:val="center"/>
        </w:trPr>
        <w:tc>
          <w:tcPr>
            <w:tcW w:w="1074" w:type="dxa"/>
            <w:tcBorders>
              <w:top w:val="single" w:color="auto" w:sz="4" w:space="0"/>
              <w:left w:val="single" w:color="auto" w:sz="4" w:space="0"/>
              <w:bottom w:val="single" w:color="auto" w:sz="4" w:space="0"/>
              <w:right w:val="single" w:color="auto" w:sz="4" w:space="0"/>
            </w:tcBorders>
            <w:noWrap/>
            <w:vAlign w:val="center"/>
          </w:tcPr>
          <w:p/>
        </w:tc>
        <w:tc>
          <w:tcPr>
            <w:tcW w:w="1444" w:type="dxa"/>
            <w:tcBorders>
              <w:top w:val="single" w:color="auto" w:sz="4" w:space="0"/>
              <w:left w:val="single" w:color="auto" w:sz="4" w:space="0"/>
              <w:bottom w:val="single" w:color="auto" w:sz="4" w:space="0"/>
              <w:right w:val="single" w:color="auto" w:sz="4" w:space="0"/>
            </w:tcBorders>
            <w:noWrap/>
            <w:vAlign w:val="center"/>
          </w:tcPr>
          <w:p/>
        </w:tc>
        <w:tc>
          <w:tcPr>
            <w:tcW w:w="1543" w:type="dxa"/>
            <w:tcBorders>
              <w:top w:val="single" w:color="auto" w:sz="4" w:space="0"/>
              <w:left w:val="single" w:color="auto" w:sz="4" w:space="0"/>
              <w:bottom w:val="single" w:color="auto" w:sz="4" w:space="0"/>
              <w:right w:val="single" w:color="auto" w:sz="4" w:space="0"/>
            </w:tcBorders>
            <w:noWrap/>
            <w:vAlign w:val="center"/>
          </w:tcPr>
          <w:p/>
        </w:tc>
        <w:tc>
          <w:tcPr>
            <w:tcW w:w="1595" w:type="dxa"/>
            <w:tcBorders>
              <w:top w:val="single" w:color="auto" w:sz="4" w:space="0"/>
              <w:left w:val="single" w:color="auto" w:sz="4" w:space="0"/>
              <w:bottom w:val="single" w:color="auto" w:sz="4" w:space="0"/>
              <w:right w:val="single" w:color="auto" w:sz="4" w:space="0"/>
            </w:tcBorders>
            <w:noWrap/>
            <w:vAlign w:val="center"/>
          </w:tcPr>
          <w:p/>
        </w:tc>
        <w:tc>
          <w:tcPr>
            <w:tcW w:w="1676" w:type="dxa"/>
            <w:tcBorders>
              <w:top w:val="single" w:color="auto" w:sz="4" w:space="0"/>
              <w:left w:val="single" w:color="auto" w:sz="4" w:space="0"/>
              <w:bottom w:val="single" w:color="auto" w:sz="4" w:space="0"/>
              <w:right w:val="single" w:color="auto" w:sz="4" w:space="0"/>
            </w:tcBorders>
            <w:noWrap/>
            <w:vAlign w:val="center"/>
          </w:tcPr>
          <w:p/>
        </w:tc>
        <w:tc>
          <w:tcPr>
            <w:tcW w:w="1382" w:type="dxa"/>
            <w:tcBorders>
              <w:top w:val="single" w:color="auto" w:sz="4" w:space="0"/>
              <w:left w:val="single" w:color="auto" w:sz="4" w:space="0"/>
              <w:bottom w:val="single" w:color="auto" w:sz="4" w:space="0"/>
              <w:right w:val="single" w:color="auto" w:sz="4" w:space="0"/>
            </w:tcBorders>
            <w:noWrap/>
            <w:vAlign w:val="center"/>
          </w:tcPr>
          <w:p/>
        </w:tc>
        <w:tc>
          <w:tcPr>
            <w:tcW w:w="1412" w:type="dxa"/>
            <w:tcBorders>
              <w:top w:val="single" w:color="auto" w:sz="4" w:space="0"/>
              <w:left w:val="single" w:color="auto" w:sz="4" w:space="0"/>
              <w:bottom w:val="single" w:color="auto" w:sz="4" w:space="0"/>
              <w:right w:val="single" w:color="auto" w:sz="4" w:space="0"/>
            </w:tcBorders>
            <w:noWrap/>
            <w:vAlign w:val="center"/>
          </w:tcPr>
          <w:p/>
        </w:tc>
        <w:tc>
          <w:tcPr>
            <w:tcW w:w="1676" w:type="dxa"/>
            <w:tcBorders>
              <w:top w:val="single" w:color="auto" w:sz="4" w:space="0"/>
              <w:left w:val="single" w:color="auto" w:sz="4" w:space="0"/>
              <w:bottom w:val="single" w:color="auto" w:sz="4" w:space="0"/>
              <w:right w:val="single" w:color="auto" w:sz="4" w:space="0"/>
            </w:tcBorders>
            <w:noWrap/>
            <w:vAlign w:val="center"/>
          </w:tcPr>
          <w:p/>
        </w:tc>
        <w:tc>
          <w:tcPr>
            <w:tcW w:w="2011" w:type="dxa"/>
            <w:tcBorders>
              <w:top w:val="single" w:color="auto" w:sz="4" w:space="0"/>
              <w:left w:val="single" w:color="auto" w:sz="4" w:space="0"/>
              <w:bottom w:val="single" w:color="auto" w:sz="4" w:space="0"/>
              <w:right w:val="single" w:color="auto" w:sz="4" w:space="0"/>
            </w:tcBorders>
            <w:noWrap/>
            <w:vAlign w:val="center"/>
          </w:tcPr>
          <w:p/>
        </w:tc>
      </w:tr>
      <w:tr>
        <w:tblPrEx>
          <w:tblCellMar>
            <w:top w:w="0" w:type="dxa"/>
            <w:left w:w="108" w:type="dxa"/>
            <w:bottom w:w="0" w:type="dxa"/>
            <w:right w:w="108" w:type="dxa"/>
          </w:tblCellMar>
        </w:tblPrEx>
        <w:trPr>
          <w:trHeight w:val="450" w:hRule="atLeast"/>
          <w:jc w:val="center"/>
        </w:trPr>
        <w:tc>
          <w:tcPr>
            <w:tcW w:w="1074" w:type="dxa"/>
            <w:tcBorders>
              <w:top w:val="single" w:color="auto" w:sz="4" w:space="0"/>
              <w:left w:val="single" w:color="auto" w:sz="4" w:space="0"/>
              <w:bottom w:val="single" w:color="auto" w:sz="4" w:space="0"/>
              <w:right w:val="single" w:color="auto" w:sz="4" w:space="0"/>
            </w:tcBorders>
            <w:noWrap/>
            <w:vAlign w:val="center"/>
          </w:tcPr>
          <w:p/>
        </w:tc>
        <w:tc>
          <w:tcPr>
            <w:tcW w:w="1444" w:type="dxa"/>
            <w:tcBorders>
              <w:top w:val="single" w:color="auto" w:sz="4" w:space="0"/>
              <w:left w:val="single" w:color="auto" w:sz="4" w:space="0"/>
              <w:bottom w:val="single" w:color="auto" w:sz="4" w:space="0"/>
              <w:right w:val="single" w:color="auto" w:sz="4" w:space="0"/>
            </w:tcBorders>
            <w:noWrap/>
            <w:vAlign w:val="center"/>
          </w:tcPr>
          <w:p/>
        </w:tc>
        <w:tc>
          <w:tcPr>
            <w:tcW w:w="1543" w:type="dxa"/>
            <w:tcBorders>
              <w:top w:val="single" w:color="auto" w:sz="4" w:space="0"/>
              <w:left w:val="single" w:color="auto" w:sz="4" w:space="0"/>
              <w:bottom w:val="single" w:color="auto" w:sz="4" w:space="0"/>
              <w:right w:val="single" w:color="auto" w:sz="4" w:space="0"/>
            </w:tcBorders>
            <w:noWrap/>
            <w:vAlign w:val="center"/>
          </w:tcPr>
          <w:p/>
        </w:tc>
        <w:tc>
          <w:tcPr>
            <w:tcW w:w="1595" w:type="dxa"/>
            <w:tcBorders>
              <w:top w:val="single" w:color="auto" w:sz="4" w:space="0"/>
              <w:left w:val="single" w:color="auto" w:sz="4" w:space="0"/>
              <w:bottom w:val="single" w:color="auto" w:sz="4" w:space="0"/>
              <w:right w:val="single" w:color="auto" w:sz="4" w:space="0"/>
            </w:tcBorders>
            <w:noWrap/>
            <w:vAlign w:val="center"/>
          </w:tcPr>
          <w:p/>
        </w:tc>
        <w:tc>
          <w:tcPr>
            <w:tcW w:w="1676" w:type="dxa"/>
            <w:tcBorders>
              <w:top w:val="single" w:color="auto" w:sz="4" w:space="0"/>
              <w:left w:val="single" w:color="auto" w:sz="4" w:space="0"/>
              <w:bottom w:val="single" w:color="auto" w:sz="4" w:space="0"/>
              <w:right w:val="single" w:color="auto" w:sz="4" w:space="0"/>
            </w:tcBorders>
            <w:noWrap/>
            <w:vAlign w:val="center"/>
          </w:tcPr>
          <w:p/>
        </w:tc>
        <w:tc>
          <w:tcPr>
            <w:tcW w:w="1382" w:type="dxa"/>
            <w:tcBorders>
              <w:top w:val="single" w:color="auto" w:sz="4" w:space="0"/>
              <w:left w:val="single" w:color="auto" w:sz="4" w:space="0"/>
              <w:bottom w:val="single" w:color="auto" w:sz="4" w:space="0"/>
              <w:right w:val="single" w:color="auto" w:sz="4" w:space="0"/>
            </w:tcBorders>
            <w:noWrap/>
            <w:vAlign w:val="center"/>
          </w:tcPr>
          <w:p/>
        </w:tc>
        <w:tc>
          <w:tcPr>
            <w:tcW w:w="1412" w:type="dxa"/>
            <w:tcBorders>
              <w:top w:val="single" w:color="auto" w:sz="4" w:space="0"/>
              <w:left w:val="single" w:color="auto" w:sz="4" w:space="0"/>
              <w:bottom w:val="single" w:color="auto" w:sz="4" w:space="0"/>
              <w:right w:val="single" w:color="auto" w:sz="4" w:space="0"/>
            </w:tcBorders>
            <w:noWrap/>
            <w:vAlign w:val="center"/>
          </w:tcPr>
          <w:p/>
        </w:tc>
        <w:tc>
          <w:tcPr>
            <w:tcW w:w="1676" w:type="dxa"/>
            <w:tcBorders>
              <w:top w:val="single" w:color="auto" w:sz="4" w:space="0"/>
              <w:left w:val="single" w:color="auto" w:sz="4" w:space="0"/>
              <w:bottom w:val="single" w:color="auto" w:sz="4" w:space="0"/>
              <w:right w:val="single" w:color="auto" w:sz="4" w:space="0"/>
            </w:tcBorders>
            <w:noWrap/>
            <w:vAlign w:val="center"/>
          </w:tcPr>
          <w:p/>
        </w:tc>
        <w:tc>
          <w:tcPr>
            <w:tcW w:w="2011" w:type="dxa"/>
            <w:tcBorders>
              <w:top w:val="single" w:color="auto" w:sz="4" w:space="0"/>
              <w:left w:val="single" w:color="auto" w:sz="4" w:space="0"/>
              <w:bottom w:val="single" w:color="auto" w:sz="4" w:space="0"/>
              <w:right w:val="single" w:color="auto" w:sz="4" w:space="0"/>
            </w:tcBorders>
            <w:noWrap/>
            <w:vAlign w:val="center"/>
          </w:tcPr>
          <w:p/>
        </w:tc>
      </w:tr>
      <w:tr>
        <w:tblPrEx>
          <w:tblCellMar>
            <w:top w:w="0" w:type="dxa"/>
            <w:left w:w="108" w:type="dxa"/>
            <w:bottom w:w="0" w:type="dxa"/>
            <w:right w:w="108" w:type="dxa"/>
          </w:tblCellMar>
        </w:tblPrEx>
        <w:trPr>
          <w:trHeight w:val="450" w:hRule="atLeast"/>
          <w:jc w:val="center"/>
        </w:trPr>
        <w:tc>
          <w:tcPr>
            <w:tcW w:w="1074"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1444"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1543"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595"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382"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412"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2011"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4" w:space="0"/>
              <w:left w:val="nil"/>
              <w:bottom w:val="nil"/>
              <w:right w:val="nil"/>
            </w:tcBorders>
            <w:noWrap w:val="0"/>
            <w:vAlign w:val="center"/>
          </w:tcPr>
          <w:p>
            <w:pPr>
              <w:widowControl/>
              <w:jc w:val="left"/>
              <w:rPr>
                <w:rFonts w:eastAsia="仿宋_GB2312"/>
                <w:kern w:val="0"/>
                <w:szCs w:val="21"/>
              </w:rPr>
            </w:pPr>
            <w:r>
              <w:rPr>
                <w:rFonts w:hint="eastAsia" w:eastAsia="仿宋_GB2312"/>
                <w:kern w:val="0"/>
                <w:szCs w:val="21"/>
              </w:rPr>
              <w:t>注：本表反映部门本年度取得的各项收入情况。</w:t>
            </w:r>
          </w:p>
        </w:tc>
      </w:tr>
    </w:tbl>
    <w:p>
      <w:pPr>
        <w:widowControl/>
        <w:jc w:val="left"/>
        <w:rPr>
          <w:rFonts w:eastAsia="黑体"/>
          <w:bCs/>
          <w:kern w:val="0"/>
          <w:sz w:val="32"/>
          <w:szCs w:val="32"/>
        </w:rPr>
      </w:pPr>
    </w:p>
    <w:p>
      <w:pPr>
        <w:widowControl/>
        <w:rPr>
          <w:rFonts w:eastAsia="方正小标宋_GBK"/>
          <w:color w:val="000000"/>
          <w:kern w:val="0"/>
          <w:sz w:val="36"/>
          <w:szCs w:val="36"/>
        </w:rPr>
      </w:pPr>
      <w:r>
        <w:rPr>
          <w:rFonts w:eastAsia="黑体"/>
          <w:bCs/>
          <w:kern w:val="0"/>
          <w:sz w:val="32"/>
          <w:szCs w:val="32"/>
        </w:rPr>
        <w:br w:type="page"/>
      </w:r>
    </w:p>
    <w:tbl>
      <w:tblPr>
        <w:tblStyle w:val="8"/>
        <w:tblpPr w:leftFromText="180" w:rightFromText="180" w:vertAnchor="text" w:horzAnchor="page" w:tblpX="1491" w:tblpY="555"/>
        <w:tblOverlap w:val="never"/>
        <w:tblW w:w="14091" w:type="dxa"/>
        <w:tblInd w:w="0" w:type="dxa"/>
        <w:tblLayout w:type="fixed"/>
        <w:tblCellMar>
          <w:top w:w="0" w:type="dxa"/>
          <w:left w:w="108" w:type="dxa"/>
          <w:bottom w:w="0" w:type="dxa"/>
          <w:right w:w="108" w:type="dxa"/>
        </w:tblCellMar>
      </w:tblPr>
      <w:tblGrid>
        <w:gridCol w:w="975"/>
        <w:gridCol w:w="336"/>
        <w:gridCol w:w="3518"/>
        <w:gridCol w:w="459"/>
        <w:gridCol w:w="708"/>
        <w:gridCol w:w="173"/>
        <w:gridCol w:w="2692"/>
        <w:gridCol w:w="173"/>
        <w:gridCol w:w="5057"/>
      </w:tblGrid>
      <w:tr>
        <w:tblPrEx>
          <w:tblCellMar>
            <w:top w:w="0" w:type="dxa"/>
            <w:left w:w="108" w:type="dxa"/>
            <w:bottom w:w="0" w:type="dxa"/>
            <w:right w:w="108" w:type="dxa"/>
          </w:tblCellMar>
        </w:tblPrEx>
        <w:trPr>
          <w:trHeight w:val="1414" w:hRule="atLeast"/>
        </w:trPr>
        <w:tc>
          <w:tcPr>
            <w:tcW w:w="14091" w:type="dxa"/>
            <w:gridSpan w:val="9"/>
            <w:tcBorders>
              <w:top w:val="nil"/>
              <w:left w:val="nil"/>
              <w:bottom w:val="nil"/>
              <w:right w:val="nil"/>
            </w:tcBorders>
            <w:noWrap w:val="0"/>
            <w:vAlign w:val="center"/>
          </w:tcPr>
          <w:p>
            <w:pPr>
              <w:widowControl/>
              <w:jc w:val="center"/>
              <w:rPr>
                <w:rFonts w:hint="eastAsia" w:ascii="黑体" w:hAnsi="黑体" w:eastAsia="黑体" w:cs="黑体"/>
                <w:color w:val="000000"/>
                <w:kern w:val="0"/>
                <w:sz w:val="36"/>
                <w:szCs w:val="36"/>
              </w:rPr>
            </w:pPr>
            <w:r>
              <w:rPr>
                <w:rFonts w:hint="eastAsia" w:ascii="黑体" w:hAnsi="黑体" w:eastAsia="黑体" w:cs="黑体"/>
                <w:color w:val="000000"/>
                <w:kern w:val="0"/>
                <w:sz w:val="36"/>
                <w:szCs w:val="36"/>
              </w:rPr>
              <w:t>部门支出决算表</w:t>
            </w:r>
          </w:p>
          <w:p>
            <w:pPr>
              <w:widowControl/>
              <w:jc w:val="center"/>
              <w:rPr>
                <w:rFonts w:ascii="华文中宋" w:hAnsi="华文中宋" w:eastAsia="华文中宋" w:cs="宋体"/>
                <w:kern w:val="0"/>
                <w:sz w:val="32"/>
                <w:szCs w:val="32"/>
              </w:rPr>
            </w:pPr>
          </w:p>
        </w:tc>
      </w:tr>
      <w:tr>
        <w:tblPrEx>
          <w:tblCellMar>
            <w:top w:w="0" w:type="dxa"/>
            <w:left w:w="108" w:type="dxa"/>
            <w:bottom w:w="0" w:type="dxa"/>
            <w:right w:w="108" w:type="dxa"/>
          </w:tblCellMar>
        </w:tblPrEx>
        <w:trPr>
          <w:trHeight w:val="353" w:hRule="atLeast"/>
        </w:trPr>
        <w:tc>
          <w:tcPr>
            <w:tcW w:w="975"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36"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18"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40" w:type="dxa"/>
            <w:gridSpan w:val="3"/>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5" w:type="dxa"/>
            <w:gridSpan w:val="2"/>
            <w:tcBorders>
              <w:top w:val="nil"/>
              <w:left w:val="nil"/>
              <w:bottom w:val="nil"/>
              <w:right w:val="nil"/>
            </w:tcBorders>
            <w:noWrap w:val="0"/>
            <w:vAlign w:val="center"/>
          </w:tcPr>
          <w:p>
            <w:pPr>
              <w:widowControl/>
              <w:jc w:val="right"/>
              <w:rPr>
                <w:rFonts w:hint="eastAsia" w:ascii="宋体" w:hAnsi="宋体" w:eastAsia="宋体" w:cs="宋体"/>
                <w:kern w:val="0"/>
                <w:sz w:val="20"/>
                <w:szCs w:val="20"/>
              </w:rPr>
            </w:pPr>
          </w:p>
        </w:tc>
        <w:tc>
          <w:tcPr>
            <w:tcW w:w="5057" w:type="dxa"/>
            <w:tcBorders>
              <w:top w:val="nil"/>
              <w:left w:val="nil"/>
              <w:bottom w:val="nil"/>
              <w:right w:val="nil"/>
            </w:tcBorders>
            <w:noWrap/>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3</w:t>
            </w:r>
            <w:r>
              <w:rPr>
                <w:rFonts w:hint="eastAsia" w:eastAsia="仿宋_GB2312"/>
                <w:color w:val="000000"/>
                <w:kern w:val="0"/>
                <w:szCs w:val="21"/>
              </w:rPr>
              <w:t>表</w:t>
            </w:r>
          </w:p>
        </w:tc>
      </w:tr>
      <w:tr>
        <w:tblPrEx>
          <w:tblCellMar>
            <w:top w:w="0" w:type="dxa"/>
            <w:left w:w="108" w:type="dxa"/>
            <w:bottom w:w="0" w:type="dxa"/>
            <w:right w:w="108" w:type="dxa"/>
          </w:tblCellMar>
        </w:tblPrEx>
        <w:trPr>
          <w:trHeight w:val="353" w:hRule="atLeast"/>
        </w:trPr>
        <w:tc>
          <w:tcPr>
            <w:tcW w:w="975" w:type="dxa"/>
            <w:tcBorders>
              <w:top w:val="nil"/>
              <w:left w:val="nil"/>
              <w:bottom w:val="nil"/>
              <w:right w:val="nil"/>
            </w:tcBorders>
            <w:noWrap/>
            <w:vAlign w:val="center"/>
          </w:tcPr>
          <w:p>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313" w:type="dxa"/>
            <w:gridSpan w:val="3"/>
            <w:tcBorders>
              <w:top w:val="nil"/>
              <w:left w:val="nil"/>
              <w:bottom w:val="nil"/>
              <w:right w:val="nil"/>
            </w:tcBorders>
            <w:noWrap w:val="0"/>
            <w:vAlign w:val="center"/>
          </w:tcPr>
          <w:p>
            <w:pPr>
              <w:widowControl/>
              <w:jc w:val="both"/>
              <w:rPr>
                <w:rFonts w:hint="eastAsia" w:ascii="宋体" w:hAnsi="宋体" w:eastAsia="仿宋_GB2312" w:cs="宋体"/>
                <w:kern w:val="0"/>
                <w:sz w:val="20"/>
                <w:szCs w:val="20"/>
                <w:lang w:eastAsia="zh-CN"/>
              </w:rPr>
            </w:pPr>
            <w:r>
              <w:rPr>
                <w:rFonts w:hint="eastAsia" w:ascii="宋体" w:hAnsi="宋体" w:cs="宋体"/>
                <w:kern w:val="0"/>
                <w:sz w:val="20"/>
                <w:szCs w:val="20"/>
                <w:lang w:eastAsia="zh-CN"/>
              </w:rPr>
              <w:t>蓝山县教师进修学校</w:t>
            </w:r>
          </w:p>
        </w:tc>
        <w:tc>
          <w:tcPr>
            <w:tcW w:w="708"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5" w:type="dxa"/>
            <w:gridSpan w:val="2"/>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30" w:type="dxa"/>
            <w:gridSpan w:val="2"/>
            <w:tcBorders>
              <w:top w:val="nil"/>
              <w:left w:val="nil"/>
              <w:bottom w:val="nil"/>
              <w:right w:val="nil"/>
            </w:tcBorders>
            <w:noWrap/>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pPr>
        <w:widowControl/>
        <w:spacing w:line="400" w:lineRule="exact"/>
        <w:jc w:val="left"/>
        <w:rPr>
          <w:rFonts w:hint="eastAsia" w:eastAsia="仿宋_GB2312"/>
          <w:color w:val="000000"/>
          <w:kern w:val="0"/>
          <w:sz w:val="20"/>
          <w:szCs w:val="20"/>
          <w:lang w:eastAsia="zh-CN"/>
        </w:rPr>
      </w:pPr>
    </w:p>
    <w:tbl>
      <w:tblPr>
        <w:tblStyle w:val="8"/>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1566"/>
        <w:gridCol w:w="1458"/>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6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项目</w:t>
            </w:r>
          </w:p>
        </w:tc>
        <w:tc>
          <w:tcPr>
            <w:tcW w:w="145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本年支出合计</w:t>
            </w:r>
          </w:p>
        </w:tc>
        <w:tc>
          <w:tcPr>
            <w:tcW w:w="19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基本支出</w:t>
            </w:r>
          </w:p>
        </w:tc>
        <w:tc>
          <w:tcPr>
            <w:tcW w:w="184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项目支出</w:t>
            </w:r>
          </w:p>
        </w:tc>
        <w:tc>
          <w:tcPr>
            <w:tcW w:w="184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上缴上级支出</w:t>
            </w:r>
          </w:p>
        </w:tc>
        <w:tc>
          <w:tcPr>
            <w:tcW w:w="19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经营支出</w:t>
            </w:r>
          </w:p>
        </w:tc>
        <w:tc>
          <w:tcPr>
            <w:tcW w:w="230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功能分类科目编码</w:t>
            </w:r>
          </w:p>
        </w:tc>
        <w:tc>
          <w:tcPr>
            <w:tcW w:w="156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科目名称</w:t>
            </w:r>
          </w:p>
        </w:tc>
        <w:tc>
          <w:tcPr>
            <w:tcW w:w="14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9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84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9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23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5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4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9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84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9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23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668"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栏次</w:t>
            </w:r>
          </w:p>
        </w:tc>
        <w:tc>
          <w:tcPr>
            <w:tcW w:w="145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w:t>
            </w:r>
          </w:p>
        </w:tc>
        <w:tc>
          <w:tcPr>
            <w:tcW w:w="184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3</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4</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5</w:t>
            </w:r>
          </w:p>
        </w:tc>
        <w:tc>
          <w:tcPr>
            <w:tcW w:w="230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668"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合计</w:t>
            </w:r>
          </w:p>
        </w:tc>
        <w:tc>
          <w:tcPr>
            <w:tcW w:w="145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eastAsia="仿宋_GB2312"/>
                <w:kern w:val="0"/>
                <w:szCs w:val="21"/>
              </w:rPr>
            </w:pPr>
            <w:r>
              <w:rPr>
                <w:rFonts w:hint="eastAsia" w:eastAsia="仿宋_GB2312"/>
                <w:kern w:val="0"/>
                <w:szCs w:val="21"/>
                <w:lang w:val="en-US" w:eastAsia="zh-CN"/>
              </w:rPr>
              <w:t>366.00</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eastAsia="仿宋_GB2312"/>
                <w:kern w:val="0"/>
                <w:szCs w:val="21"/>
              </w:rPr>
            </w:pPr>
            <w:r>
              <w:rPr>
                <w:rFonts w:hint="eastAsia" w:eastAsia="仿宋_GB2312"/>
                <w:kern w:val="0"/>
                <w:szCs w:val="21"/>
                <w:lang w:val="en-US" w:eastAsia="zh-CN"/>
              </w:rPr>
              <w:t>366.00</w:t>
            </w:r>
          </w:p>
        </w:tc>
        <w:tc>
          <w:tcPr>
            <w:tcW w:w="1842"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2308"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205</w:t>
            </w:r>
          </w:p>
        </w:tc>
        <w:tc>
          <w:tcPr>
            <w:tcW w:w="156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eastAsia="仿宋_GB2312"/>
                <w:kern w:val="0"/>
                <w:szCs w:val="21"/>
              </w:rPr>
            </w:pPr>
            <w:r>
              <w:rPr>
                <w:rFonts w:hint="eastAsia" w:ascii="宋体" w:hAnsi="宋体" w:eastAsia="宋体" w:cs="宋体"/>
                <w:i w:val="0"/>
                <w:color w:val="000000"/>
                <w:kern w:val="0"/>
                <w:sz w:val="22"/>
                <w:szCs w:val="22"/>
                <w:u w:val="none"/>
                <w:lang w:val="en-US" w:eastAsia="zh-CN" w:bidi="ar"/>
              </w:rPr>
              <w:t>教育支出</w:t>
            </w:r>
          </w:p>
        </w:tc>
        <w:tc>
          <w:tcPr>
            <w:tcW w:w="145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eastAsia="仿宋_GB2312"/>
                <w:kern w:val="0"/>
                <w:szCs w:val="21"/>
              </w:rPr>
            </w:pPr>
            <w:r>
              <w:rPr>
                <w:rFonts w:hint="eastAsia" w:eastAsia="仿宋_GB2312"/>
                <w:kern w:val="0"/>
                <w:szCs w:val="21"/>
                <w:lang w:val="en-US" w:eastAsia="zh-CN"/>
              </w:rPr>
              <w:t>366.00</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eastAsia="仿宋_GB2312"/>
                <w:kern w:val="0"/>
                <w:szCs w:val="21"/>
              </w:rPr>
            </w:pPr>
            <w:r>
              <w:rPr>
                <w:rFonts w:hint="eastAsia" w:eastAsia="仿宋_GB2312"/>
                <w:kern w:val="0"/>
                <w:szCs w:val="21"/>
                <w:lang w:val="en-US" w:eastAsia="zh-CN"/>
              </w:rPr>
              <w:t>366.00</w:t>
            </w:r>
          </w:p>
        </w:tc>
        <w:tc>
          <w:tcPr>
            <w:tcW w:w="1842"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2308"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2050</w:t>
            </w:r>
            <w:r>
              <w:rPr>
                <w:rFonts w:hint="eastAsia" w:eastAsia="仿宋_GB2312" w:cs="Times New Roman"/>
                <w:kern w:val="0"/>
                <w:szCs w:val="21"/>
                <w:lang w:val="en-US" w:eastAsia="zh-CN"/>
              </w:rPr>
              <w:t>8</w:t>
            </w:r>
          </w:p>
        </w:tc>
        <w:tc>
          <w:tcPr>
            <w:tcW w:w="156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eastAsia="仿宋_GB2312"/>
                <w:kern w:val="0"/>
                <w:szCs w:val="21"/>
              </w:rPr>
            </w:pPr>
            <w:r>
              <w:rPr>
                <w:rFonts w:hint="eastAsia" w:ascii="宋体" w:hAnsi="宋体" w:cs="宋体"/>
                <w:i w:val="0"/>
                <w:color w:val="000000"/>
                <w:kern w:val="0"/>
                <w:sz w:val="22"/>
                <w:szCs w:val="22"/>
                <w:u w:val="none"/>
                <w:lang w:val="en-US" w:eastAsia="zh-CN" w:bidi="ar"/>
              </w:rPr>
              <w:t>进修及培训</w:t>
            </w:r>
          </w:p>
        </w:tc>
        <w:tc>
          <w:tcPr>
            <w:tcW w:w="1458" w:type="dxa"/>
            <w:tcBorders>
              <w:top w:val="single" w:color="auto" w:sz="4" w:space="0"/>
              <w:left w:val="single" w:color="auto" w:sz="4" w:space="0"/>
              <w:bottom w:val="single" w:color="auto" w:sz="4" w:space="0"/>
              <w:right w:val="single" w:color="auto" w:sz="4" w:space="0"/>
            </w:tcBorders>
            <w:noWrap/>
            <w:vAlign w:val="center"/>
          </w:tcPr>
          <w:p>
            <w:pPr>
              <w:widowControl/>
              <w:jc w:val="both"/>
              <w:rPr>
                <w:rFonts w:eastAsia="仿宋_GB2312"/>
                <w:kern w:val="0"/>
                <w:szCs w:val="21"/>
              </w:rPr>
            </w:pPr>
            <w:r>
              <w:rPr>
                <w:rFonts w:hint="eastAsia" w:eastAsia="仿宋_GB2312"/>
                <w:kern w:val="0"/>
                <w:szCs w:val="21"/>
                <w:lang w:val="en-US" w:eastAsia="zh-CN"/>
              </w:rPr>
              <w:t>366.00</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jc w:val="both"/>
              <w:rPr>
                <w:rFonts w:eastAsia="仿宋_GB2312"/>
                <w:kern w:val="0"/>
                <w:szCs w:val="21"/>
              </w:rPr>
            </w:pPr>
            <w:r>
              <w:rPr>
                <w:rFonts w:hint="eastAsia" w:eastAsia="仿宋_GB2312"/>
                <w:kern w:val="0"/>
                <w:szCs w:val="21"/>
                <w:lang w:val="en-US" w:eastAsia="zh-CN"/>
              </w:rPr>
              <w:t>366.00</w:t>
            </w:r>
          </w:p>
        </w:tc>
        <w:tc>
          <w:tcPr>
            <w:tcW w:w="1842"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2308"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ascii="Times New Roman" w:hAnsi="Times New Roman" w:eastAsia="仿宋_GB2312" w:cs="Times New Roman"/>
                <w:kern w:val="0"/>
                <w:szCs w:val="21"/>
                <w:lang w:val="en-US" w:eastAsia="zh-CN"/>
              </w:rPr>
              <w:t>2050</w:t>
            </w:r>
            <w:r>
              <w:rPr>
                <w:rFonts w:hint="eastAsia" w:eastAsia="仿宋_GB2312" w:cs="Times New Roman"/>
                <w:kern w:val="0"/>
                <w:szCs w:val="21"/>
                <w:lang w:val="en-US" w:eastAsia="zh-CN"/>
              </w:rPr>
              <w:t>801</w:t>
            </w:r>
          </w:p>
        </w:tc>
        <w:tc>
          <w:tcPr>
            <w:tcW w:w="1566" w:type="dxa"/>
            <w:tcBorders>
              <w:top w:val="single" w:color="auto" w:sz="4" w:space="0"/>
              <w:left w:val="single" w:color="auto" w:sz="4" w:space="0"/>
              <w:bottom w:val="single" w:color="auto" w:sz="4" w:space="0"/>
              <w:right w:val="single" w:color="auto" w:sz="4" w:space="0"/>
            </w:tcBorders>
            <w:noWrap/>
            <w:vAlign w:val="center"/>
          </w:tcPr>
          <w:p>
            <w:pPr>
              <w:widowControl/>
              <w:jc w:val="both"/>
              <w:rPr>
                <w:rFonts w:eastAsia="仿宋_GB2312"/>
                <w:kern w:val="0"/>
                <w:szCs w:val="21"/>
              </w:rPr>
            </w:pPr>
            <w:r>
              <w:rPr>
                <w:rFonts w:hint="eastAsia" w:ascii="宋体" w:hAnsi="宋体" w:cs="宋体"/>
                <w:i w:val="0"/>
                <w:color w:val="000000"/>
                <w:kern w:val="0"/>
                <w:sz w:val="22"/>
                <w:szCs w:val="22"/>
                <w:u w:val="none"/>
                <w:lang w:val="en-US" w:eastAsia="zh-CN" w:bidi="ar"/>
              </w:rPr>
              <w:t>教师进修</w:t>
            </w:r>
          </w:p>
        </w:tc>
        <w:tc>
          <w:tcPr>
            <w:tcW w:w="145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eastAsia="仿宋_GB2312"/>
                <w:kern w:val="0"/>
                <w:szCs w:val="21"/>
              </w:rPr>
            </w:pPr>
            <w:r>
              <w:rPr>
                <w:rFonts w:hint="eastAsia" w:eastAsia="仿宋_GB2312"/>
                <w:kern w:val="0"/>
                <w:szCs w:val="21"/>
                <w:lang w:val="en-US" w:eastAsia="zh-CN"/>
              </w:rPr>
              <w:t>366.00</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eastAsia="仿宋_GB2312"/>
                <w:kern w:val="0"/>
                <w:szCs w:val="21"/>
              </w:rPr>
            </w:pPr>
            <w:r>
              <w:rPr>
                <w:rFonts w:hint="eastAsia" w:eastAsia="仿宋_GB2312"/>
                <w:kern w:val="0"/>
                <w:szCs w:val="21"/>
                <w:lang w:val="en-US" w:eastAsia="zh-CN"/>
              </w:rPr>
              <w:t>366.00</w:t>
            </w:r>
          </w:p>
        </w:tc>
        <w:tc>
          <w:tcPr>
            <w:tcW w:w="1842"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2308"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4" w:space="0"/>
              <w:left w:val="single" w:color="auto" w:sz="4" w:space="0"/>
              <w:bottom w:val="single" w:color="auto" w:sz="4" w:space="0"/>
              <w:right w:val="single" w:color="auto" w:sz="4" w:space="0"/>
            </w:tcBorders>
            <w:noWrap/>
            <w:vAlign w:val="center"/>
          </w:tcPr>
          <w:p/>
        </w:tc>
        <w:tc>
          <w:tcPr>
            <w:tcW w:w="1566" w:type="dxa"/>
            <w:tcBorders>
              <w:top w:val="single" w:color="auto" w:sz="4" w:space="0"/>
              <w:left w:val="single" w:color="auto" w:sz="4" w:space="0"/>
              <w:bottom w:val="single" w:color="auto" w:sz="4" w:space="0"/>
              <w:right w:val="single" w:color="auto" w:sz="4" w:space="0"/>
            </w:tcBorders>
            <w:noWrap/>
            <w:vAlign w:val="center"/>
          </w:tcPr>
          <w:p/>
        </w:tc>
        <w:tc>
          <w:tcPr>
            <w:tcW w:w="1458" w:type="dxa"/>
            <w:tcBorders>
              <w:top w:val="single" w:color="auto" w:sz="4" w:space="0"/>
              <w:left w:val="single" w:color="auto" w:sz="4" w:space="0"/>
              <w:bottom w:val="single" w:color="auto" w:sz="4" w:space="0"/>
              <w:right w:val="single" w:color="auto" w:sz="4" w:space="0"/>
            </w:tcBorders>
            <w:noWrap/>
            <w:vAlign w:val="center"/>
          </w:tcPr>
          <w:p/>
        </w:tc>
        <w:tc>
          <w:tcPr>
            <w:tcW w:w="1985" w:type="dxa"/>
            <w:tcBorders>
              <w:top w:val="single" w:color="auto" w:sz="4" w:space="0"/>
              <w:left w:val="single" w:color="auto" w:sz="4" w:space="0"/>
              <w:bottom w:val="single" w:color="auto" w:sz="4" w:space="0"/>
              <w:right w:val="single" w:color="auto" w:sz="4" w:space="0"/>
            </w:tcBorders>
            <w:noWrap/>
            <w:vAlign w:val="center"/>
          </w:tcPr>
          <w:p/>
        </w:tc>
        <w:tc>
          <w:tcPr>
            <w:tcW w:w="1842" w:type="dxa"/>
            <w:tcBorders>
              <w:top w:val="single" w:color="auto" w:sz="4" w:space="0"/>
              <w:left w:val="single" w:color="auto" w:sz="4" w:space="0"/>
              <w:bottom w:val="single" w:color="auto" w:sz="4" w:space="0"/>
              <w:right w:val="single" w:color="auto" w:sz="4" w:space="0"/>
            </w:tcBorders>
            <w:noWrap/>
            <w:vAlign w:val="center"/>
          </w:tcPr>
          <w:p/>
        </w:tc>
        <w:tc>
          <w:tcPr>
            <w:tcW w:w="1843" w:type="dxa"/>
            <w:tcBorders>
              <w:top w:val="single" w:color="auto" w:sz="4" w:space="0"/>
              <w:left w:val="single" w:color="auto" w:sz="4" w:space="0"/>
              <w:bottom w:val="single" w:color="auto" w:sz="4" w:space="0"/>
              <w:right w:val="single" w:color="auto" w:sz="4" w:space="0"/>
            </w:tcBorders>
            <w:noWrap/>
            <w:vAlign w:val="center"/>
          </w:tcPr>
          <w:p/>
        </w:tc>
        <w:tc>
          <w:tcPr>
            <w:tcW w:w="1985" w:type="dxa"/>
            <w:tcBorders>
              <w:top w:val="single" w:color="auto" w:sz="4" w:space="0"/>
              <w:left w:val="single" w:color="auto" w:sz="4" w:space="0"/>
              <w:bottom w:val="single" w:color="auto" w:sz="4" w:space="0"/>
              <w:right w:val="single" w:color="auto" w:sz="4" w:space="0"/>
            </w:tcBorders>
            <w:noWrap/>
            <w:vAlign w:val="center"/>
          </w:tcPr>
          <w:p/>
        </w:tc>
        <w:tc>
          <w:tcPr>
            <w:tcW w:w="2308" w:type="dxa"/>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1566"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1458"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842"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2308"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1566"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1458"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842"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2308"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r>
    </w:tbl>
    <w:p>
      <w:pPr>
        <w:widowControl/>
        <w:ind w:firstLine="630" w:firstLineChars="300"/>
        <w:jc w:val="left"/>
        <w:rPr>
          <w:rFonts w:eastAsia="仿宋_GB2312"/>
          <w:kern w:val="0"/>
          <w:szCs w:val="21"/>
        </w:rPr>
      </w:pPr>
      <w:r>
        <w:rPr>
          <w:rFonts w:hint="eastAsia" w:eastAsia="仿宋_GB2312"/>
          <w:kern w:val="0"/>
          <w:szCs w:val="21"/>
        </w:rPr>
        <w:t>注：本表反映部门本年度各项支出情况。</w:t>
      </w:r>
    </w:p>
    <w:p>
      <w:pPr>
        <w:widowControl/>
        <w:ind w:left="0"/>
        <w:jc w:val="center"/>
        <w:outlineLvl w:val="9"/>
        <w:rPr>
          <w:rFonts w:hint="eastAsia" w:ascii="黑体" w:hAnsi="黑体" w:eastAsia="黑体" w:cs="黑体"/>
          <w:color w:val="000000"/>
          <w:kern w:val="0"/>
          <w:sz w:val="36"/>
          <w:szCs w:val="21"/>
        </w:rPr>
      </w:pPr>
      <w:r>
        <w:rPr>
          <w:rFonts w:eastAsia="仿宋_GB2312"/>
          <w:bCs/>
          <w:kern w:val="0"/>
          <w:szCs w:val="21"/>
        </w:rPr>
        <w:br w:type="page"/>
      </w:r>
      <w:r>
        <w:rPr>
          <w:rFonts w:hint="eastAsia" w:ascii="黑体" w:hAnsi="黑体" w:eastAsia="黑体" w:cs="黑体"/>
          <w:color w:val="000000"/>
          <w:kern w:val="0"/>
          <w:sz w:val="36"/>
          <w:szCs w:val="21"/>
        </w:rPr>
        <w:t>财政拨款收支决算总表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color w:val="000000"/>
          <w:kern w:val="0"/>
          <w:szCs w:val="21"/>
        </w:rPr>
      </w:pPr>
      <w:r>
        <w:rPr>
          <w:rFonts w:hint="eastAsia"/>
          <w:color w:val="000000"/>
          <w:kern w:val="0"/>
          <w:szCs w:val="21"/>
        </w:rPr>
        <w:t>公开</w:t>
      </w:r>
      <w:r>
        <w:rPr>
          <w:color w:val="000000"/>
          <w:kern w:val="0"/>
          <w:szCs w:val="21"/>
        </w:rPr>
        <w:t>04</w:t>
      </w:r>
      <w:r>
        <w:rPr>
          <w:rFonts w:hint="eastAsia"/>
          <w:color w:val="000000"/>
          <w:kern w:val="0"/>
          <w:szCs w:val="21"/>
        </w:rPr>
        <w:t>表</w:t>
      </w:r>
    </w:p>
    <w:p>
      <w:pPr>
        <w:widowControl/>
        <w:tabs>
          <w:tab w:val="left" w:pos="13725"/>
          <w:tab w:val="left" w:pos="13755"/>
          <w:tab w:val="left" w:pos="13800"/>
        </w:tabs>
        <w:spacing w:line="240" w:lineRule="exact"/>
        <w:ind w:left="0" w:firstLine="0" w:firstLineChars="0"/>
        <w:jc w:val="left"/>
        <w:rPr>
          <w:rFonts w:eastAsia="仿宋_GB2312"/>
          <w:color w:val="000000"/>
          <w:kern w:val="0"/>
          <w:szCs w:val="21"/>
        </w:rPr>
      </w:pPr>
      <w:r>
        <w:rPr>
          <w:rFonts w:hint="eastAsia" w:eastAsia="仿宋_GB2312"/>
          <w:color w:val="000000"/>
          <w:kern w:val="0"/>
          <w:szCs w:val="21"/>
        </w:rPr>
        <w:t>部门：</w:t>
      </w:r>
      <w:r>
        <w:rPr>
          <w:rFonts w:hint="eastAsia" w:ascii="宋体" w:hAnsi="宋体" w:cs="宋体"/>
          <w:kern w:val="0"/>
          <w:sz w:val="20"/>
          <w:szCs w:val="20"/>
          <w:lang w:eastAsia="zh-CN"/>
        </w:rPr>
        <w:t>蓝山县教师进修学校</w:t>
      </w:r>
      <w:r>
        <w:rPr>
          <w:rFonts w:hint="eastAsia" w:eastAsia="仿宋_GB2312"/>
          <w:color w:val="000000"/>
          <w:kern w:val="0"/>
          <w:szCs w:val="21"/>
        </w:rPr>
        <w:t>单位：万元</w:t>
      </w:r>
    </w:p>
    <w:tbl>
      <w:tblPr>
        <w:tblStyle w:val="8"/>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b/>
                <w:kern w:val="0"/>
                <w:szCs w:val="21"/>
              </w:rPr>
            </w:pPr>
            <w:r>
              <w:rPr>
                <w:rFonts w:hint="eastAsia" w:eastAsia="仿宋_GB2312"/>
                <w:b/>
                <w:kern w:val="0"/>
                <w:szCs w:val="21"/>
              </w:rPr>
              <w:t>收入</w:t>
            </w:r>
          </w:p>
        </w:tc>
        <w:tc>
          <w:tcPr>
            <w:tcW w:w="9303" w:type="dxa"/>
            <w:gridSpan w:val="5"/>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b/>
                <w:kern w:val="0"/>
                <w:szCs w:val="21"/>
              </w:rPr>
            </w:pPr>
            <w:r>
              <w:rPr>
                <w:rFonts w:hint="eastAsia" w:eastAsia="仿宋_GB2312"/>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b/>
                <w:kern w:val="0"/>
                <w:szCs w:val="21"/>
              </w:rPr>
            </w:pPr>
            <w:r>
              <w:rPr>
                <w:rFonts w:hint="eastAsia" w:eastAsia="仿宋_GB2312"/>
                <w:b/>
                <w:kern w:val="0"/>
                <w:szCs w:val="21"/>
              </w:rPr>
              <w:t>项目</w:t>
            </w:r>
          </w:p>
        </w:tc>
        <w:tc>
          <w:tcPr>
            <w:tcW w:w="4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b/>
                <w:kern w:val="0"/>
                <w:szCs w:val="21"/>
              </w:rPr>
            </w:pPr>
            <w:r>
              <w:rPr>
                <w:rFonts w:hint="eastAsia" w:eastAsia="仿宋_GB2312"/>
                <w:b/>
                <w:kern w:val="0"/>
                <w:szCs w:val="21"/>
              </w:rPr>
              <w:t>行次</w:t>
            </w:r>
          </w:p>
        </w:tc>
        <w:tc>
          <w:tcPr>
            <w:tcW w:w="18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b/>
                <w:kern w:val="0"/>
                <w:szCs w:val="21"/>
              </w:rPr>
            </w:pPr>
            <w:r>
              <w:rPr>
                <w:rFonts w:hint="eastAsia" w:eastAsia="仿宋_GB2312"/>
                <w:b/>
                <w:kern w:val="0"/>
                <w:szCs w:val="21"/>
              </w:rPr>
              <w:t>金额</w:t>
            </w:r>
          </w:p>
        </w:tc>
        <w:tc>
          <w:tcPr>
            <w:tcW w:w="376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b/>
                <w:kern w:val="0"/>
                <w:szCs w:val="21"/>
              </w:rPr>
            </w:pPr>
            <w:r>
              <w:rPr>
                <w:rFonts w:hint="eastAsia" w:eastAsia="仿宋_GB2312"/>
                <w:b/>
                <w:kern w:val="0"/>
                <w:szCs w:val="21"/>
              </w:rPr>
              <w:t>项目</w:t>
            </w:r>
          </w:p>
        </w:tc>
        <w:tc>
          <w:tcPr>
            <w:tcW w:w="43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b/>
                <w:kern w:val="0"/>
                <w:szCs w:val="21"/>
              </w:rPr>
            </w:pPr>
            <w:r>
              <w:rPr>
                <w:rFonts w:hint="eastAsia" w:eastAsia="仿宋_GB2312"/>
                <w:b/>
                <w:kern w:val="0"/>
                <w:szCs w:val="21"/>
              </w:rPr>
              <w:t>行次</w:t>
            </w:r>
          </w:p>
        </w:tc>
        <w:tc>
          <w:tcPr>
            <w:tcW w:w="18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b/>
                <w:kern w:val="0"/>
                <w:szCs w:val="21"/>
              </w:rPr>
            </w:pPr>
            <w:r>
              <w:rPr>
                <w:rFonts w:hint="eastAsia" w:eastAsia="仿宋_GB2312"/>
                <w:b/>
                <w:kern w:val="0"/>
                <w:szCs w:val="21"/>
              </w:rPr>
              <w:t>合计</w:t>
            </w:r>
          </w:p>
        </w:tc>
        <w:tc>
          <w:tcPr>
            <w:tcW w:w="16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b/>
                <w:kern w:val="0"/>
                <w:szCs w:val="21"/>
              </w:rPr>
            </w:pPr>
            <w:r>
              <w:rPr>
                <w:rFonts w:hint="eastAsia" w:eastAsia="仿宋_GB2312"/>
                <w:b/>
                <w:kern w:val="0"/>
                <w:szCs w:val="21"/>
              </w:rPr>
              <w:t>一般公共预算财政拨款</w:t>
            </w:r>
          </w:p>
        </w:tc>
        <w:tc>
          <w:tcPr>
            <w:tcW w:w="15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b/>
                <w:kern w:val="0"/>
                <w:szCs w:val="21"/>
              </w:rPr>
            </w:pPr>
            <w:r>
              <w:rPr>
                <w:rFonts w:hint="eastAsia" w:eastAsia="仿宋_GB2312"/>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栏次</w:t>
            </w:r>
          </w:p>
        </w:tc>
        <w:tc>
          <w:tcPr>
            <w:tcW w:w="4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　</w:t>
            </w:r>
          </w:p>
        </w:tc>
        <w:tc>
          <w:tcPr>
            <w:tcW w:w="18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w:t>
            </w:r>
          </w:p>
        </w:tc>
        <w:tc>
          <w:tcPr>
            <w:tcW w:w="376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栏次</w:t>
            </w:r>
          </w:p>
        </w:tc>
        <w:tc>
          <w:tcPr>
            <w:tcW w:w="43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　</w:t>
            </w:r>
          </w:p>
        </w:tc>
        <w:tc>
          <w:tcPr>
            <w:tcW w:w="18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w:t>
            </w:r>
          </w:p>
        </w:tc>
        <w:tc>
          <w:tcPr>
            <w:tcW w:w="16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3</w:t>
            </w:r>
          </w:p>
        </w:tc>
        <w:tc>
          <w:tcPr>
            <w:tcW w:w="157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一、一般公共预算财政拨款</w:t>
            </w:r>
          </w:p>
        </w:tc>
        <w:tc>
          <w:tcPr>
            <w:tcW w:w="4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w:t>
            </w:r>
          </w:p>
        </w:tc>
        <w:tc>
          <w:tcPr>
            <w:tcW w:w="1880"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lang w:val="en-US" w:eastAsia="zh-CN"/>
              </w:rPr>
              <w:t>366.00</w:t>
            </w:r>
            <w:r>
              <w:rPr>
                <w:rFonts w:hint="eastAsia" w:eastAsia="仿宋_GB2312"/>
                <w:kern w:val="0"/>
                <w:szCs w:val="21"/>
              </w:rPr>
              <w:t>　</w:t>
            </w:r>
          </w:p>
        </w:tc>
        <w:tc>
          <w:tcPr>
            <w:tcW w:w="376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一、一般公共服务支出</w:t>
            </w:r>
          </w:p>
        </w:tc>
        <w:tc>
          <w:tcPr>
            <w:tcW w:w="43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15</w:t>
            </w:r>
          </w:p>
        </w:tc>
        <w:tc>
          <w:tcPr>
            <w:tcW w:w="18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　</w:t>
            </w:r>
          </w:p>
        </w:tc>
        <w:tc>
          <w:tcPr>
            <w:tcW w:w="16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　</w:t>
            </w:r>
          </w:p>
        </w:tc>
        <w:tc>
          <w:tcPr>
            <w:tcW w:w="1572"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二、政府性基金预算财政拨款</w:t>
            </w:r>
          </w:p>
        </w:tc>
        <w:tc>
          <w:tcPr>
            <w:tcW w:w="4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w:t>
            </w:r>
          </w:p>
        </w:tc>
        <w:tc>
          <w:tcPr>
            <w:tcW w:w="1880"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376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二、外交支出</w:t>
            </w:r>
          </w:p>
        </w:tc>
        <w:tc>
          <w:tcPr>
            <w:tcW w:w="43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16</w:t>
            </w:r>
          </w:p>
        </w:tc>
        <w:tc>
          <w:tcPr>
            <w:tcW w:w="18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　</w:t>
            </w:r>
          </w:p>
        </w:tc>
        <w:tc>
          <w:tcPr>
            <w:tcW w:w="16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　</w:t>
            </w:r>
          </w:p>
        </w:tc>
        <w:tc>
          <w:tcPr>
            <w:tcW w:w="1572"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4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3</w:t>
            </w:r>
          </w:p>
        </w:tc>
        <w:tc>
          <w:tcPr>
            <w:tcW w:w="1880"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376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三、国防支出</w:t>
            </w:r>
          </w:p>
        </w:tc>
        <w:tc>
          <w:tcPr>
            <w:tcW w:w="43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17</w:t>
            </w:r>
          </w:p>
        </w:tc>
        <w:tc>
          <w:tcPr>
            <w:tcW w:w="18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　</w:t>
            </w:r>
          </w:p>
        </w:tc>
        <w:tc>
          <w:tcPr>
            <w:tcW w:w="16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　</w:t>
            </w:r>
          </w:p>
        </w:tc>
        <w:tc>
          <w:tcPr>
            <w:tcW w:w="1572"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4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4</w:t>
            </w:r>
          </w:p>
        </w:tc>
        <w:tc>
          <w:tcPr>
            <w:tcW w:w="1880"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376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四、公共安全支出</w:t>
            </w:r>
          </w:p>
        </w:tc>
        <w:tc>
          <w:tcPr>
            <w:tcW w:w="43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18</w:t>
            </w:r>
          </w:p>
        </w:tc>
        <w:tc>
          <w:tcPr>
            <w:tcW w:w="18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　</w:t>
            </w:r>
          </w:p>
        </w:tc>
        <w:tc>
          <w:tcPr>
            <w:tcW w:w="16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　</w:t>
            </w:r>
          </w:p>
        </w:tc>
        <w:tc>
          <w:tcPr>
            <w:tcW w:w="1572"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4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5</w:t>
            </w:r>
          </w:p>
        </w:tc>
        <w:tc>
          <w:tcPr>
            <w:tcW w:w="1880"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376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五、教育支出</w:t>
            </w:r>
          </w:p>
        </w:tc>
        <w:tc>
          <w:tcPr>
            <w:tcW w:w="43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19</w:t>
            </w:r>
          </w:p>
        </w:tc>
        <w:tc>
          <w:tcPr>
            <w:tcW w:w="18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lang w:val="en-US" w:eastAsia="zh-CN"/>
              </w:rPr>
              <w:t>366.00</w:t>
            </w:r>
          </w:p>
        </w:tc>
        <w:tc>
          <w:tcPr>
            <w:tcW w:w="16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lang w:val="en-US" w:eastAsia="zh-CN"/>
              </w:rPr>
              <w:t>366.00</w:t>
            </w:r>
          </w:p>
        </w:tc>
        <w:tc>
          <w:tcPr>
            <w:tcW w:w="1572"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4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6</w:t>
            </w:r>
          </w:p>
        </w:tc>
        <w:tc>
          <w:tcPr>
            <w:tcW w:w="1880"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376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六、科学技术支出</w:t>
            </w:r>
          </w:p>
        </w:tc>
        <w:tc>
          <w:tcPr>
            <w:tcW w:w="43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20</w:t>
            </w:r>
          </w:p>
        </w:tc>
        <w:tc>
          <w:tcPr>
            <w:tcW w:w="18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　</w:t>
            </w:r>
          </w:p>
        </w:tc>
        <w:tc>
          <w:tcPr>
            <w:tcW w:w="16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　</w:t>
            </w:r>
          </w:p>
        </w:tc>
        <w:tc>
          <w:tcPr>
            <w:tcW w:w="1572"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4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7</w:t>
            </w:r>
          </w:p>
        </w:tc>
        <w:tc>
          <w:tcPr>
            <w:tcW w:w="1880"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376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kern w:val="0"/>
                <w:szCs w:val="21"/>
              </w:rPr>
            </w:pPr>
          </w:p>
        </w:tc>
        <w:tc>
          <w:tcPr>
            <w:tcW w:w="43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21</w:t>
            </w:r>
          </w:p>
        </w:tc>
        <w:tc>
          <w:tcPr>
            <w:tcW w:w="18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　</w:t>
            </w:r>
          </w:p>
        </w:tc>
        <w:tc>
          <w:tcPr>
            <w:tcW w:w="16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　</w:t>
            </w:r>
          </w:p>
        </w:tc>
        <w:tc>
          <w:tcPr>
            <w:tcW w:w="1572"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4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8</w:t>
            </w:r>
          </w:p>
        </w:tc>
        <w:tc>
          <w:tcPr>
            <w:tcW w:w="188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376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43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22</w:t>
            </w:r>
          </w:p>
        </w:tc>
        <w:tc>
          <w:tcPr>
            <w:tcW w:w="18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　</w:t>
            </w:r>
          </w:p>
        </w:tc>
        <w:tc>
          <w:tcPr>
            <w:tcW w:w="16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　</w:t>
            </w:r>
          </w:p>
        </w:tc>
        <w:tc>
          <w:tcPr>
            <w:tcW w:w="157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b/>
                <w:bCs/>
                <w:kern w:val="0"/>
                <w:szCs w:val="21"/>
              </w:rPr>
            </w:pPr>
            <w:r>
              <w:rPr>
                <w:rFonts w:hint="eastAsia" w:eastAsia="仿宋_GB2312"/>
                <w:b/>
                <w:bCs/>
                <w:kern w:val="0"/>
                <w:szCs w:val="21"/>
              </w:rPr>
              <w:t>本年收入合计</w:t>
            </w:r>
          </w:p>
        </w:tc>
        <w:tc>
          <w:tcPr>
            <w:tcW w:w="4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9</w:t>
            </w:r>
          </w:p>
        </w:tc>
        <w:tc>
          <w:tcPr>
            <w:tcW w:w="1880"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lang w:val="en-US" w:eastAsia="zh-CN"/>
              </w:rPr>
              <w:t>366.00</w:t>
            </w:r>
            <w:r>
              <w:rPr>
                <w:rFonts w:hint="eastAsia" w:eastAsia="仿宋_GB2312"/>
                <w:kern w:val="0"/>
                <w:szCs w:val="21"/>
              </w:rPr>
              <w:t>　</w:t>
            </w:r>
          </w:p>
        </w:tc>
        <w:tc>
          <w:tcPr>
            <w:tcW w:w="376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b/>
                <w:bCs/>
                <w:kern w:val="0"/>
                <w:szCs w:val="21"/>
              </w:rPr>
            </w:pPr>
            <w:r>
              <w:rPr>
                <w:rFonts w:hint="eastAsia" w:eastAsia="仿宋_GB2312"/>
                <w:b/>
                <w:bCs/>
                <w:kern w:val="0"/>
                <w:szCs w:val="21"/>
              </w:rPr>
              <w:t>本年支出合计</w:t>
            </w:r>
          </w:p>
        </w:tc>
        <w:tc>
          <w:tcPr>
            <w:tcW w:w="43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23</w:t>
            </w:r>
          </w:p>
        </w:tc>
        <w:tc>
          <w:tcPr>
            <w:tcW w:w="18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lang w:val="en-US" w:eastAsia="zh-CN"/>
              </w:rPr>
              <w:t>366.00</w:t>
            </w:r>
          </w:p>
        </w:tc>
        <w:tc>
          <w:tcPr>
            <w:tcW w:w="16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lang w:val="en-US" w:eastAsia="zh-CN"/>
              </w:rPr>
              <w:t>366.00</w:t>
            </w:r>
          </w:p>
        </w:tc>
        <w:tc>
          <w:tcPr>
            <w:tcW w:w="157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b/>
                <w:bCs/>
                <w:kern w:val="0"/>
                <w:szCs w:val="21"/>
              </w:rPr>
            </w:pPr>
            <w:r>
              <w:rPr>
                <w:rFonts w:hint="eastAsia" w:eastAsia="仿宋_GB2312"/>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年初财政拨款结转和结余</w:t>
            </w:r>
          </w:p>
        </w:tc>
        <w:tc>
          <w:tcPr>
            <w:tcW w:w="4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10</w:t>
            </w:r>
          </w:p>
        </w:tc>
        <w:tc>
          <w:tcPr>
            <w:tcW w:w="1880"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376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年末财政拨款结转和结余</w:t>
            </w:r>
          </w:p>
        </w:tc>
        <w:tc>
          <w:tcPr>
            <w:tcW w:w="43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24</w:t>
            </w:r>
          </w:p>
        </w:tc>
        <w:tc>
          <w:tcPr>
            <w:tcW w:w="18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　</w:t>
            </w:r>
          </w:p>
        </w:tc>
        <w:tc>
          <w:tcPr>
            <w:tcW w:w="16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　</w:t>
            </w:r>
          </w:p>
        </w:tc>
        <w:tc>
          <w:tcPr>
            <w:tcW w:w="157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一、一般公共预算财政拨款</w:t>
            </w:r>
          </w:p>
        </w:tc>
        <w:tc>
          <w:tcPr>
            <w:tcW w:w="4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11</w:t>
            </w:r>
          </w:p>
        </w:tc>
        <w:tc>
          <w:tcPr>
            <w:tcW w:w="1880"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376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43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25</w:t>
            </w:r>
          </w:p>
        </w:tc>
        <w:tc>
          <w:tcPr>
            <w:tcW w:w="18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　</w:t>
            </w:r>
          </w:p>
        </w:tc>
        <w:tc>
          <w:tcPr>
            <w:tcW w:w="16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　</w:t>
            </w:r>
          </w:p>
        </w:tc>
        <w:tc>
          <w:tcPr>
            <w:tcW w:w="157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二、政府性基金预算财政拨款</w:t>
            </w:r>
          </w:p>
        </w:tc>
        <w:tc>
          <w:tcPr>
            <w:tcW w:w="4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12</w:t>
            </w:r>
          </w:p>
        </w:tc>
        <w:tc>
          <w:tcPr>
            <w:tcW w:w="1880"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376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43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26</w:t>
            </w:r>
          </w:p>
        </w:tc>
        <w:tc>
          <w:tcPr>
            <w:tcW w:w="18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　</w:t>
            </w:r>
          </w:p>
        </w:tc>
        <w:tc>
          <w:tcPr>
            <w:tcW w:w="16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　</w:t>
            </w:r>
          </w:p>
        </w:tc>
        <w:tc>
          <w:tcPr>
            <w:tcW w:w="157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　</w:t>
            </w:r>
          </w:p>
        </w:tc>
        <w:tc>
          <w:tcPr>
            <w:tcW w:w="4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13</w:t>
            </w:r>
          </w:p>
        </w:tc>
        <w:tc>
          <w:tcPr>
            <w:tcW w:w="1880"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rPr>
              <w:t>　</w:t>
            </w:r>
          </w:p>
        </w:tc>
        <w:tc>
          <w:tcPr>
            <w:tcW w:w="376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c>
          <w:tcPr>
            <w:tcW w:w="43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27</w:t>
            </w:r>
          </w:p>
        </w:tc>
        <w:tc>
          <w:tcPr>
            <w:tcW w:w="18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　</w:t>
            </w:r>
          </w:p>
        </w:tc>
        <w:tc>
          <w:tcPr>
            <w:tcW w:w="16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　</w:t>
            </w:r>
          </w:p>
        </w:tc>
        <w:tc>
          <w:tcPr>
            <w:tcW w:w="157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b/>
                <w:bCs/>
                <w:kern w:val="0"/>
                <w:szCs w:val="21"/>
              </w:rPr>
            </w:pPr>
            <w:r>
              <w:rPr>
                <w:rFonts w:hint="eastAsia" w:eastAsia="仿宋_GB2312"/>
                <w:b/>
                <w:bCs/>
                <w:kern w:val="0"/>
                <w:szCs w:val="21"/>
              </w:rPr>
              <w:t>总计</w:t>
            </w:r>
          </w:p>
        </w:tc>
        <w:tc>
          <w:tcPr>
            <w:tcW w:w="4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14</w:t>
            </w:r>
          </w:p>
        </w:tc>
        <w:tc>
          <w:tcPr>
            <w:tcW w:w="1880"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eastAsia="仿宋_GB2312"/>
                <w:kern w:val="0"/>
                <w:szCs w:val="21"/>
              </w:rPr>
            </w:pPr>
            <w:r>
              <w:rPr>
                <w:rFonts w:hint="eastAsia" w:eastAsia="仿宋_GB2312"/>
                <w:kern w:val="0"/>
                <w:szCs w:val="21"/>
                <w:lang w:val="en-US" w:eastAsia="zh-CN"/>
              </w:rPr>
              <w:t>366.00</w:t>
            </w:r>
          </w:p>
        </w:tc>
        <w:tc>
          <w:tcPr>
            <w:tcW w:w="376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b/>
                <w:bCs/>
                <w:kern w:val="0"/>
                <w:szCs w:val="21"/>
              </w:rPr>
            </w:pPr>
            <w:r>
              <w:rPr>
                <w:rFonts w:hint="eastAsia" w:eastAsia="仿宋_GB2312"/>
                <w:b/>
                <w:bCs/>
                <w:kern w:val="0"/>
                <w:szCs w:val="21"/>
              </w:rPr>
              <w:t>总计</w:t>
            </w:r>
          </w:p>
        </w:tc>
        <w:tc>
          <w:tcPr>
            <w:tcW w:w="43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28</w:t>
            </w:r>
          </w:p>
        </w:tc>
        <w:tc>
          <w:tcPr>
            <w:tcW w:w="18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lang w:val="en-US" w:eastAsia="zh-CN"/>
              </w:rPr>
              <w:t>366.00</w:t>
            </w:r>
          </w:p>
        </w:tc>
        <w:tc>
          <w:tcPr>
            <w:tcW w:w="16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lang w:val="en-US" w:eastAsia="zh-CN"/>
              </w:rPr>
              <w:t>366.00</w:t>
            </w:r>
          </w:p>
        </w:tc>
        <w:tc>
          <w:tcPr>
            <w:tcW w:w="157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b/>
                <w:bCs/>
                <w:kern w:val="0"/>
                <w:szCs w:val="21"/>
              </w:rPr>
            </w:pPr>
            <w:r>
              <w:rPr>
                <w:rFonts w:hint="eastAsia" w:eastAsia="仿宋_GB2312"/>
                <w:b/>
                <w:bCs/>
                <w:kern w:val="0"/>
                <w:szCs w:val="21"/>
              </w:rPr>
              <w:t>　</w:t>
            </w:r>
          </w:p>
        </w:tc>
      </w:tr>
    </w:tbl>
    <w:p>
      <w:pPr>
        <w:widowControl/>
        <w:jc w:val="left"/>
        <w:rPr>
          <w:rFonts w:eastAsia="仿宋_GB2312"/>
          <w:kern w:val="0"/>
          <w:szCs w:val="21"/>
        </w:rPr>
      </w:pPr>
      <w:r>
        <w:rPr>
          <w:rFonts w:hint="eastAsia" w:eastAsia="仿宋_GB2312"/>
          <w:kern w:val="0"/>
          <w:szCs w:val="21"/>
        </w:rPr>
        <w:t>注：本表反映部门本年度一般公共预算财政拨款和政府性基金预算财政拨款的总收支和年末结转结余情况。</w:t>
      </w:r>
    </w:p>
    <w:p>
      <w:pPr>
        <w:widowControl/>
        <w:jc w:val="left"/>
        <w:rPr>
          <w:rFonts w:eastAsia="仿宋_GB2312"/>
          <w:kern w:val="0"/>
          <w:szCs w:val="21"/>
        </w:rPr>
      </w:pPr>
    </w:p>
    <w:tbl>
      <w:tblPr>
        <w:tblStyle w:val="8"/>
        <w:tblpPr w:leftFromText="180" w:rightFromText="180" w:vertAnchor="text" w:horzAnchor="page" w:tblpX="1429" w:tblpY="555"/>
        <w:tblOverlap w:val="never"/>
        <w:tblW w:w="14191" w:type="dxa"/>
        <w:tblInd w:w="0" w:type="dxa"/>
        <w:tblLayout w:type="fixed"/>
        <w:tblCellMar>
          <w:top w:w="0" w:type="dxa"/>
          <w:left w:w="108" w:type="dxa"/>
          <w:bottom w:w="0" w:type="dxa"/>
          <w:right w:w="108" w:type="dxa"/>
        </w:tblCellMar>
      </w:tblPr>
      <w:tblGrid>
        <w:gridCol w:w="796"/>
        <w:gridCol w:w="411"/>
        <w:gridCol w:w="3529"/>
        <w:gridCol w:w="1345"/>
        <w:gridCol w:w="2875"/>
        <w:gridCol w:w="5235"/>
      </w:tblGrid>
      <w:tr>
        <w:tblPrEx>
          <w:tblCellMar>
            <w:top w:w="0" w:type="dxa"/>
            <w:left w:w="108" w:type="dxa"/>
            <w:bottom w:w="0" w:type="dxa"/>
            <w:right w:w="108" w:type="dxa"/>
          </w:tblCellMar>
        </w:tblPrEx>
        <w:trPr>
          <w:trHeight w:val="1431" w:hRule="atLeast"/>
        </w:trPr>
        <w:tc>
          <w:tcPr>
            <w:tcW w:w="14191" w:type="dxa"/>
            <w:gridSpan w:val="6"/>
            <w:tcBorders>
              <w:top w:val="nil"/>
              <w:left w:val="nil"/>
              <w:bottom w:val="nil"/>
              <w:right w:val="nil"/>
            </w:tcBorders>
            <w:noWrap w:val="0"/>
            <w:vAlign w:val="center"/>
          </w:tcPr>
          <w:p>
            <w:pPr>
              <w:widowControl/>
              <w:jc w:val="center"/>
              <w:rPr>
                <w:rFonts w:hint="eastAsia" w:ascii="黑体" w:hAnsi="黑体" w:eastAsia="黑体" w:cs="黑体"/>
                <w:kern w:val="0"/>
                <w:sz w:val="36"/>
                <w:szCs w:val="36"/>
              </w:rPr>
            </w:pPr>
            <w:r>
              <w:rPr>
                <w:rFonts w:hint="eastAsia" w:ascii="黑体" w:hAnsi="黑体" w:eastAsia="黑体" w:cs="黑体"/>
                <w:kern w:val="0"/>
                <w:sz w:val="36"/>
                <w:szCs w:val="36"/>
              </w:rPr>
              <w:t>一般公共预算财政拨款支出决算表</w:t>
            </w:r>
            <w:bookmarkStart w:id="0" w:name="RANGE!A1:F16"/>
            <w:bookmarkEnd w:id="0"/>
          </w:p>
          <w:p>
            <w:pPr>
              <w:widowControl/>
              <w:jc w:val="center"/>
              <w:rPr>
                <w:rFonts w:ascii="华文中宋" w:hAnsi="华文中宋" w:eastAsia="华文中宋" w:cs="宋体"/>
                <w:kern w:val="0"/>
                <w:sz w:val="32"/>
                <w:szCs w:val="32"/>
              </w:rPr>
            </w:pPr>
          </w:p>
        </w:tc>
      </w:tr>
      <w:tr>
        <w:tblPrEx>
          <w:tblCellMar>
            <w:top w:w="0" w:type="dxa"/>
            <w:left w:w="108" w:type="dxa"/>
            <w:bottom w:w="0" w:type="dxa"/>
            <w:right w:w="108" w:type="dxa"/>
          </w:tblCellMar>
        </w:tblPrEx>
        <w:trPr>
          <w:trHeight w:val="357" w:hRule="atLeast"/>
        </w:trPr>
        <w:tc>
          <w:tcPr>
            <w:tcW w:w="796"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11"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29"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45"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75" w:type="dxa"/>
            <w:tcBorders>
              <w:top w:val="nil"/>
              <w:left w:val="nil"/>
              <w:bottom w:val="nil"/>
              <w:right w:val="nil"/>
            </w:tcBorders>
            <w:noWrap w:val="0"/>
            <w:vAlign w:val="center"/>
          </w:tcPr>
          <w:p>
            <w:pPr>
              <w:widowControl/>
              <w:jc w:val="right"/>
              <w:rPr>
                <w:rFonts w:hint="eastAsia" w:ascii="宋体" w:hAnsi="宋体" w:eastAsia="宋体" w:cs="宋体"/>
                <w:kern w:val="0"/>
                <w:sz w:val="20"/>
                <w:szCs w:val="20"/>
              </w:rPr>
            </w:pPr>
          </w:p>
        </w:tc>
        <w:tc>
          <w:tcPr>
            <w:tcW w:w="5235" w:type="dxa"/>
            <w:tcBorders>
              <w:top w:val="nil"/>
              <w:left w:val="nil"/>
              <w:bottom w:val="nil"/>
              <w:right w:val="nil"/>
            </w:tcBorders>
            <w:noWrap/>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5</w:t>
            </w:r>
            <w:r>
              <w:rPr>
                <w:rFonts w:hint="eastAsia" w:eastAsia="仿宋_GB2312"/>
                <w:color w:val="000000"/>
                <w:kern w:val="0"/>
                <w:szCs w:val="21"/>
              </w:rPr>
              <w:t>表</w:t>
            </w:r>
          </w:p>
        </w:tc>
      </w:tr>
      <w:tr>
        <w:tblPrEx>
          <w:tblCellMar>
            <w:top w:w="0" w:type="dxa"/>
            <w:left w:w="108" w:type="dxa"/>
            <w:bottom w:w="0" w:type="dxa"/>
            <w:right w:w="108" w:type="dxa"/>
          </w:tblCellMar>
        </w:tblPrEx>
        <w:trPr>
          <w:trHeight w:val="357" w:hRule="atLeast"/>
        </w:trPr>
        <w:tc>
          <w:tcPr>
            <w:tcW w:w="796" w:type="dxa"/>
            <w:tcBorders>
              <w:top w:val="nil"/>
              <w:left w:val="nil"/>
              <w:bottom w:val="nil"/>
              <w:right w:val="nil"/>
            </w:tcBorders>
            <w:noWrap/>
            <w:vAlign w:val="center"/>
          </w:tcPr>
          <w:p>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3940" w:type="dxa"/>
            <w:gridSpan w:val="2"/>
            <w:tcBorders>
              <w:top w:val="nil"/>
              <w:left w:val="nil"/>
              <w:bottom w:val="nil"/>
              <w:right w:val="nil"/>
            </w:tcBorders>
            <w:noWrap w:val="0"/>
            <w:vAlign w:val="center"/>
          </w:tcPr>
          <w:p>
            <w:pPr>
              <w:widowControl/>
              <w:jc w:val="both"/>
              <w:rPr>
                <w:rFonts w:hint="eastAsia" w:ascii="宋体" w:hAnsi="宋体" w:eastAsia="仿宋_GB2312" w:cs="宋体"/>
                <w:kern w:val="0"/>
                <w:sz w:val="20"/>
                <w:szCs w:val="20"/>
                <w:lang w:eastAsia="zh-CN"/>
              </w:rPr>
            </w:pPr>
            <w:r>
              <w:rPr>
                <w:rFonts w:hint="eastAsia" w:ascii="宋体" w:hAnsi="宋体" w:cs="宋体"/>
                <w:kern w:val="0"/>
                <w:sz w:val="20"/>
                <w:szCs w:val="20"/>
                <w:lang w:eastAsia="zh-CN"/>
              </w:rPr>
              <w:t>蓝山县教师进修学校</w:t>
            </w:r>
          </w:p>
        </w:tc>
        <w:tc>
          <w:tcPr>
            <w:tcW w:w="1345"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75"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35" w:type="dxa"/>
            <w:tcBorders>
              <w:top w:val="nil"/>
              <w:left w:val="nil"/>
              <w:bottom w:val="nil"/>
              <w:right w:val="nil"/>
            </w:tcBorders>
            <w:noWrap/>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pPr>
        <w:widowControl/>
        <w:spacing w:before="156" w:beforeLines="50"/>
        <w:jc w:val="left"/>
        <w:rPr>
          <w:rFonts w:hint="eastAsia" w:eastAsia="仿宋_GB2312"/>
          <w:color w:val="000000"/>
          <w:kern w:val="0"/>
          <w:sz w:val="20"/>
          <w:szCs w:val="20"/>
          <w:lang w:eastAsia="zh-CN"/>
        </w:rPr>
      </w:pPr>
    </w:p>
    <w:tbl>
      <w:tblPr>
        <w:tblStyle w:val="8"/>
        <w:tblW w:w="14219" w:type="dxa"/>
        <w:jc w:val="center"/>
        <w:tblLayout w:type="fixed"/>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noWrap w:val="0"/>
            <w:vAlign w:val="center"/>
          </w:tcPr>
          <w:p>
            <w:pPr>
              <w:widowControl/>
              <w:jc w:val="center"/>
              <w:rPr>
                <w:rFonts w:eastAsia="仿宋_GB2312"/>
                <w:b/>
                <w:kern w:val="0"/>
                <w:szCs w:val="21"/>
              </w:rPr>
            </w:pPr>
            <w:r>
              <w:rPr>
                <w:rFonts w:hint="eastAsia" w:eastAsia="仿宋_GB2312"/>
                <w:b/>
                <w:kern w:val="0"/>
                <w:szCs w:val="21"/>
              </w:rPr>
              <w:t>项目</w:t>
            </w:r>
          </w:p>
        </w:tc>
        <w:tc>
          <w:tcPr>
            <w:tcW w:w="9492" w:type="dxa"/>
            <w:gridSpan w:val="3"/>
            <w:tcBorders>
              <w:top w:val="single" w:color="auto" w:sz="8" w:space="0"/>
              <w:left w:val="single" w:color="auto" w:sz="4" w:space="0"/>
              <w:bottom w:val="single" w:color="auto" w:sz="4" w:space="0"/>
              <w:right w:val="single" w:color="auto" w:sz="4" w:space="0"/>
            </w:tcBorders>
            <w:noWrap w:val="0"/>
            <w:vAlign w:val="center"/>
          </w:tcPr>
          <w:p>
            <w:pPr>
              <w:widowControl/>
              <w:jc w:val="center"/>
              <w:rPr>
                <w:rFonts w:eastAsia="仿宋_GB2312"/>
                <w:b/>
                <w:kern w:val="0"/>
                <w:szCs w:val="21"/>
              </w:rPr>
            </w:pPr>
            <w:r>
              <w:rPr>
                <w:rFonts w:hint="eastAsia" w:eastAsia="仿宋_GB2312"/>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noWrap w:val="0"/>
            <w:vAlign w:val="center"/>
          </w:tcPr>
          <w:p>
            <w:pPr>
              <w:widowControl/>
              <w:jc w:val="center"/>
              <w:rPr>
                <w:rFonts w:eastAsia="仿宋_GB2312"/>
                <w:b/>
                <w:kern w:val="0"/>
                <w:szCs w:val="21"/>
              </w:rPr>
            </w:pPr>
            <w:r>
              <w:rPr>
                <w:rFonts w:hint="eastAsia" w:eastAsia="仿宋_GB2312"/>
                <w:b/>
                <w:kern w:val="0"/>
                <w:szCs w:val="21"/>
              </w:rPr>
              <w:t>功能分类科目编码</w:t>
            </w:r>
          </w:p>
        </w:tc>
        <w:tc>
          <w:tcPr>
            <w:tcW w:w="3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b/>
                <w:kern w:val="0"/>
                <w:szCs w:val="21"/>
              </w:rPr>
            </w:pPr>
            <w:r>
              <w:rPr>
                <w:rFonts w:hint="eastAsia" w:eastAsia="仿宋_GB2312"/>
                <w:b/>
                <w:kern w:val="0"/>
                <w:szCs w:val="21"/>
              </w:rPr>
              <w:t>科目名称</w:t>
            </w:r>
          </w:p>
        </w:tc>
        <w:tc>
          <w:tcPr>
            <w:tcW w:w="30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b/>
                <w:kern w:val="0"/>
                <w:szCs w:val="21"/>
              </w:rPr>
            </w:pPr>
            <w:r>
              <w:rPr>
                <w:rFonts w:hint="eastAsia" w:eastAsia="仿宋_GB2312"/>
                <w:b/>
                <w:kern w:val="0"/>
                <w:szCs w:val="21"/>
              </w:rPr>
              <w:t>小计</w:t>
            </w:r>
          </w:p>
        </w:tc>
        <w:tc>
          <w:tcPr>
            <w:tcW w:w="349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b/>
                <w:kern w:val="0"/>
                <w:szCs w:val="21"/>
              </w:rPr>
            </w:pPr>
            <w:r>
              <w:rPr>
                <w:rFonts w:hint="eastAsia" w:eastAsia="仿宋_GB2312"/>
                <w:b/>
                <w:kern w:val="0"/>
                <w:szCs w:val="21"/>
              </w:rPr>
              <w:t>基本支出</w:t>
            </w:r>
          </w:p>
        </w:tc>
        <w:tc>
          <w:tcPr>
            <w:tcW w:w="30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b/>
                <w:kern w:val="0"/>
                <w:szCs w:val="21"/>
              </w:rPr>
            </w:pPr>
            <w:r>
              <w:rPr>
                <w:rFonts w:hint="eastAsia" w:eastAsia="仿宋_GB2312"/>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eastAsia="仿宋_GB2312"/>
                <w:b/>
                <w:kern w:val="0"/>
                <w:szCs w:val="21"/>
              </w:rPr>
            </w:pPr>
          </w:p>
        </w:tc>
        <w:tc>
          <w:tcPr>
            <w:tcW w:w="3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b/>
                <w:kern w:val="0"/>
                <w:szCs w:val="21"/>
              </w:rPr>
            </w:pPr>
          </w:p>
        </w:tc>
        <w:tc>
          <w:tcPr>
            <w:tcW w:w="30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b/>
                <w:kern w:val="0"/>
                <w:szCs w:val="21"/>
              </w:rPr>
            </w:pPr>
          </w:p>
        </w:tc>
        <w:tc>
          <w:tcPr>
            <w:tcW w:w="349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b/>
                <w:kern w:val="0"/>
                <w:szCs w:val="21"/>
              </w:rPr>
            </w:pPr>
          </w:p>
        </w:tc>
        <w:tc>
          <w:tcPr>
            <w:tcW w:w="30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b/>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eastAsia="仿宋_GB2312"/>
                <w:b/>
                <w:kern w:val="0"/>
                <w:szCs w:val="21"/>
              </w:rPr>
            </w:pPr>
          </w:p>
        </w:tc>
        <w:tc>
          <w:tcPr>
            <w:tcW w:w="3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b/>
                <w:kern w:val="0"/>
                <w:szCs w:val="21"/>
              </w:rPr>
            </w:pPr>
          </w:p>
        </w:tc>
        <w:tc>
          <w:tcPr>
            <w:tcW w:w="30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b/>
                <w:kern w:val="0"/>
                <w:szCs w:val="21"/>
              </w:rPr>
            </w:pPr>
          </w:p>
        </w:tc>
        <w:tc>
          <w:tcPr>
            <w:tcW w:w="349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b/>
                <w:kern w:val="0"/>
                <w:szCs w:val="21"/>
              </w:rPr>
            </w:pPr>
          </w:p>
        </w:tc>
        <w:tc>
          <w:tcPr>
            <w:tcW w:w="30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b/>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栏次</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1</w:t>
            </w:r>
          </w:p>
        </w:tc>
        <w:tc>
          <w:tcPr>
            <w:tcW w:w="34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2</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合计</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eastAsia="仿宋_GB2312"/>
                <w:kern w:val="0"/>
                <w:szCs w:val="21"/>
              </w:rPr>
            </w:pPr>
            <w:r>
              <w:rPr>
                <w:rFonts w:hint="eastAsia" w:eastAsia="仿宋_GB2312"/>
                <w:kern w:val="0"/>
                <w:szCs w:val="21"/>
                <w:lang w:val="en-US" w:eastAsia="zh-CN"/>
              </w:rPr>
              <w:t>366.00</w:t>
            </w:r>
          </w:p>
        </w:tc>
        <w:tc>
          <w:tcPr>
            <w:tcW w:w="34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eastAsia="仿宋_GB2312"/>
                <w:kern w:val="0"/>
                <w:szCs w:val="21"/>
              </w:rPr>
            </w:pPr>
            <w:r>
              <w:rPr>
                <w:rFonts w:hint="eastAsia" w:eastAsia="仿宋_GB2312"/>
                <w:kern w:val="0"/>
                <w:szCs w:val="21"/>
                <w:lang w:val="en-US" w:eastAsia="zh-CN"/>
              </w:rPr>
              <w:t>366.00</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pPr>
              <w:widowControl/>
              <w:jc w:val="right"/>
              <w:rPr>
                <w:rFonts w:eastAsia="仿宋_GB2312"/>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205</w:t>
            </w:r>
          </w:p>
        </w:tc>
        <w:tc>
          <w:tcPr>
            <w:tcW w:w="35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仿宋_GB2312"/>
                <w:kern w:val="0"/>
                <w:szCs w:val="21"/>
              </w:rPr>
            </w:pPr>
            <w:r>
              <w:rPr>
                <w:rFonts w:hint="eastAsia" w:ascii="宋体" w:hAnsi="宋体" w:eastAsia="宋体" w:cs="宋体"/>
                <w:i w:val="0"/>
                <w:color w:val="000000"/>
                <w:kern w:val="0"/>
                <w:sz w:val="22"/>
                <w:szCs w:val="22"/>
                <w:u w:val="none"/>
                <w:lang w:val="en-US" w:eastAsia="zh-CN" w:bidi="ar"/>
              </w:rPr>
              <w:t>教育支出</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仿宋_GB2312"/>
                <w:kern w:val="0"/>
                <w:szCs w:val="21"/>
              </w:rPr>
            </w:pPr>
            <w:r>
              <w:rPr>
                <w:rFonts w:hint="eastAsia" w:eastAsia="仿宋_GB2312"/>
                <w:kern w:val="0"/>
                <w:szCs w:val="21"/>
                <w:lang w:val="en-US" w:eastAsia="zh-CN"/>
              </w:rPr>
              <w:t>366.00</w:t>
            </w:r>
          </w:p>
        </w:tc>
        <w:tc>
          <w:tcPr>
            <w:tcW w:w="34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仿宋_GB2312"/>
                <w:kern w:val="0"/>
                <w:szCs w:val="21"/>
              </w:rPr>
            </w:pPr>
            <w:r>
              <w:rPr>
                <w:rFonts w:hint="eastAsia" w:eastAsia="仿宋_GB2312"/>
                <w:kern w:val="0"/>
                <w:szCs w:val="21"/>
                <w:lang w:val="en-US" w:eastAsia="zh-CN"/>
              </w:rPr>
              <w:t>366.00</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pPr>
              <w:widowControl/>
              <w:jc w:val="right"/>
              <w:rPr>
                <w:rFonts w:eastAsia="仿宋_GB2312"/>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2050</w:t>
            </w:r>
            <w:r>
              <w:rPr>
                <w:rFonts w:hint="eastAsia" w:eastAsia="仿宋_GB2312" w:cs="Times New Roman"/>
                <w:kern w:val="0"/>
                <w:szCs w:val="21"/>
                <w:lang w:val="en-US" w:eastAsia="zh-CN"/>
              </w:rPr>
              <w:t>8</w:t>
            </w:r>
          </w:p>
        </w:tc>
        <w:tc>
          <w:tcPr>
            <w:tcW w:w="35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仿宋_GB2312"/>
                <w:kern w:val="0"/>
                <w:szCs w:val="21"/>
              </w:rPr>
            </w:pPr>
            <w:r>
              <w:rPr>
                <w:rFonts w:hint="eastAsia" w:ascii="宋体" w:hAnsi="宋体" w:cs="宋体"/>
                <w:i w:val="0"/>
                <w:color w:val="000000"/>
                <w:kern w:val="0"/>
                <w:sz w:val="22"/>
                <w:szCs w:val="22"/>
                <w:u w:val="none"/>
                <w:lang w:val="en-US" w:eastAsia="zh-CN" w:bidi="ar"/>
              </w:rPr>
              <w:t>进修及培训</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eastAsia="仿宋_GB2312"/>
                <w:kern w:val="0"/>
                <w:szCs w:val="21"/>
              </w:rPr>
            </w:pPr>
            <w:r>
              <w:rPr>
                <w:rFonts w:hint="eastAsia" w:eastAsia="仿宋_GB2312"/>
                <w:kern w:val="0"/>
                <w:szCs w:val="21"/>
                <w:lang w:val="en-US" w:eastAsia="zh-CN"/>
              </w:rPr>
              <w:t>366.00</w:t>
            </w:r>
          </w:p>
        </w:tc>
        <w:tc>
          <w:tcPr>
            <w:tcW w:w="349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eastAsia="仿宋_GB2312"/>
                <w:kern w:val="0"/>
                <w:szCs w:val="21"/>
              </w:rPr>
            </w:pPr>
            <w:r>
              <w:rPr>
                <w:rFonts w:hint="eastAsia" w:eastAsia="仿宋_GB2312"/>
                <w:kern w:val="0"/>
                <w:szCs w:val="21"/>
                <w:lang w:val="en-US" w:eastAsia="zh-CN"/>
              </w:rPr>
              <w:t>366.00</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pPr>
              <w:widowControl/>
              <w:jc w:val="right"/>
              <w:rPr>
                <w:rFonts w:eastAsia="仿宋_GB2312"/>
                <w:kern w:val="0"/>
                <w:szCs w:val="21"/>
              </w:rPr>
            </w:pPr>
            <w:r>
              <w:rPr>
                <w:rFonts w:hint="eastAsia" w:ascii="Times New Roman" w:hAnsi="Times New Roman" w:eastAsia="仿宋_GB2312" w:cs="Times New Roman"/>
                <w:kern w:val="0"/>
                <w:szCs w:val="21"/>
                <w:lang w:val="en-US" w:eastAsia="zh-CN"/>
              </w:rPr>
              <w:t>2050</w:t>
            </w:r>
            <w:r>
              <w:rPr>
                <w:rFonts w:hint="eastAsia" w:eastAsia="仿宋_GB2312" w:cs="Times New Roman"/>
                <w:kern w:val="0"/>
                <w:szCs w:val="21"/>
                <w:lang w:val="en-US" w:eastAsia="zh-CN"/>
              </w:rPr>
              <w:t>801</w:t>
            </w:r>
          </w:p>
        </w:tc>
        <w:tc>
          <w:tcPr>
            <w:tcW w:w="3527"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eastAsia="仿宋_GB2312"/>
                <w:kern w:val="0"/>
                <w:szCs w:val="21"/>
              </w:rPr>
            </w:pPr>
            <w:r>
              <w:rPr>
                <w:rFonts w:hint="eastAsia" w:ascii="宋体" w:hAnsi="宋体" w:cs="宋体"/>
                <w:i w:val="0"/>
                <w:color w:val="000000"/>
                <w:kern w:val="0"/>
                <w:sz w:val="22"/>
                <w:szCs w:val="22"/>
                <w:u w:val="none"/>
                <w:lang w:val="en-US" w:eastAsia="zh-CN" w:bidi="ar"/>
              </w:rPr>
              <w:t>教师进修</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仿宋_GB2312"/>
                <w:kern w:val="0"/>
                <w:szCs w:val="21"/>
              </w:rPr>
            </w:pPr>
            <w:r>
              <w:rPr>
                <w:rFonts w:hint="eastAsia" w:eastAsia="仿宋_GB2312"/>
                <w:kern w:val="0"/>
                <w:szCs w:val="21"/>
                <w:lang w:val="en-US" w:eastAsia="zh-CN"/>
              </w:rPr>
              <w:t>366.00</w:t>
            </w:r>
          </w:p>
        </w:tc>
        <w:tc>
          <w:tcPr>
            <w:tcW w:w="34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仿宋_GB2312"/>
                <w:kern w:val="0"/>
                <w:szCs w:val="21"/>
              </w:rPr>
            </w:pPr>
            <w:r>
              <w:rPr>
                <w:rFonts w:hint="eastAsia" w:eastAsia="仿宋_GB2312"/>
                <w:kern w:val="0"/>
                <w:szCs w:val="21"/>
                <w:lang w:val="en-US" w:eastAsia="zh-CN"/>
              </w:rPr>
              <w:t>366.00</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仿宋_GB2312"/>
                <w:kern w:val="0"/>
                <w:szCs w:val="21"/>
              </w:rPr>
            </w:pPr>
            <w:r>
              <w:rPr>
                <w:rFonts w:hint="default" w:eastAsia="仿宋_GB2312"/>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tc>
        <w:tc>
          <w:tcPr>
            <w:tcW w:w="3527" w:type="dxa"/>
            <w:tcBorders>
              <w:top w:val="single" w:color="auto" w:sz="4" w:space="0"/>
              <w:left w:val="single" w:color="auto" w:sz="4" w:space="0"/>
              <w:bottom w:val="single" w:color="auto" w:sz="4" w:space="0"/>
              <w:right w:val="single" w:color="auto" w:sz="4" w:space="0"/>
            </w:tcBorders>
            <w:noWrap w:val="0"/>
            <w:vAlign w:val="center"/>
          </w:tcPr>
          <w:p/>
        </w:tc>
        <w:tc>
          <w:tcPr>
            <w:tcW w:w="3000" w:type="dxa"/>
            <w:tcBorders>
              <w:top w:val="single" w:color="auto" w:sz="4" w:space="0"/>
              <w:left w:val="single" w:color="auto" w:sz="4" w:space="0"/>
              <w:bottom w:val="single" w:color="auto" w:sz="4" w:space="0"/>
              <w:right w:val="single" w:color="auto" w:sz="4" w:space="0"/>
            </w:tcBorders>
            <w:noWrap w:val="0"/>
            <w:vAlign w:val="center"/>
          </w:tcPr>
          <w:p/>
        </w:tc>
        <w:tc>
          <w:tcPr>
            <w:tcW w:w="3492" w:type="dxa"/>
            <w:tcBorders>
              <w:top w:val="single" w:color="auto" w:sz="4" w:space="0"/>
              <w:left w:val="single" w:color="auto" w:sz="4" w:space="0"/>
              <w:bottom w:val="single" w:color="auto" w:sz="4" w:space="0"/>
              <w:right w:val="single" w:color="auto" w:sz="4" w:space="0"/>
            </w:tcBorders>
            <w:noWrap w:val="0"/>
            <w:vAlign w:val="center"/>
          </w:tcPr>
          <w:p/>
        </w:tc>
        <w:tc>
          <w:tcPr>
            <w:tcW w:w="3000" w:type="dxa"/>
            <w:tcBorders>
              <w:top w:val="single" w:color="auto" w:sz="4" w:space="0"/>
              <w:left w:val="single" w:color="auto" w:sz="4" w:space="0"/>
              <w:bottom w:val="single" w:color="auto" w:sz="4" w:space="0"/>
              <w:right w:val="single" w:color="auto" w:sz="4" w:space="0"/>
            </w:tcBorders>
            <w:noWrap w:val="0"/>
            <w:vAlign w:val="center"/>
          </w:tc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tc>
        <w:tc>
          <w:tcPr>
            <w:tcW w:w="3527" w:type="dxa"/>
            <w:tcBorders>
              <w:top w:val="single" w:color="auto" w:sz="4" w:space="0"/>
              <w:left w:val="single" w:color="auto" w:sz="4" w:space="0"/>
              <w:bottom w:val="single" w:color="auto" w:sz="4" w:space="0"/>
              <w:right w:val="single" w:color="auto" w:sz="4" w:space="0"/>
            </w:tcBorders>
            <w:noWrap w:val="0"/>
            <w:vAlign w:val="center"/>
          </w:tcPr>
          <w:p/>
        </w:tc>
        <w:tc>
          <w:tcPr>
            <w:tcW w:w="3000" w:type="dxa"/>
            <w:tcBorders>
              <w:top w:val="single" w:color="auto" w:sz="4" w:space="0"/>
              <w:left w:val="single" w:color="auto" w:sz="4" w:space="0"/>
              <w:bottom w:val="single" w:color="auto" w:sz="4" w:space="0"/>
              <w:right w:val="single" w:color="auto" w:sz="4" w:space="0"/>
            </w:tcBorders>
            <w:noWrap w:val="0"/>
            <w:vAlign w:val="center"/>
          </w:tcPr>
          <w:p/>
        </w:tc>
        <w:tc>
          <w:tcPr>
            <w:tcW w:w="3492" w:type="dxa"/>
            <w:tcBorders>
              <w:top w:val="single" w:color="auto" w:sz="4" w:space="0"/>
              <w:left w:val="single" w:color="auto" w:sz="4" w:space="0"/>
              <w:bottom w:val="single" w:color="auto" w:sz="4" w:space="0"/>
              <w:right w:val="single" w:color="auto" w:sz="4" w:space="0"/>
            </w:tcBorders>
            <w:noWrap w:val="0"/>
            <w:vAlign w:val="center"/>
          </w:tcPr>
          <w:p/>
        </w:tc>
        <w:tc>
          <w:tcPr>
            <w:tcW w:w="3000" w:type="dxa"/>
            <w:tcBorders>
              <w:top w:val="single" w:color="auto" w:sz="4" w:space="0"/>
              <w:left w:val="single" w:color="auto" w:sz="4" w:space="0"/>
              <w:bottom w:val="single" w:color="auto" w:sz="4" w:space="0"/>
              <w:right w:val="single" w:color="auto" w:sz="4" w:space="0"/>
            </w:tcBorders>
            <w:noWrap w:val="0"/>
            <w:vAlign w:val="center"/>
          </w:tc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pPr>
              <w:widowControl/>
              <w:jc w:val="right"/>
              <w:rPr>
                <w:rFonts w:eastAsia="仿宋_GB2312"/>
                <w:kern w:val="0"/>
                <w:szCs w:val="21"/>
              </w:rPr>
            </w:pPr>
            <w:r>
              <w:rPr>
                <w:rFonts w:hint="default" w:eastAsia="仿宋_GB2312"/>
                <w:kern w:val="0"/>
                <w:szCs w:val="21"/>
              </w:rPr>
              <w:t>　</w:t>
            </w:r>
          </w:p>
        </w:tc>
        <w:tc>
          <w:tcPr>
            <w:tcW w:w="3527"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仿宋_GB2312"/>
                <w:kern w:val="0"/>
                <w:szCs w:val="21"/>
              </w:rPr>
            </w:pPr>
            <w:r>
              <w:rPr>
                <w:rFonts w:hint="default" w:eastAsia="仿宋_GB2312"/>
                <w:kern w:val="0"/>
                <w:szCs w:val="21"/>
              </w:rPr>
              <w:t>　</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仿宋_GB2312"/>
                <w:kern w:val="0"/>
                <w:szCs w:val="21"/>
              </w:rPr>
            </w:pPr>
            <w:r>
              <w:rPr>
                <w:rFonts w:hint="default" w:eastAsia="仿宋_GB2312"/>
                <w:kern w:val="0"/>
                <w:szCs w:val="21"/>
              </w:rPr>
              <w:t>　</w:t>
            </w:r>
          </w:p>
        </w:tc>
        <w:tc>
          <w:tcPr>
            <w:tcW w:w="3492"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仿宋_GB2312"/>
                <w:kern w:val="0"/>
                <w:szCs w:val="21"/>
              </w:rPr>
            </w:pPr>
            <w:r>
              <w:rPr>
                <w:rFonts w:hint="default" w:eastAsia="仿宋_GB2312"/>
                <w:kern w:val="0"/>
                <w:szCs w:val="21"/>
              </w:rPr>
              <w:t>　</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仿宋_GB2312"/>
                <w:kern w:val="0"/>
                <w:szCs w:val="21"/>
              </w:rPr>
            </w:pPr>
            <w:r>
              <w:rPr>
                <w:rFonts w:hint="default" w:eastAsia="仿宋_GB2312"/>
                <w:kern w:val="0"/>
                <w:szCs w:val="21"/>
              </w:rPr>
              <w:t>　</w:t>
            </w:r>
          </w:p>
        </w:tc>
      </w:tr>
      <w:tr>
        <w:tblPrEx>
          <w:tblCellMar>
            <w:top w:w="0" w:type="dxa"/>
            <w:left w:w="108" w:type="dxa"/>
            <w:bottom w:w="0" w:type="dxa"/>
            <w:right w:w="108" w:type="dxa"/>
          </w:tblCellMar>
        </w:tblPrEx>
        <w:trPr>
          <w:trHeight w:val="645" w:hRule="atLeast"/>
          <w:jc w:val="center"/>
        </w:trPr>
        <w:tc>
          <w:tcPr>
            <w:tcW w:w="14219" w:type="dxa"/>
            <w:gridSpan w:val="5"/>
            <w:tcBorders>
              <w:top w:val="single" w:color="auto" w:sz="4" w:space="0"/>
            </w:tcBorders>
            <w:noWrap w:val="0"/>
            <w:vAlign w:val="center"/>
          </w:tcPr>
          <w:p>
            <w:pPr>
              <w:widowControl/>
              <w:jc w:val="left"/>
              <w:rPr>
                <w:rFonts w:eastAsia="仿宋_GB2312"/>
                <w:kern w:val="0"/>
                <w:szCs w:val="21"/>
              </w:rPr>
            </w:pPr>
            <w:r>
              <w:rPr>
                <w:rFonts w:hint="eastAsia" w:eastAsia="仿宋_GB2312"/>
                <w:kern w:val="0"/>
                <w:szCs w:val="21"/>
              </w:rPr>
              <w:t>注：本表反映部门本年度一般公共预算财政拨款支出情况。</w:t>
            </w:r>
          </w:p>
        </w:tc>
      </w:tr>
    </w:tbl>
    <w:p>
      <w:pPr>
        <w:widowControl/>
        <w:jc w:val="left"/>
        <w:rPr>
          <w:rFonts w:eastAsia="仿宋_GB2312"/>
          <w:bCs/>
          <w:kern w:val="0"/>
          <w:szCs w:val="21"/>
        </w:rPr>
      </w:pPr>
    </w:p>
    <w:p>
      <w:pPr>
        <w:widowControl/>
        <w:jc w:val="center"/>
        <w:outlineLvl w:val="9"/>
        <w:rPr>
          <w:rFonts w:hint="eastAsia" w:ascii="黑体" w:hAnsi="黑体" w:eastAsia="黑体" w:cs="黑体"/>
          <w:color w:val="000000"/>
          <w:kern w:val="0"/>
          <w:sz w:val="36"/>
          <w:szCs w:val="36"/>
        </w:rPr>
      </w:pPr>
      <w:r>
        <w:rPr>
          <w:rFonts w:eastAsia="仿宋_GB2312"/>
          <w:bCs/>
          <w:kern w:val="0"/>
          <w:szCs w:val="21"/>
        </w:rPr>
        <w:br w:type="page"/>
      </w:r>
      <w:r>
        <w:rPr>
          <w:rFonts w:hint="eastAsia" w:eastAsia="仿宋_GB2312"/>
          <w:bCs/>
          <w:kern w:val="0"/>
          <w:szCs w:val="21"/>
          <w:lang w:val="en-US" w:eastAsia="zh-CN"/>
        </w:rPr>
        <w:t xml:space="preserve">                        </w:t>
      </w:r>
      <w:r>
        <w:rPr>
          <w:rFonts w:hint="eastAsia" w:ascii="黑体" w:hAnsi="黑体" w:eastAsia="黑体" w:cs="黑体"/>
          <w:color w:val="000000"/>
          <w:kern w:val="0"/>
          <w:sz w:val="36"/>
          <w:szCs w:val="36"/>
        </w:rPr>
        <w:t>一般公共预算财政拨款基本支出决算表</w:t>
      </w:r>
      <w:bookmarkStart w:id="1" w:name="RANGE!A1:I39"/>
      <w:bookmarkEnd w:id="1"/>
      <w:r>
        <w:rPr>
          <w:rFonts w:hint="eastAsia" w:ascii="黑体" w:hAnsi="黑体" w:eastAsia="黑体" w:cs="黑体"/>
          <w:color w:val="000000"/>
          <w:kern w:val="0"/>
          <w:sz w:val="36"/>
          <w:szCs w:val="36"/>
          <w:lang w:val="en-US" w:eastAsia="zh-CN"/>
        </w:rPr>
        <w:t xml:space="preserve">                           </w:t>
      </w:r>
      <w:r>
        <w:rPr>
          <w:rFonts w:hint="eastAsia" w:eastAsia="仿宋_GB2312"/>
          <w:color w:val="000000"/>
          <w:kern w:val="0"/>
          <w:szCs w:val="21"/>
        </w:rPr>
        <w:t>公开</w:t>
      </w:r>
      <w:r>
        <w:rPr>
          <w:rFonts w:eastAsia="仿宋_GB2312"/>
          <w:color w:val="000000"/>
          <w:kern w:val="0"/>
          <w:szCs w:val="21"/>
        </w:rPr>
        <w:t>06</w:t>
      </w:r>
      <w:r>
        <w:rPr>
          <w:rFonts w:hint="eastAsia" w:eastAsia="仿宋_GB2312"/>
          <w:color w:val="000000"/>
          <w:kern w:val="0"/>
          <w:szCs w:val="21"/>
        </w:rPr>
        <w:t>表</w:t>
      </w:r>
    </w:p>
    <w:p>
      <w:pPr>
        <w:widowControl/>
        <w:jc w:val="center"/>
        <w:outlineLvl w:val="9"/>
        <w:rPr>
          <w:rFonts w:eastAsia="仿宋_GB2312"/>
          <w:color w:val="000000"/>
          <w:kern w:val="0"/>
          <w:szCs w:val="21"/>
        </w:rPr>
      </w:pPr>
      <w:r>
        <w:rPr>
          <w:rFonts w:hint="eastAsia" w:eastAsia="仿宋_GB2312"/>
          <w:color w:val="000000"/>
          <w:kern w:val="0"/>
          <w:szCs w:val="21"/>
        </w:rPr>
        <w:t>部门：</w:t>
      </w:r>
      <w:r>
        <w:rPr>
          <w:rFonts w:hint="eastAsia" w:ascii="宋体" w:hAnsi="宋体" w:cs="宋体"/>
          <w:kern w:val="0"/>
          <w:sz w:val="20"/>
          <w:szCs w:val="20"/>
          <w:lang w:eastAsia="zh-CN"/>
        </w:rPr>
        <w:t>蓝山县教师进修学校</w:t>
      </w:r>
      <w:r>
        <w:rPr>
          <w:rFonts w:hint="eastAsia" w:ascii="宋体" w:hAnsi="宋体" w:cs="宋体"/>
          <w:kern w:val="0"/>
          <w:sz w:val="20"/>
          <w:szCs w:val="20"/>
          <w:lang w:val="en-US" w:eastAsia="zh-CN"/>
        </w:rPr>
        <w:t xml:space="preserve">                                                                                                              </w:t>
      </w:r>
      <w:r>
        <w:rPr>
          <w:rFonts w:hint="eastAsia" w:eastAsia="仿宋_GB2312"/>
          <w:color w:val="000000"/>
          <w:kern w:val="0"/>
          <w:szCs w:val="21"/>
        </w:rPr>
        <w:t>单位：万元</w:t>
      </w:r>
    </w:p>
    <w:tbl>
      <w:tblPr>
        <w:tblStyle w:val="8"/>
        <w:tblW w:w="15900" w:type="dxa"/>
        <w:tblInd w:w="93" w:type="dxa"/>
        <w:tblLayout w:type="fixed"/>
        <w:tblCellMar>
          <w:top w:w="0" w:type="dxa"/>
          <w:left w:w="108" w:type="dxa"/>
          <w:bottom w:w="0" w:type="dxa"/>
          <w:right w:w="108" w:type="dxa"/>
        </w:tblCellMar>
      </w:tblPr>
      <w:tblGrid>
        <w:gridCol w:w="1149"/>
        <w:gridCol w:w="3306"/>
        <w:gridCol w:w="1167"/>
        <w:gridCol w:w="799"/>
        <w:gridCol w:w="2297"/>
        <w:gridCol w:w="856"/>
        <w:gridCol w:w="1076"/>
        <w:gridCol w:w="3612"/>
        <w:gridCol w:w="1638"/>
      </w:tblGrid>
      <w:tr>
        <w:tblPrEx>
          <w:tblCellMar>
            <w:top w:w="0" w:type="dxa"/>
            <w:left w:w="108" w:type="dxa"/>
            <w:bottom w:w="0" w:type="dxa"/>
            <w:right w:w="108" w:type="dxa"/>
          </w:tblCellMar>
        </w:tblPrEx>
        <w:trPr>
          <w:trHeight w:val="585" w:hRule="atLeast"/>
        </w:trPr>
        <w:tc>
          <w:tcPr>
            <w:tcW w:w="11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经济分类科目编码</w:t>
            </w:r>
          </w:p>
        </w:tc>
        <w:tc>
          <w:tcPr>
            <w:tcW w:w="33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科目名称</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决算数</w:t>
            </w:r>
          </w:p>
        </w:tc>
        <w:tc>
          <w:tcPr>
            <w:tcW w:w="7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经济分类科目编码</w:t>
            </w:r>
          </w:p>
        </w:tc>
        <w:tc>
          <w:tcPr>
            <w:tcW w:w="229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科目名称</w:t>
            </w:r>
          </w:p>
        </w:tc>
        <w:tc>
          <w:tcPr>
            <w:tcW w:w="85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决算数</w:t>
            </w:r>
          </w:p>
        </w:tc>
        <w:tc>
          <w:tcPr>
            <w:tcW w:w="10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经济分类科目编码</w:t>
            </w:r>
          </w:p>
        </w:tc>
        <w:tc>
          <w:tcPr>
            <w:tcW w:w="36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科目名称</w:t>
            </w:r>
          </w:p>
        </w:tc>
        <w:tc>
          <w:tcPr>
            <w:tcW w:w="16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决算数</w:t>
            </w:r>
          </w:p>
        </w:tc>
      </w:tr>
      <w:tr>
        <w:tblPrEx>
          <w:tblCellMar>
            <w:top w:w="0" w:type="dxa"/>
            <w:left w:w="108" w:type="dxa"/>
            <w:bottom w:w="0" w:type="dxa"/>
            <w:right w:w="108" w:type="dxa"/>
          </w:tblCellMar>
        </w:tblPrEx>
        <w:trPr>
          <w:trHeight w:val="255" w:hRule="exact"/>
        </w:trPr>
        <w:tc>
          <w:tcPr>
            <w:tcW w:w="1149" w:type="dxa"/>
            <w:tcBorders>
              <w:top w:val="single" w:color="auto" w:sz="4" w:space="0"/>
              <w:left w:val="single" w:color="auto" w:sz="4" w:space="0"/>
              <w:bottom w:val="single" w:color="auto" w:sz="4" w:space="0"/>
              <w:right w:val="single" w:color="auto" w:sz="4" w:space="0"/>
            </w:tcBorders>
            <w:noWrap/>
            <w:vAlign w:val="center"/>
          </w:tcPr>
          <w:p>
            <w:pPr>
              <w:widowControl/>
              <w:rPr>
                <w:color w:val="000000"/>
                <w:kern w:val="0"/>
                <w:sz w:val="18"/>
                <w:szCs w:val="18"/>
              </w:rPr>
            </w:pPr>
            <w:r>
              <w:rPr>
                <w:color w:val="000000"/>
                <w:kern w:val="0"/>
                <w:sz w:val="18"/>
                <w:szCs w:val="18"/>
              </w:rPr>
              <w:t>301</w:t>
            </w:r>
          </w:p>
        </w:tc>
        <w:tc>
          <w:tcPr>
            <w:tcW w:w="3306" w:type="dxa"/>
            <w:tcBorders>
              <w:top w:val="single" w:color="auto" w:sz="4" w:space="0"/>
              <w:left w:val="single" w:color="auto" w:sz="4" w:space="0"/>
              <w:bottom w:val="single" w:color="auto" w:sz="4" w:space="0"/>
              <w:right w:val="single" w:color="auto" w:sz="4"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1167" w:type="dxa"/>
            <w:tcBorders>
              <w:top w:val="single" w:color="auto" w:sz="4" w:space="0"/>
              <w:left w:val="single" w:color="auto" w:sz="4" w:space="0"/>
              <w:bottom w:val="single" w:color="auto" w:sz="4" w:space="0"/>
              <w:right w:val="single" w:color="auto" w:sz="4" w:space="0"/>
            </w:tcBorders>
            <w:noWrap/>
            <w:vAlign w:val="top"/>
          </w:tcPr>
          <w:p>
            <w:pPr>
              <w:widowControl/>
              <w:jc w:val="center"/>
              <w:rPr>
                <w:rFonts w:hint="default"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282.73</w:t>
            </w:r>
          </w:p>
        </w:tc>
        <w:tc>
          <w:tcPr>
            <w:tcW w:w="799"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color w:val="000000"/>
                <w:kern w:val="0"/>
                <w:sz w:val="18"/>
                <w:szCs w:val="18"/>
              </w:rPr>
              <w:t>302</w:t>
            </w:r>
          </w:p>
        </w:tc>
        <w:tc>
          <w:tcPr>
            <w:tcW w:w="2297" w:type="dxa"/>
            <w:tcBorders>
              <w:top w:val="single" w:color="auto" w:sz="4" w:space="0"/>
              <w:left w:val="single" w:color="auto" w:sz="4" w:space="0"/>
              <w:bottom w:val="single" w:color="auto" w:sz="4" w:space="0"/>
              <w:right w:val="single" w:color="auto" w:sz="4"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single" w:color="auto" w:sz="4" w:space="0"/>
              <w:left w:val="single" w:color="auto" w:sz="4" w:space="0"/>
              <w:bottom w:val="single" w:color="auto" w:sz="4" w:space="0"/>
              <w:right w:val="single" w:color="auto" w:sz="4"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68.99</w:t>
            </w:r>
          </w:p>
        </w:tc>
        <w:tc>
          <w:tcPr>
            <w:tcW w:w="1076"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color w:val="000000"/>
                <w:kern w:val="0"/>
                <w:sz w:val="18"/>
                <w:szCs w:val="18"/>
              </w:rPr>
              <w:t>307</w:t>
            </w:r>
          </w:p>
        </w:tc>
        <w:tc>
          <w:tcPr>
            <w:tcW w:w="3612" w:type="dxa"/>
            <w:tcBorders>
              <w:top w:val="single" w:color="auto" w:sz="4" w:space="0"/>
              <w:left w:val="single" w:color="auto" w:sz="4" w:space="0"/>
              <w:bottom w:val="single" w:color="auto" w:sz="4" w:space="0"/>
              <w:right w:val="single" w:color="auto" w:sz="4"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1638" w:type="dxa"/>
            <w:tcBorders>
              <w:top w:val="single" w:color="auto" w:sz="4" w:space="0"/>
              <w:left w:val="single" w:color="auto" w:sz="4" w:space="0"/>
              <w:bottom w:val="single" w:color="auto" w:sz="4" w:space="0"/>
              <w:right w:val="single" w:color="auto" w:sz="4" w:space="0"/>
            </w:tcBorders>
            <w:noWrap/>
            <w:vAlign w:val="center"/>
          </w:tcPr>
          <w:p>
            <w:pPr>
              <w:widowControl/>
              <w:rPr>
                <w:rFonts w:hint="default" w:ascii="仿宋_GB2312" w:hAnsi="宋体" w:eastAsia="仿宋_GB2312" w:cs="宋体"/>
                <w:color w:val="000000"/>
                <w:kern w:val="0"/>
                <w:sz w:val="18"/>
                <w:szCs w:val="18"/>
                <w:lang w:val="en-US" w:eastAsia="zh-CN"/>
              </w:rPr>
            </w:pPr>
          </w:p>
        </w:tc>
      </w:tr>
      <w:tr>
        <w:tblPrEx>
          <w:tblCellMar>
            <w:top w:w="0" w:type="dxa"/>
            <w:left w:w="108" w:type="dxa"/>
            <w:bottom w:w="0" w:type="dxa"/>
            <w:right w:w="108" w:type="dxa"/>
          </w:tblCellMar>
        </w:tblPrEx>
        <w:trPr>
          <w:trHeight w:val="255" w:hRule="exact"/>
        </w:trPr>
        <w:tc>
          <w:tcPr>
            <w:tcW w:w="1149" w:type="dxa"/>
            <w:tcBorders>
              <w:top w:val="single" w:color="auto" w:sz="4" w:space="0"/>
              <w:left w:val="single" w:color="auto" w:sz="4" w:space="0"/>
              <w:bottom w:val="single" w:color="auto" w:sz="4" w:space="0"/>
              <w:right w:val="single" w:color="auto" w:sz="4" w:space="0"/>
            </w:tcBorders>
            <w:noWrap/>
            <w:vAlign w:val="center"/>
          </w:tcPr>
          <w:p>
            <w:pPr>
              <w:widowControl/>
              <w:rPr>
                <w:color w:val="000000"/>
                <w:kern w:val="0"/>
                <w:sz w:val="18"/>
                <w:szCs w:val="18"/>
              </w:rPr>
            </w:pPr>
            <w:r>
              <w:rPr>
                <w:color w:val="000000"/>
                <w:kern w:val="0"/>
                <w:sz w:val="18"/>
                <w:szCs w:val="18"/>
              </w:rPr>
              <w:t>30101</w:t>
            </w:r>
          </w:p>
        </w:tc>
        <w:tc>
          <w:tcPr>
            <w:tcW w:w="3306" w:type="dxa"/>
            <w:tcBorders>
              <w:top w:val="single" w:color="auto" w:sz="4" w:space="0"/>
              <w:left w:val="single" w:color="auto" w:sz="4" w:space="0"/>
              <w:bottom w:val="single" w:color="auto" w:sz="4" w:space="0"/>
              <w:right w:val="single" w:color="auto" w:sz="4" w:space="0"/>
            </w:tcBorders>
            <w:noWrap/>
            <w:vAlign w:val="top"/>
          </w:tcPr>
          <w:p>
            <w:pPr>
              <w:widowControl/>
              <w:rPr>
                <w:rFonts w:hint="eastAsia" w:ascii="仿宋_GB2312" w:hAnsi="宋体" w:eastAsia="仿宋_GB2312" w:cs="宋体"/>
                <w:color w:val="000000"/>
                <w:kern w:val="0"/>
                <w:sz w:val="18"/>
                <w:szCs w:val="18"/>
                <w:lang w:val="en-US" w:eastAsia="zh-CN"/>
              </w:rPr>
            </w:pPr>
            <w:r>
              <w:rPr>
                <w:rFonts w:hint="eastAsia" w:ascii="仿宋_GB2312" w:eastAsia="仿宋_GB2312"/>
                <w:color w:val="000000"/>
                <w:kern w:val="0"/>
                <w:sz w:val="18"/>
                <w:szCs w:val="18"/>
              </w:rPr>
              <w:t>基本工资</w:t>
            </w:r>
          </w:p>
        </w:tc>
        <w:tc>
          <w:tcPr>
            <w:tcW w:w="1167" w:type="dxa"/>
            <w:tcBorders>
              <w:top w:val="single" w:color="auto" w:sz="4" w:space="0"/>
              <w:left w:val="single" w:color="auto" w:sz="4" w:space="0"/>
              <w:bottom w:val="single" w:color="auto" w:sz="4" w:space="0"/>
              <w:right w:val="single" w:color="auto" w:sz="4" w:space="0"/>
            </w:tcBorders>
            <w:noWrap/>
            <w:vAlign w:val="top"/>
          </w:tcPr>
          <w:p>
            <w:pPr>
              <w:widowControl/>
              <w:jc w:val="center"/>
              <w:rPr>
                <w:rFonts w:hint="default"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bidi="ar-SA"/>
              </w:rPr>
              <w:t>105.63</w:t>
            </w:r>
          </w:p>
        </w:tc>
        <w:tc>
          <w:tcPr>
            <w:tcW w:w="799"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color w:val="000000"/>
                <w:kern w:val="0"/>
                <w:sz w:val="18"/>
                <w:szCs w:val="18"/>
              </w:rPr>
              <w:t>30201</w:t>
            </w:r>
          </w:p>
        </w:tc>
        <w:tc>
          <w:tcPr>
            <w:tcW w:w="2297"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办公费</w:t>
            </w:r>
          </w:p>
        </w:tc>
        <w:tc>
          <w:tcPr>
            <w:tcW w:w="856" w:type="dxa"/>
            <w:tcBorders>
              <w:top w:val="single" w:color="auto" w:sz="4" w:space="0"/>
              <w:left w:val="single" w:color="auto" w:sz="4" w:space="0"/>
              <w:bottom w:val="single" w:color="auto" w:sz="4" w:space="0"/>
              <w:right w:val="single" w:color="auto" w:sz="4"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20.18</w:t>
            </w:r>
          </w:p>
        </w:tc>
        <w:tc>
          <w:tcPr>
            <w:tcW w:w="1076" w:type="dxa"/>
            <w:tcBorders>
              <w:top w:val="single" w:color="auto" w:sz="4" w:space="0"/>
              <w:left w:val="single" w:color="auto" w:sz="4" w:space="0"/>
              <w:bottom w:val="single" w:color="auto" w:sz="4" w:space="0"/>
              <w:right w:val="single" w:color="auto" w:sz="4" w:space="0"/>
            </w:tcBorders>
            <w:noWrap/>
            <w:vAlign w:val="top"/>
          </w:tcPr>
          <w:p>
            <w:pPr>
              <w:widowControl/>
              <w:rPr>
                <w:rFonts w:hint="default"/>
                <w:color w:val="000000"/>
                <w:kern w:val="0"/>
                <w:sz w:val="18"/>
                <w:szCs w:val="18"/>
                <w:lang w:val="en-US"/>
              </w:rPr>
            </w:pPr>
          </w:p>
        </w:tc>
        <w:tc>
          <w:tcPr>
            <w:tcW w:w="3612"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国内债务付息</w:t>
            </w:r>
          </w:p>
        </w:tc>
        <w:tc>
          <w:tcPr>
            <w:tcW w:w="1638" w:type="dxa"/>
            <w:tcBorders>
              <w:top w:val="single" w:color="auto" w:sz="4" w:space="0"/>
              <w:left w:val="single" w:color="auto" w:sz="4" w:space="0"/>
              <w:bottom w:val="single" w:color="auto" w:sz="4" w:space="0"/>
              <w:right w:val="single" w:color="auto" w:sz="4" w:space="0"/>
            </w:tcBorders>
            <w:noWrap/>
            <w:vAlign w:val="center"/>
          </w:tcPr>
          <w:p>
            <w:pPr>
              <w:widowControl/>
              <w:rPr>
                <w:rFonts w:hint="default" w:ascii="仿宋_GB2312" w:hAnsi="宋体" w:eastAsia="仿宋_GB2312" w:cs="宋体"/>
                <w:color w:val="000000"/>
                <w:kern w:val="0"/>
                <w:sz w:val="18"/>
                <w:szCs w:val="18"/>
                <w:lang w:val="en-US" w:eastAsia="zh-CN" w:bidi="ar-SA"/>
              </w:rPr>
            </w:pPr>
          </w:p>
        </w:tc>
      </w:tr>
      <w:tr>
        <w:tblPrEx>
          <w:tblCellMar>
            <w:top w:w="0" w:type="dxa"/>
            <w:left w:w="108" w:type="dxa"/>
            <w:bottom w:w="0" w:type="dxa"/>
            <w:right w:w="108" w:type="dxa"/>
          </w:tblCellMar>
        </w:tblPrEx>
        <w:trPr>
          <w:trHeight w:val="255" w:hRule="exact"/>
        </w:trPr>
        <w:tc>
          <w:tcPr>
            <w:tcW w:w="1149" w:type="dxa"/>
            <w:tcBorders>
              <w:top w:val="single" w:color="auto" w:sz="4" w:space="0"/>
              <w:left w:val="single" w:color="auto" w:sz="4" w:space="0"/>
              <w:bottom w:val="single" w:color="auto" w:sz="4" w:space="0"/>
              <w:right w:val="single" w:color="auto" w:sz="4" w:space="0"/>
            </w:tcBorders>
            <w:noWrap/>
            <w:vAlign w:val="center"/>
          </w:tcPr>
          <w:p>
            <w:pPr>
              <w:widowControl/>
              <w:rPr>
                <w:color w:val="000000"/>
                <w:kern w:val="0"/>
                <w:sz w:val="18"/>
                <w:szCs w:val="18"/>
              </w:rPr>
            </w:pPr>
            <w:r>
              <w:rPr>
                <w:color w:val="000000"/>
                <w:kern w:val="0"/>
                <w:sz w:val="18"/>
                <w:szCs w:val="18"/>
              </w:rPr>
              <w:t>30102</w:t>
            </w:r>
          </w:p>
        </w:tc>
        <w:tc>
          <w:tcPr>
            <w:tcW w:w="3306"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津贴补贴</w:t>
            </w:r>
          </w:p>
        </w:tc>
        <w:tc>
          <w:tcPr>
            <w:tcW w:w="1167" w:type="dxa"/>
            <w:tcBorders>
              <w:top w:val="single" w:color="auto" w:sz="4" w:space="0"/>
              <w:left w:val="single" w:color="auto" w:sz="4" w:space="0"/>
              <w:bottom w:val="single" w:color="auto" w:sz="4" w:space="0"/>
              <w:right w:val="single" w:color="auto" w:sz="4" w:space="0"/>
            </w:tcBorders>
            <w:noWrap/>
            <w:vAlign w:val="top"/>
          </w:tcPr>
          <w:p>
            <w:pPr>
              <w:widowControl/>
              <w:jc w:val="center"/>
              <w:rPr>
                <w:rFonts w:hint="eastAsia" w:ascii="仿宋_GB2312" w:hAnsi="宋体" w:eastAsia="仿宋_GB2312" w:cs="宋体"/>
                <w:color w:val="000000"/>
                <w:kern w:val="0"/>
                <w:sz w:val="18"/>
                <w:szCs w:val="18"/>
                <w:lang w:val="en-US" w:eastAsia="zh-CN"/>
              </w:rPr>
            </w:pPr>
          </w:p>
        </w:tc>
        <w:tc>
          <w:tcPr>
            <w:tcW w:w="799"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color w:val="000000"/>
                <w:kern w:val="0"/>
                <w:sz w:val="18"/>
                <w:szCs w:val="18"/>
              </w:rPr>
              <w:t>30202</w:t>
            </w:r>
          </w:p>
        </w:tc>
        <w:tc>
          <w:tcPr>
            <w:tcW w:w="2297"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印刷费</w:t>
            </w:r>
          </w:p>
        </w:tc>
        <w:tc>
          <w:tcPr>
            <w:tcW w:w="856" w:type="dxa"/>
            <w:tcBorders>
              <w:top w:val="single" w:color="auto" w:sz="4" w:space="0"/>
              <w:left w:val="single" w:color="auto" w:sz="4" w:space="0"/>
              <w:bottom w:val="single" w:color="auto" w:sz="4" w:space="0"/>
              <w:right w:val="single" w:color="auto" w:sz="4"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1.22</w:t>
            </w:r>
          </w:p>
        </w:tc>
        <w:tc>
          <w:tcPr>
            <w:tcW w:w="1076"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color w:val="000000"/>
                <w:kern w:val="0"/>
                <w:sz w:val="18"/>
                <w:szCs w:val="18"/>
              </w:rPr>
              <w:t>30702</w:t>
            </w:r>
          </w:p>
        </w:tc>
        <w:tc>
          <w:tcPr>
            <w:tcW w:w="3612"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国外债务付息</w:t>
            </w:r>
          </w:p>
        </w:tc>
        <w:tc>
          <w:tcPr>
            <w:tcW w:w="1638"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single" w:color="auto" w:sz="4" w:space="0"/>
              <w:left w:val="single" w:color="auto" w:sz="4" w:space="0"/>
              <w:bottom w:val="single" w:color="auto" w:sz="4" w:space="0"/>
              <w:right w:val="single" w:color="auto" w:sz="4" w:space="0"/>
            </w:tcBorders>
            <w:noWrap/>
            <w:vAlign w:val="center"/>
          </w:tcPr>
          <w:p>
            <w:pPr>
              <w:widowControl/>
              <w:rPr>
                <w:color w:val="000000"/>
                <w:kern w:val="0"/>
                <w:sz w:val="18"/>
                <w:szCs w:val="18"/>
              </w:rPr>
            </w:pPr>
            <w:r>
              <w:rPr>
                <w:color w:val="000000"/>
                <w:kern w:val="0"/>
                <w:sz w:val="18"/>
                <w:szCs w:val="18"/>
              </w:rPr>
              <w:t>30103</w:t>
            </w:r>
          </w:p>
        </w:tc>
        <w:tc>
          <w:tcPr>
            <w:tcW w:w="3306"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奖金</w:t>
            </w:r>
          </w:p>
        </w:tc>
        <w:tc>
          <w:tcPr>
            <w:tcW w:w="1167" w:type="dxa"/>
            <w:tcBorders>
              <w:top w:val="single" w:color="auto" w:sz="4" w:space="0"/>
              <w:left w:val="single" w:color="auto" w:sz="4" w:space="0"/>
              <w:bottom w:val="single" w:color="auto" w:sz="4" w:space="0"/>
              <w:right w:val="single" w:color="auto" w:sz="4"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18.66</w:t>
            </w:r>
          </w:p>
        </w:tc>
        <w:tc>
          <w:tcPr>
            <w:tcW w:w="799"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color w:val="000000"/>
                <w:kern w:val="0"/>
                <w:sz w:val="18"/>
                <w:szCs w:val="18"/>
              </w:rPr>
              <w:t>30203</w:t>
            </w:r>
          </w:p>
        </w:tc>
        <w:tc>
          <w:tcPr>
            <w:tcW w:w="2297"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咨询费</w:t>
            </w:r>
          </w:p>
        </w:tc>
        <w:tc>
          <w:tcPr>
            <w:tcW w:w="856" w:type="dxa"/>
            <w:tcBorders>
              <w:top w:val="single" w:color="auto" w:sz="4" w:space="0"/>
              <w:left w:val="single" w:color="auto" w:sz="4" w:space="0"/>
              <w:bottom w:val="single" w:color="auto" w:sz="4" w:space="0"/>
              <w:right w:val="single" w:color="auto" w:sz="4" w:space="0"/>
            </w:tcBorders>
            <w:noWrap/>
            <w:vAlign w:val="top"/>
          </w:tcPr>
          <w:p>
            <w:pPr>
              <w:widowControl/>
              <w:jc w:val="center"/>
              <w:rPr>
                <w:rFonts w:ascii="仿宋_GB2312" w:hAnsi="宋体" w:eastAsia="仿宋_GB2312" w:cs="宋体"/>
                <w:color w:val="000000"/>
                <w:kern w:val="0"/>
                <w:sz w:val="18"/>
                <w:szCs w:val="18"/>
              </w:rPr>
            </w:pPr>
          </w:p>
        </w:tc>
        <w:tc>
          <w:tcPr>
            <w:tcW w:w="1076"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color w:val="000000"/>
                <w:kern w:val="0"/>
                <w:sz w:val="18"/>
                <w:szCs w:val="18"/>
              </w:rPr>
              <w:t>310</w:t>
            </w:r>
          </w:p>
        </w:tc>
        <w:tc>
          <w:tcPr>
            <w:tcW w:w="3612" w:type="dxa"/>
            <w:tcBorders>
              <w:top w:val="single" w:color="auto" w:sz="4" w:space="0"/>
              <w:left w:val="single" w:color="auto" w:sz="4" w:space="0"/>
              <w:bottom w:val="single" w:color="auto" w:sz="4" w:space="0"/>
              <w:right w:val="single" w:color="auto" w:sz="4"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1638" w:type="dxa"/>
            <w:tcBorders>
              <w:top w:val="single" w:color="auto" w:sz="4" w:space="0"/>
              <w:left w:val="single" w:color="auto" w:sz="4" w:space="0"/>
              <w:bottom w:val="single" w:color="auto" w:sz="4" w:space="0"/>
              <w:right w:val="single" w:color="auto" w:sz="4" w:space="0"/>
            </w:tcBorders>
            <w:noWrap/>
            <w:vAlign w:val="center"/>
          </w:tcPr>
          <w:p>
            <w:pPr>
              <w:widowControl/>
              <w:rPr>
                <w:rFonts w:hint="default" w:ascii="仿宋_GB2312" w:hAnsi="宋体" w:eastAsia="仿宋_GB2312" w:cs="宋体"/>
                <w:color w:val="000000"/>
                <w:kern w:val="0"/>
                <w:sz w:val="18"/>
                <w:szCs w:val="18"/>
                <w:lang w:val="en-US" w:eastAsia="zh-CN"/>
              </w:rPr>
            </w:pPr>
          </w:p>
        </w:tc>
      </w:tr>
      <w:tr>
        <w:tblPrEx>
          <w:tblCellMar>
            <w:top w:w="0" w:type="dxa"/>
            <w:left w:w="108" w:type="dxa"/>
            <w:bottom w:w="0" w:type="dxa"/>
            <w:right w:w="108" w:type="dxa"/>
          </w:tblCellMar>
        </w:tblPrEx>
        <w:trPr>
          <w:trHeight w:val="255" w:hRule="exact"/>
        </w:trPr>
        <w:tc>
          <w:tcPr>
            <w:tcW w:w="1149" w:type="dxa"/>
            <w:tcBorders>
              <w:top w:val="single" w:color="auto" w:sz="4" w:space="0"/>
              <w:left w:val="single" w:color="auto" w:sz="4" w:space="0"/>
              <w:bottom w:val="single" w:color="auto" w:sz="4" w:space="0"/>
              <w:right w:val="single" w:color="auto" w:sz="4" w:space="0"/>
            </w:tcBorders>
            <w:noWrap/>
            <w:vAlign w:val="center"/>
          </w:tcPr>
          <w:p>
            <w:pPr>
              <w:widowControl/>
              <w:rPr>
                <w:color w:val="000000"/>
                <w:kern w:val="0"/>
                <w:sz w:val="18"/>
                <w:szCs w:val="18"/>
              </w:rPr>
            </w:pPr>
            <w:r>
              <w:rPr>
                <w:color w:val="000000"/>
                <w:kern w:val="0"/>
                <w:sz w:val="18"/>
                <w:szCs w:val="18"/>
              </w:rPr>
              <w:t>30106</w:t>
            </w:r>
          </w:p>
        </w:tc>
        <w:tc>
          <w:tcPr>
            <w:tcW w:w="3306"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伙食补助费</w:t>
            </w:r>
          </w:p>
        </w:tc>
        <w:tc>
          <w:tcPr>
            <w:tcW w:w="1167" w:type="dxa"/>
            <w:tcBorders>
              <w:top w:val="single" w:color="auto" w:sz="4" w:space="0"/>
              <w:left w:val="single" w:color="auto" w:sz="4" w:space="0"/>
              <w:bottom w:val="single" w:color="auto" w:sz="4" w:space="0"/>
              <w:right w:val="single" w:color="auto" w:sz="4" w:space="0"/>
            </w:tcBorders>
            <w:noWrap/>
            <w:vAlign w:val="top"/>
          </w:tcPr>
          <w:p>
            <w:pPr>
              <w:widowControl/>
              <w:jc w:val="center"/>
              <w:rPr>
                <w:rFonts w:hint="default" w:ascii="仿宋_GB2312" w:hAnsi="宋体" w:eastAsia="仿宋_GB2312" w:cs="宋体"/>
                <w:color w:val="000000"/>
                <w:kern w:val="0"/>
                <w:sz w:val="18"/>
                <w:szCs w:val="18"/>
                <w:lang w:val="en-US" w:eastAsia="zh-CN"/>
              </w:rPr>
            </w:pPr>
          </w:p>
        </w:tc>
        <w:tc>
          <w:tcPr>
            <w:tcW w:w="799"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color w:val="000000"/>
                <w:kern w:val="0"/>
                <w:sz w:val="18"/>
                <w:szCs w:val="18"/>
              </w:rPr>
              <w:t>30204</w:t>
            </w:r>
          </w:p>
        </w:tc>
        <w:tc>
          <w:tcPr>
            <w:tcW w:w="2297"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手续费</w:t>
            </w:r>
          </w:p>
        </w:tc>
        <w:tc>
          <w:tcPr>
            <w:tcW w:w="856" w:type="dxa"/>
            <w:tcBorders>
              <w:top w:val="single" w:color="auto" w:sz="4" w:space="0"/>
              <w:left w:val="single" w:color="auto" w:sz="4" w:space="0"/>
              <w:bottom w:val="single" w:color="auto" w:sz="4" w:space="0"/>
              <w:right w:val="single" w:color="auto" w:sz="4" w:space="0"/>
            </w:tcBorders>
            <w:noWrap/>
            <w:vAlign w:val="top"/>
          </w:tcPr>
          <w:p>
            <w:pPr>
              <w:widowControl/>
              <w:jc w:val="center"/>
              <w:rPr>
                <w:rFonts w:ascii="仿宋_GB2312" w:hAnsi="宋体" w:eastAsia="仿宋_GB2312" w:cs="宋体"/>
                <w:color w:val="000000"/>
                <w:kern w:val="0"/>
                <w:sz w:val="18"/>
                <w:szCs w:val="18"/>
              </w:rPr>
            </w:pPr>
          </w:p>
        </w:tc>
        <w:tc>
          <w:tcPr>
            <w:tcW w:w="1076"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color w:val="000000"/>
                <w:kern w:val="0"/>
                <w:sz w:val="18"/>
                <w:szCs w:val="18"/>
              </w:rPr>
              <w:t>31001</w:t>
            </w:r>
          </w:p>
        </w:tc>
        <w:tc>
          <w:tcPr>
            <w:tcW w:w="3612"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房屋建筑物购建</w:t>
            </w:r>
          </w:p>
        </w:tc>
        <w:tc>
          <w:tcPr>
            <w:tcW w:w="1638" w:type="dxa"/>
            <w:tcBorders>
              <w:top w:val="single" w:color="auto" w:sz="4" w:space="0"/>
              <w:left w:val="single" w:color="auto" w:sz="4" w:space="0"/>
              <w:bottom w:val="single" w:color="auto" w:sz="4" w:space="0"/>
              <w:right w:val="single" w:color="auto" w:sz="4" w:space="0"/>
            </w:tcBorders>
            <w:noWrap/>
            <w:vAlign w:val="center"/>
          </w:tcPr>
          <w:p>
            <w:pPr>
              <w:widowControl/>
              <w:rPr>
                <w:rFonts w:hint="default" w:ascii="仿宋_GB2312" w:hAnsi="宋体" w:eastAsia="仿宋_GB2312" w:cs="宋体"/>
                <w:color w:val="000000"/>
                <w:kern w:val="0"/>
                <w:sz w:val="18"/>
                <w:szCs w:val="18"/>
                <w:lang w:val="en-US" w:eastAsia="zh-CN"/>
              </w:rPr>
            </w:pPr>
          </w:p>
        </w:tc>
      </w:tr>
      <w:tr>
        <w:tblPrEx>
          <w:tblCellMar>
            <w:top w:w="0" w:type="dxa"/>
            <w:left w:w="108" w:type="dxa"/>
            <w:bottom w:w="0" w:type="dxa"/>
            <w:right w:w="108" w:type="dxa"/>
          </w:tblCellMar>
        </w:tblPrEx>
        <w:trPr>
          <w:trHeight w:val="265" w:hRule="exact"/>
        </w:trPr>
        <w:tc>
          <w:tcPr>
            <w:tcW w:w="1149" w:type="dxa"/>
            <w:tcBorders>
              <w:top w:val="single" w:color="auto" w:sz="4" w:space="0"/>
              <w:left w:val="single" w:color="auto" w:sz="4" w:space="0"/>
              <w:bottom w:val="single" w:color="auto" w:sz="4" w:space="0"/>
              <w:right w:val="single" w:color="auto" w:sz="4" w:space="0"/>
            </w:tcBorders>
            <w:noWrap/>
            <w:vAlign w:val="center"/>
          </w:tcPr>
          <w:p>
            <w:pPr>
              <w:widowControl/>
              <w:rPr>
                <w:color w:val="000000"/>
                <w:kern w:val="0"/>
                <w:sz w:val="18"/>
                <w:szCs w:val="18"/>
              </w:rPr>
            </w:pPr>
            <w:r>
              <w:rPr>
                <w:color w:val="000000"/>
                <w:kern w:val="0"/>
                <w:sz w:val="18"/>
                <w:szCs w:val="18"/>
              </w:rPr>
              <w:t>30107</w:t>
            </w:r>
          </w:p>
        </w:tc>
        <w:tc>
          <w:tcPr>
            <w:tcW w:w="3306"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绩效工资</w:t>
            </w:r>
          </w:p>
        </w:tc>
        <w:tc>
          <w:tcPr>
            <w:tcW w:w="1167" w:type="dxa"/>
            <w:tcBorders>
              <w:top w:val="single" w:color="auto" w:sz="4" w:space="0"/>
              <w:left w:val="single" w:color="auto" w:sz="4" w:space="0"/>
              <w:bottom w:val="single" w:color="auto" w:sz="4" w:space="0"/>
              <w:right w:val="single" w:color="auto" w:sz="4"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39.02</w:t>
            </w:r>
          </w:p>
        </w:tc>
        <w:tc>
          <w:tcPr>
            <w:tcW w:w="799"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color w:val="000000"/>
                <w:kern w:val="0"/>
                <w:sz w:val="18"/>
                <w:szCs w:val="18"/>
              </w:rPr>
              <w:t>30205</w:t>
            </w:r>
          </w:p>
        </w:tc>
        <w:tc>
          <w:tcPr>
            <w:tcW w:w="2297"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水费</w:t>
            </w:r>
          </w:p>
        </w:tc>
        <w:tc>
          <w:tcPr>
            <w:tcW w:w="856" w:type="dxa"/>
            <w:tcBorders>
              <w:top w:val="single" w:color="auto" w:sz="4" w:space="0"/>
              <w:left w:val="single" w:color="auto" w:sz="4" w:space="0"/>
              <w:bottom w:val="single" w:color="auto" w:sz="4" w:space="0"/>
              <w:right w:val="single" w:color="auto" w:sz="4"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0.72</w:t>
            </w:r>
          </w:p>
        </w:tc>
        <w:tc>
          <w:tcPr>
            <w:tcW w:w="1076"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color w:val="000000"/>
                <w:kern w:val="0"/>
                <w:sz w:val="18"/>
                <w:szCs w:val="18"/>
              </w:rPr>
              <w:t>31002</w:t>
            </w:r>
          </w:p>
        </w:tc>
        <w:tc>
          <w:tcPr>
            <w:tcW w:w="3612"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办公设备购置</w:t>
            </w:r>
          </w:p>
        </w:tc>
        <w:tc>
          <w:tcPr>
            <w:tcW w:w="1638" w:type="dxa"/>
            <w:tcBorders>
              <w:top w:val="single" w:color="auto" w:sz="4" w:space="0"/>
              <w:left w:val="single" w:color="auto" w:sz="4" w:space="0"/>
              <w:bottom w:val="single" w:color="auto" w:sz="4" w:space="0"/>
              <w:right w:val="single" w:color="auto" w:sz="4" w:space="0"/>
            </w:tcBorders>
            <w:noWrap/>
            <w:vAlign w:val="center"/>
          </w:tcPr>
          <w:p>
            <w:pPr>
              <w:widowControl/>
              <w:rPr>
                <w:rFonts w:hint="default" w:ascii="仿宋_GB2312" w:hAnsi="宋体" w:eastAsia="仿宋_GB2312" w:cs="宋体"/>
                <w:color w:val="000000"/>
                <w:kern w:val="0"/>
                <w:sz w:val="18"/>
                <w:szCs w:val="18"/>
                <w:lang w:val="en-US" w:eastAsia="zh-CN"/>
              </w:rPr>
            </w:pPr>
          </w:p>
        </w:tc>
      </w:tr>
      <w:tr>
        <w:tblPrEx>
          <w:tblCellMar>
            <w:top w:w="0" w:type="dxa"/>
            <w:left w:w="108" w:type="dxa"/>
            <w:bottom w:w="0" w:type="dxa"/>
            <w:right w:w="108" w:type="dxa"/>
          </w:tblCellMar>
        </w:tblPrEx>
        <w:trPr>
          <w:trHeight w:val="255" w:hRule="exact"/>
        </w:trPr>
        <w:tc>
          <w:tcPr>
            <w:tcW w:w="1149" w:type="dxa"/>
            <w:tcBorders>
              <w:top w:val="single" w:color="auto" w:sz="4" w:space="0"/>
              <w:left w:val="single" w:color="auto" w:sz="4" w:space="0"/>
              <w:bottom w:val="single" w:color="auto" w:sz="4" w:space="0"/>
              <w:right w:val="single" w:color="auto" w:sz="4" w:space="0"/>
            </w:tcBorders>
            <w:noWrap/>
            <w:vAlign w:val="center"/>
          </w:tcPr>
          <w:p>
            <w:pPr>
              <w:widowControl/>
              <w:rPr>
                <w:color w:val="000000"/>
                <w:kern w:val="0"/>
                <w:sz w:val="18"/>
                <w:szCs w:val="18"/>
              </w:rPr>
            </w:pPr>
            <w:r>
              <w:rPr>
                <w:color w:val="000000"/>
                <w:kern w:val="0"/>
                <w:sz w:val="18"/>
                <w:szCs w:val="18"/>
              </w:rPr>
              <w:t>30108</w:t>
            </w:r>
          </w:p>
        </w:tc>
        <w:tc>
          <w:tcPr>
            <w:tcW w:w="3306"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机关事业单位基本养老保险费</w:t>
            </w:r>
          </w:p>
        </w:tc>
        <w:tc>
          <w:tcPr>
            <w:tcW w:w="1167" w:type="dxa"/>
            <w:tcBorders>
              <w:top w:val="single" w:color="auto" w:sz="4" w:space="0"/>
              <w:left w:val="single" w:color="auto" w:sz="4" w:space="0"/>
              <w:bottom w:val="single" w:color="auto" w:sz="4" w:space="0"/>
              <w:right w:val="single" w:color="auto" w:sz="4"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50.33</w:t>
            </w:r>
          </w:p>
        </w:tc>
        <w:tc>
          <w:tcPr>
            <w:tcW w:w="799"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color w:val="000000"/>
                <w:kern w:val="0"/>
                <w:sz w:val="18"/>
                <w:szCs w:val="18"/>
              </w:rPr>
              <w:t>30206</w:t>
            </w:r>
          </w:p>
        </w:tc>
        <w:tc>
          <w:tcPr>
            <w:tcW w:w="2297"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电费</w:t>
            </w:r>
          </w:p>
        </w:tc>
        <w:tc>
          <w:tcPr>
            <w:tcW w:w="856" w:type="dxa"/>
            <w:tcBorders>
              <w:top w:val="single" w:color="auto" w:sz="4" w:space="0"/>
              <w:left w:val="single" w:color="auto" w:sz="4" w:space="0"/>
              <w:bottom w:val="single" w:color="auto" w:sz="4" w:space="0"/>
              <w:right w:val="single" w:color="auto" w:sz="4"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1.43</w:t>
            </w:r>
          </w:p>
        </w:tc>
        <w:tc>
          <w:tcPr>
            <w:tcW w:w="1076"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color w:val="000000"/>
                <w:kern w:val="0"/>
                <w:sz w:val="18"/>
                <w:szCs w:val="18"/>
              </w:rPr>
              <w:t>31003</w:t>
            </w:r>
          </w:p>
        </w:tc>
        <w:tc>
          <w:tcPr>
            <w:tcW w:w="3612"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专用设备购置</w:t>
            </w:r>
          </w:p>
        </w:tc>
        <w:tc>
          <w:tcPr>
            <w:tcW w:w="1638" w:type="dxa"/>
            <w:tcBorders>
              <w:top w:val="single" w:color="auto" w:sz="4" w:space="0"/>
              <w:left w:val="single" w:color="auto" w:sz="4" w:space="0"/>
              <w:bottom w:val="single" w:color="auto" w:sz="4" w:space="0"/>
              <w:right w:val="single" w:color="auto" w:sz="4" w:space="0"/>
            </w:tcBorders>
            <w:noWrap/>
            <w:vAlign w:val="center"/>
          </w:tcPr>
          <w:p>
            <w:pPr>
              <w:widowControl/>
              <w:rPr>
                <w:rFonts w:hint="default" w:ascii="仿宋_GB2312" w:hAnsi="宋体" w:eastAsia="仿宋_GB2312" w:cs="宋体"/>
                <w:color w:val="000000"/>
                <w:kern w:val="0"/>
                <w:sz w:val="18"/>
                <w:szCs w:val="18"/>
                <w:lang w:val="en-US" w:eastAsia="zh-CN"/>
              </w:rPr>
            </w:pPr>
          </w:p>
        </w:tc>
      </w:tr>
      <w:tr>
        <w:tblPrEx>
          <w:tblCellMar>
            <w:top w:w="0" w:type="dxa"/>
            <w:left w:w="108" w:type="dxa"/>
            <w:bottom w:w="0" w:type="dxa"/>
            <w:right w:w="108" w:type="dxa"/>
          </w:tblCellMar>
        </w:tblPrEx>
        <w:trPr>
          <w:trHeight w:val="255" w:hRule="exact"/>
        </w:trPr>
        <w:tc>
          <w:tcPr>
            <w:tcW w:w="1149" w:type="dxa"/>
            <w:tcBorders>
              <w:top w:val="single" w:color="auto" w:sz="4" w:space="0"/>
              <w:left w:val="single" w:color="auto" w:sz="4" w:space="0"/>
              <w:bottom w:val="single" w:color="auto" w:sz="4" w:space="0"/>
              <w:right w:val="single" w:color="auto" w:sz="4" w:space="0"/>
            </w:tcBorders>
            <w:noWrap/>
            <w:vAlign w:val="center"/>
          </w:tcPr>
          <w:p>
            <w:pPr>
              <w:widowControl/>
              <w:rPr>
                <w:color w:val="000000"/>
                <w:kern w:val="0"/>
                <w:sz w:val="18"/>
                <w:szCs w:val="18"/>
              </w:rPr>
            </w:pPr>
            <w:r>
              <w:rPr>
                <w:color w:val="000000"/>
                <w:kern w:val="0"/>
                <w:sz w:val="18"/>
                <w:szCs w:val="18"/>
              </w:rPr>
              <w:t>30109</w:t>
            </w:r>
          </w:p>
        </w:tc>
        <w:tc>
          <w:tcPr>
            <w:tcW w:w="3306"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职业年金缴费</w:t>
            </w:r>
          </w:p>
        </w:tc>
        <w:tc>
          <w:tcPr>
            <w:tcW w:w="1167" w:type="dxa"/>
            <w:tcBorders>
              <w:top w:val="single" w:color="auto" w:sz="4" w:space="0"/>
              <w:left w:val="single" w:color="auto" w:sz="4" w:space="0"/>
              <w:bottom w:val="single" w:color="auto" w:sz="4" w:space="0"/>
              <w:right w:val="single" w:color="auto" w:sz="4"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8.38</w:t>
            </w:r>
          </w:p>
        </w:tc>
        <w:tc>
          <w:tcPr>
            <w:tcW w:w="799"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color w:val="000000"/>
                <w:kern w:val="0"/>
                <w:sz w:val="18"/>
                <w:szCs w:val="18"/>
              </w:rPr>
              <w:t>30207</w:t>
            </w:r>
          </w:p>
        </w:tc>
        <w:tc>
          <w:tcPr>
            <w:tcW w:w="2297"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邮电费</w:t>
            </w:r>
          </w:p>
        </w:tc>
        <w:tc>
          <w:tcPr>
            <w:tcW w:w="856" w:type="dxa"/>
            <w:tcBorders>
              <w:top w:val="single" w:color="auto" w:sz="4" w:space="0"/>
              <w:left w:val="single" w:color="auto" w:sz="4" w:space="0"/>
              <w:bottom w:val="single" w:color="auto" w:sz="4" w:space="0"/>
              <w:right w:val="single" w:color="auto" w:sz="4"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2.26</w:t>
            </w:r>
          </w:p>
        </w:tc>
        <w:tc>
          <w:tcPr>
            <w:tcW w:w="1076"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color w:val="000000"/>
                <w:kern w:val="0"/>
                <w:sz w:val="18"/>
                <w:szCs w:val="18"/>
              </w:rPr>
              <w:t>31005</w:t>
            </w:r>
          </w:p>
        </w:tc>
        <w:tc>
          <w:tcPr>
            <w:tcW w:w="3612"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基础设施建设</w:t>
            </w:r>
          </w:p>
        </w:tc>
        <w:tc>
          <w:tcPr>
            <w:tcW w:w="1638"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single" w:color="auto" w:sz="4" w:space="0"/>
              <w:left w:val="single" w:color="auto" w:sz="4" w:space="0"/>
              <w:bottom w:val="single" w:color="auto" w:sz="4" w:space="0"/>
              <w:right w:val="single" w:color="auto" w:sz="4" w:space="0"/>
            </w:tcBorders>
            <w:noWrap/>
            <w:vAlign w:val="center"/>
          </w:tcPr>
          <w:p>
            <w:pPr>
              <w:widowControl/>
              <w:rPr>
                <w:color w:val="000000"/>
                <w:kern w:val="0"/>
                <w:sz w:val="18"/>
                <w:szCs w:val="18"/>
              </w:rPr>
            </w:pPr>
            <w:r>
              <w:rPr>
                <w:color w:val="000000"/>
                <w:kern w:val="0"/>
                <w:sz w:val="18"/>
                <w:szCs w:val="18"/>
              </w:rPr>
              <w:t>30110</w:t>
            </w:r>
          </w:p>
        </w:tc>
        <w:tc>
          <w:tcPr>
            <w:tcW w:w="3306"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职工基本医疗保险缴费</w:t>
            </w:r>
          </w:p>
        </w:tc>
        <w:tc>
          <w:tcPr>
            <w:tcW w:w="1167" w:type="dxa"/>
            <w:tcBorders>
              <w:top w:val="single" w:color="auto" w:sz="4" w:space="0"/>
              <w:left w:val="single" w:color="auto" w:sz="4" w:space="0"/>
              <w:bottom w:val="single" w:color="auto" w:sz="4" w:space="0"/>
              <w:right w:val="single" w:color="auto" w:sz="4"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20.06</w:t>
            </w:r>
          </w:p>
        </w:tc>
        <w:tc>
          <w:tcPr>
            <w:tcW w:w="799"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color w:val="000000"/>
                <w:kern w:val="0"/>
                <w:sz w:val="18"/>
                <w:szCs w:val="18"/>
              </w:rPr>
              <w:t>30208</w:t>
            </w:r>
          </w:p>
        </w:tc>
        <w:tc>
          <w:tcPr>
            <w:tcW w:w="2297"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取暖费</w:t>
            </w:r>
          </w:p>
        </w:tc>
        <w:tc>
          <w:tcPr>
            <w:tcW w:w="856" w:type="dxa"/>
            <w:tcBorders>
              <w:top w:val="single" w:color="auto" w:sz="4" w:space="0"/>
              <w:left w:val="single" w:color="auto" w:sz="4" w:space="0"/>
              <w:bottom w:val="single" w:color="auto" w:sz="4" w:space="0"/>
              <w:right w:val="single" w:color="auto" w:sz="4" w:space="0"/>
            </w:tcBorders>
            <w:noWrap/>
            <w:vAlign w:val="top"/>
          </w:tcPr>
          <w:p>
            <w:pPr>
              <w:widowControl/>
              <w:jc w:val="center"/>
              <w:rPr>
                <w:rFonts w:ascii="仿宋_GB2312" w:hAnsi="宋体" w:eastAsia="仿宋_GB2312" w:cs="宋体"/>
                <w:color w:val="000000"/>
                <w:kern w:val="0"/>
                <w:sz w:val="18"/>
                <w:szCs w:val="18"/>
              </w:rPr>
            </w:pPr>
          </w:p>
        </w:tc>
        <w:tc>
          <w:tcPr>
            <w:tcW w:w="1076"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color w:val="000000"/>
                <w:kern w:val="0"/>
                <w:sz w:val="18"/>
                <w:szCs w:val="18"/>
              </w:rPr>
              <w:t>31006</w:t>
            </w:r>
          </w:p>
        </w:tc>
        <w:tc>
          <w:tcPr>
            <w:tcW w:w="3612"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大型修缮</w:t>
            </w:r>
          </w:p>
        </w:tc>
        <w:tc>
          <w:tcPr>
            <w:tcW w:w="1638"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single" w:color="auto" w:sz="4" w:space="0"/>
              <w:left w:val="single" w:color="auto" w:sz="4" w:space="0"/>
              <w:bottom w:val="single" w:color="auto" w:sz="4" w:space="0"/>
              <w:right w:val="single" w:color="auto" w:sz="4" w:space="0"/>
            </w:tcBorders>
            <w:noWrap/>
            <w:vAlign w:val="center"/>
          </w:tcPr>
          <w:p>
            <w:pPr>
              <w:widowControl/>
              <w:rPr>
                <w:color w:val="000000"/>
                <w:kern w:val="0"/>
                <w:sz w:val="18"/>
                <w:szCs w:val="18"/>
              </w:rPr>
            </w:pPr>
            <w:r>
              <w:rPr>
                <w:color w:val="000000"/>
                <w:kern w:val="0"/>
                <w:sz w:val="18"/>
                <w:szCs w:val="18"/>
              </w:rPr>
              <w:t>30111</w:t>
            </w:r>
          </w:p>
        </w:tc>
        <w:tc>
          <w:tcPr>
            <w:tcW w:w="3306"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公务员医疗补助缴费</w:t>
            </w:r>
          </w:p>
        </w:tc>
        <w:tc>
          <w:tcPr>
            <w:tcW w:w="1167" w:type="dxa"/>
            <w:tcBorders>
              <w:top w:val="single" w:color="auto" w:sz="4" w:space="0"/>
              <w:left w:val="single" w:color="auto" w:sz="4" w:space="0"/>
              <w:bottom w:val="single" w:color="auto" w:sz="4" w:space="0"/>
              <w:right w:val="single" w:color="auto" w:sz="4" w:space="0"/>
            </w:tcBorders>
            <w:noWrap/>
            <w:vAlign w:val="top"/>
          </w:tcPr>
          <w:p>
            <w:pPr>
              <w:widowControl/>
              <w:jc w:val="center"/>
              <w:rPr>
                <w:rFonts w:hint="eastAsia" w:ascii="仿宋_GB2312" w:hAnsi="宋体" w:eastAsia="仿宋_GB2312" w:cs="宋体"/>
                <w:color w:val="000000"/>
                <w:kern w:val="0"/>
                <w:sz w:val="18"/>
                <w:szCs w:val="18"/>
                <w:lang w:val="en-US" w:eastAsia="zh-CN"/>
              </w:rPr>
            </w:pPr>
          </w:p>
        </w:tc>
        <w:tc>
          <w:tcPr>
            <w:tcW w:w="799"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color w:val="000000"/>
                <w:kern w:val="0"/>
                <w:sz w:val="18"/>
                <w:szCs w:val="18"/>
              </w:rPr>
              <w:t>30209</w:t>
            </w:r>
          </w:p>
        </w:tc>
        <w:tc>
          <w:tcPr>
            <w:tcW w:w="2297"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物业管理费</w:t>
            </w:r>
          </w:p>
        </w:tc>
        <w:tc>
          <w:tcPr>
            <w:tcW w:w="856" w:type="dxa"/>
            <w:tcBorders>
              <w:top w:val="single" w:color="auto" w:sz="4" w:space="0"/>
              <w:left w:val="single" w:color="auto" w:sz="4" w:space="0"/>
              <w:bottom w:val="single" w:color="auto" w:sz="4" w:space="0"/>
              <w:right w:val="single" w:color="auto" w:sz="4" w:space="0"/>
            </w:tcBorders>
            <w:noWrap/>
            <w:vAlign w:val="top"/>
          </w:tcPr>
          <w:p>
            <w:pPr>
              <w:widowControl/>
              <w:jc w:val="center"/>
              <w:rPr>
                <w:rFonts w:ascii="仿宋_GB2312" w:hAnsi="宋体" w:eastAsia="仿宋_GB2312" w:cs="宋体"/>
                <w:color w:val="000000"/>
                <w:kern w:val="0"/>
                <w:sz w:val="18"/>
                <w:szCs w:val="18"/>
              </w:rPr>
            </w:pPr>
          </w:p>
        </w:tc>
        <w:tc>
          <w:tcPr>
            <w:tcW w:w="1076"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color w:val="000000"/>
                <w:kern w:val="0"/>
                <w:sz w:val="18"/>
                <w:szCs w:val="18"/>
              </w:rPr>
              <w:t>31007</w:t>
            </w:r>
          </w:p>
        </w:tc>
        <w:tc>
          <w:tcPr>
            <w:tcW w:w="3612"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信息网络及软件购置更新</w:t>
            </w:r>
          </w:p>
        </w:tc>
        <w:tc>
          <w:tcPr>
            <w:tcW w:w="1638"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single" w:color="auto" w:sz="4" w:space="0"/>
              <w:left w:val="single" w:color="auto" w:sz="4" w:space="0"/>
              <w:bottom w:val="single" w:color="auto" w:sz="4" w:space="0"/>
              <w:right w:val="single" w:color="auto" w:sz="4" w:space="0"/>
            </w:tcBorders>
            <w:noWrap/>
            <w:vAlign w:val="center"/>
          </w:tcPr>
          <w:p>
            <w:pPr>
              <w:widowControl/>
              <w:rPr>
                <w:color w:val="000000"/>
                <w:kern w:val="0"/>
                <w:sz w:val="18"/>
                <w:szCs w:val="18"/>
              </w:rPr>
            </w:pPr>
            <w:r>
              <w:rPr>
                <w:color w:val="000000"/>
                <w:kern w:val="0"/>
                <w:sz w:val="18"/>
                <w:szCs w:val="18"/>
              </w:rPr>
              <w:t>30112</w:t>
            </w:r>
          </w:p>
        </w:tc>
        <w:tc>
          <w:tcPr>
            <w:tcW w:w="3306"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其他社会保障缴费</w:t>
            </w:r>
          </w:p>
        </w:tc>
        <w:tc>
          <w:tcPr>
            <w:tcW w:w="1167" w:type="dxa"/>
            <w:tcBorders>
              <w:top w:val="single" w:color="auto" w:sz="4" w:space="0"/>
              <w:left w:val="single" w:color="auto" w:sz="4" w:space="0"/>
              <w:bottom w:val="single" w:color="auto" w:sz="4" w:space="0"/>
              <w:right w:val="single" w:color="auto" w:sz="4"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2.68</w:t>
            </w:r>
          </w:p>
        </w:tc>
        <w:tc>
          <w:tcPr>
            <w:tcW w:w="799"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color w:val="000000"/>
                <w:kern w:val="0"/>
                <w:sz w:val="18"/>
                <w:szCs w:val="18"/>
              </w:rPr>
              <w:t>30211</w:t>
            </w:r>
          </w:p>
        </w:tc>
        <w:tc>
          <w:tcPr>
            <w:tcW w:w="2297"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差旅费</w:t>
            </w:r>
          </w:p>
        </w:tc>
        <w:tc>
          <w:tcPr>
            <w:tcW w:w="856" w:type="dxa"/>
            <w:tcBorders>
              <w:top w:val="single" w:color="auto" w:sz="4" w:space="0"/>
              <w:left w:val="single" w:color="auto" w:sz="4" w:space="0"/>
              <w:bottom w:val="single" w:color="auto" w:sz="4" w:space="0"/>
              <w:right w:val="single" w:color="auto" w:sz="4"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0.08</w:t>
            </w:r>
          </w:p>
        </w:tc>
        <w:tc>
          <w:tcPr>
            <w:tcW w:w="1076"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color w:val="000000"/>
                <w:kern w:val="0"/>
                <w:sz w:val="18"/>
                <w:szCs w:val="18"/>
              </w:rPr>
              <w:t>31008</w:t>
            </w:r>
          </w:p>
        </w:tc>
        <w:tc>
          <w:tcPr>
            <w:tcW w:w="3612"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物资储备</w:t>
            </w:r>
          </w:p>
        </w:tc>
        <w:tc>
          <w:tcPr>
            <w:tcW w:w="1638"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single" w:color="auto" w:sz="4" w:space="0"/>
              <w:left w:val="single" w:color="auto" w:sz="4" w:space="0"/>
              <w:bottom w:val="single" w:color="auto" w:sz="4" w:space="0"/>
              <w:right w:val="single" w:color="auto" w:sz="4" w:space="0"/>
            </w:tcBorders>
            <w:noWrap/>
            <w:vAlign w:val="center"/>
          </w:tcPr>
          <w:p>
            <w:pPr>
              <w:widowControl/>
              <w:rPr>
                <w:color w:val="000000"/>
                <w:kern w:val="0"/>
                <w:sz w:val="18"/>
                <w:szCs w:val="18"/>
              </w:rPr>
            </w:pPr>
            <w:r>
              <w:rPr>
                <w:color w:val="000000"/>
                <w:kern w:val="0"/>
                <w:sz w:val="18"/>
                <w:szCs w:val="18"/>
              </w:rPr>
              <w:t>30113</w:t>
            </w:r>
          </w:p>
        </w:tc>
        <w:tc>
          <w:tcPr>
            <w:tcW w:w="3306"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住房公积金</w:t>
            </w:r>
          </w:p>
        </w:tc>
        <w:tc>
          <w:tcPr>
            <w:tcW w:w="1167" w:type="dxa"/>
            <w:tcBorders>
              <w:top w:val="single" w:color="auto" w:sz="4" w:space="0"/>
              <w:left w:val="single" w:color="auto" w:sz="4" w:space="0"/>
              <w:bottom w:val="single" w:color="auto" w:sz="4" w:space="0"/>
              <w:right w:val="single" w:color="auto" w:sz="4"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25.09</w:t>
            </w:r>
          </w:p>
        </w:tc>
        <w:tc>
          <w:tcPr>
            <w:tcW w:w="799"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color w:val="000000"/>
                <w:kern w:val="0"/>
                <w:sz w:val="18"/>
                <w:szCs w:val="18"/>
              </w:rPr>
              <w:t>30212</w:t>
            </w:r>
          </w:p>
        </w:tc>
        <w:tc>
          <w:tcPr>
            <w:tcW w:w="2297"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因公出国（境）费用</w:t>
            </w:r>
          </w:p>
        </w:tc>
        <w:tc>
          <w:tcPr>
            <w:tcW w:w="856" w:type="dxa"/>
            <w:tcBorders>
              <w:top w:val="single" w:color="auto" w:sz="4" w:space="0"/>
              <w:left w:val="single" w:color="auto" w:sz="4" w:space="0"/>
              <w:bottom w:val="single" w:color="auto" w:sz="4" w:space="0"/>
              <w:right w:val="single" w:color="auto" w:sz="4" w:space="0"/>
            </w:tcBorders>
            <w:noWrap/>
            <w:vAlign w:val="top"/>
          </w:tcPr>
          <w:p>
            <w:pPr>
              <w:widowControl/>
              <w:jc w:val="center"/>
              <w:rPr>
                <w:rFonts w:hint="default" w:ascii="仿宋_GB2312" w:hAnsi="宋体" w:eastAsia="仿宋_GB2312" w:cs="宋体"/>
                <w:color w:val="000000"/>
                <w:kern w:val="0"/>
                <w:sz w:val="18"/>
                <w:szCs w:val="18"/>
                <w:lang w:val="en-US" w:eastAsia="zh-CN"/>
              </w:rPr>
            </w:pPr>
          </w:p>
        </w:tc>
        <w:tc>
          <w:tcPr>
            <w:tcW w:w="1076"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color w:val="000000"/>
                <w:kern w:val="0"/>
                <w:sz w:val="18"/>
                <w:szCs w:val="18"/>
              </w:rPr>
              <w:t>31009</w:t>
            </w:r>
          </w:p>
        </w:tc>
        <w:tc>
          <w:tcPr>
            <w:tcW w:w="3612"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土地补偿</w:t>
            </w:r>
          </w:p>
        </w:tc>
        <w:tc>
          <w:tcPr>
            <w:tcW w:w="1638"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single" w:color="auto" w:sz="4" w:space="0"/>
              <w:left w:val="single" w:color="auto" w:sz="4" w:space="0"/>
              <w:bottom w:val="single" w:color="auto" w:sz="4" w:space="0"/>
              <w:right w:val="single" w:color="auto" w:sz="4" w:space="0"/>
            </w:tcBorders>
            <w:noWrap/>
            <w:vAlign w:val="center"/>
          </w:tcPr>
          <w:p>
            <w:pPr>
              <w:widowControl/>
              <w:rPr>
                <w:color w:val="000000"/>
                <w:kern w:val="0"/>
                <w:sz w:val="18"/>
                <w:szCs w:val="18"/>
              </w:rPr>
            </w:pPr>
            <w:r>
              <w:rPr>
                <w:color w:val="000000"/>
                <w:kern w:val="0"/>
                <w:sz w:val="18"/>
                <w:szCs w:val="18"/>
              </w:rPr>
              <w:t>30114</w:t>
            </w:r>
          </w:p>
        </w:tc>
        <w:tc>
          <w:tcPr>
            <w:tcW w:w="3306"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医疗费</w:t>
            </w:r>
          </w:p>
        </w:tc>
        <w:tc>
          <w:tcPr>
            <w:tcW w:w="1167" w:type="dxa"/>
            <w:tcBorders>
              <w:top w:val="single" w:color="auto" w:sz="4" w:space="0"/>
              <w:left w:val="single" w:color="auto" w:sz="4" w:space="0"/>
              <w:bottom w:val="single" w:color="auto" w:sz="4" w:space="0"/>
              <w:right w:val="single" w:color="auto" w:sz="4" w:space="0"/>
            </w:tcBorders>
            <w:noWrap/>
            <w:vAlign w:val="top"/>
          </w:tcPr>
          <w:p>
            <w:pPr>
              <w:widowControl/>
              <w:jc w:val="center"/>
              <w:rPr>
                <w:rFonts w:ascii="仿宋_GB2312" w:hAnsi="宋体" w:eastAsia="仿宋_GB2312" w:cs="宋体"/>
                <w:color w:val="000000"/>
                <w:kern w:val="0"/>
                <w:sz w:val="18"/>
                <w:szCs w:val="18"/>
              </w:rPr>
            </w:pPr>
          </w:p>
        </w:tc>
        <w:tc>
          <w:tcPr>
            <w:tcW w:w="799"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color w:val="000000"/>
                <w:kern w:val="0"/>
                <w:sz w:val="18"/>
                <w:szCs w:val="18"/>
              </w:rPr>
              <w:t>30213</w:t>
            </w:r>
          </w:p>
        </w:tc>
        <w:tc>
          <w:tcPr>
            <w:tcW w:w="2297"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维修（护）费</w:t>
            </w:r>
          </w:p>
        </w:tc>
        <w:tc>
          <w:tcPr>
            <w:tcW w:w="856" w:type="dxa"/>
            <w:tcBorders>
              <w:top w:val="single" w:color="auto" w:sz="4" w:space="0"/>
              <w:left w:val="single" w:color="auto" w:sz="4" w:space="0"/>
              <w:bottom w:val="single" w:color="auto" w:sz="4" w:space="0"/>
              <w:right w:val="single" w:color="auto" w:sz="4"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1.65</w:t>
            </w:r>
          </w:p>
        </w:tc>
        <w:tc>
          <w:tcPr>
            <w:tcW w:w="1076" w:type="dxa"/>
            <w:tcBorders>
              <w:top w:val="single" w:color="auto" w:sz="4" w:space="0"/>
              <w:left w:val="single" w:color="auto" w:sz="4" w:space="0"/>
              <w:bottom w:val="single" w:color="auto" w:sz="4" w:space="0"/>
              <w:right w:val="single" w:color="auto" w:sz="4" w:space="0"/>
            </w:tcBorders>
            <w:noWrap/>
            <w:vAlign w:val="top"/>
          </w:tcPr>
          <w:p>
            <w:pPr>
              <w:widowControl/>
              <w:rPr>
                <w:rFonts w:hint="default"/>
                <w:color w:val="000000"/>
                <w:kern w:val="0"/>
                <w:sz w:val="18"/>
                <w:szCs w:val="18"/>
                <w:lang w:val="en-US"/>
              </w:rPr>
            </w:pPr>
          </w:p>
        </w:tc>
        <w:tc>
          <w:tcPr>
            <w:tcW w:w="3612"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安置补助</w:t>
            </w:r>
          </w:p>
        </w:tc>
        <w:tc>
          <w:tcPr>
            <w:tcW w:w="1638"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single" w:color="auto" w:sz="4" w:space="0"/>
              <w:left w:val="single" w:color="auto" w:sz="4" w:space="0"/>
              <w:bottom w:val="single" w:color="auto" w:sz="4" w:space="0"/>
              <w:right w:val="single" w:color="auto" w:sz="4" w:space="0"/>
            </w:tcBorders>
            <w:noWrap/>
            <w:vAlign w:val="center"/>
          </w:tcPr>
          <w:p>
            <w:pPr>
              <w:widowControl/>
              <w:rPr>
                <w:color w:val="000000"/>
                <w:kern w:val="0"/>
                <w:sz w:val="18"/>
                <w:szCs w:val="18"/>
              </w:rPr>
            </w:pPr>
            <w:r>
              <w:rPr>
                <w:color w:val="000000"/>
                <w:kern w:val="0"/>
                <w:sz w:val="18"/>
                <w:szCs w:val="18"/>
              </w:rPr>
              <w:t>30199</w:t>
            </w:r>
          </w:p>
        </w:tc>
        <w:tc>
          <w:tcPr>
            <w:tcW w:w="3306"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其他工资福利支出</w:t>
            </w:r>
          </w:p>
        </w:tc>
        <w:tc>
          <w:tcPr>
            <w:tcW w:w="1167" w:type="dxa"/>
            <w:tcBorders>
              <w:top w:val="single" w:color="auto" w:sz="4" w:space="0"/>
              <w:left w:val="single" w:color="auto" w:sz="4" w:space="0"/>
              <w:bottom w:val="single" w:color="auto" w:sz="4" w:space="0"/>
              <w:right w:val="single" w:color="auto" w:sz="4"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12.88</w:t>
            </w:r>
          </w:p>
        </w:tc>
        <w:tc>
          <w:tcPr>
            <w:tcW w:w="799"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color w:val="000000"/>
                <w:kern w:val="0"/>
                <w:sz w:val="18"/>
                <w:szCs w:val="18"/>
              </w:rPr>
              <w:t>30214</w:t>
            </w:r>
          </w:p>
        </w:tc>
        <w:tc>
          <w:tcPr>
            <w:tcW w:w="2297"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租赁费</w:t>
            </w:r>
          </w:p>
        </w:tc>
        <w:tc>
          <w:tcPr>
            <w:tcW w:w="856" w:type="dxa"/>
            <w:tcBorders>
              <w:top w:val="single" w:color="auto" w:sz="4" w:space="0"/>
              <w:left w:val="single" w:color="auto" w:sz="4" w:space="0"/>
              <w:bottom w:val="single" w:color="auto" w:sz="4" w:space="0"/>
              <w:right w:val="single" w:color="auto" w:sz="4" w:space="0"/>
            </w:tcBorders>
            <w:noWrap/>
            <w:vAlign w:val="top"/>
          </w:tcPr>
          <w:p>
            <w:pPr>
              <w:widowControl/>
              <w:jc w:val="center"/>
              <w:rPr>
                <w:rFonts w:hint="default" w:ascii="仿宋_GB2312" w:hAnsi="宋体" w:eastAsia="仿宋_GB2312" w:cs="宋体"/>
                <w:color w:val="000000"/>
                <w:kern w:val="0"/>
                <w:sz w:val="18"/>
                <w:szCs w:val="18"/>
                <w:lang w:val="en-US" w:eastAsia="zh-CN"/>
              </w:rPr>
            </w:pPr>
          </w:p>
        </w:tc>
        <w:tc>
          <w:tcPr>
            <w:tcW w:w="1076"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color w:val="000000"/>
                <w:kern w:val="0"/>
                <w:sz w:val="18"/>
                <w:szCs w:val="18"/>
              </w:rPr>
              <w:t>31011</w:t>
            </w:r>
          </w:p>
        </w:tc>
        <w:tc>
          <w:tcPr>
            <w:tcW w:w="3612"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地上附着物和青苗补偿</w:t>
            </w:r>
          </w:p>
        </w:tc>
        <w:tc>
          <w:tcPr>
            <w:tcW w:w="1638"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single" w:color="auto" w:sz="4" w:space="0"/>
              <w:left w:val="single" w:color="auto" w:sz="4" w:space="0"/>
              <w:bottom w:val="single" w:color="auto" w:sz="4" w:space="0"/>
              <w:right w:val="single" w:color="auto" w:sz="4" w:space="0"/>
            </w:tcBorders>
            <w:noWrap/>
            <w:vAlign w:val="center"/>
          </w:tcPr>
          <w:p>
            <w:pPr>
              <w:widowControl/>
              <w:rPr>
                <w:color w:val="000000"/>
                <w:kern w:val="0"/>
                <w:sz w:val="18"/>
                <w:szCs w:val="18"/>
              </w:rPr>
            </w:pPr>
            <w:r>
              <w:rPr>
                <w:color w:val="000000"/>
                <w:kern w:val="0"/>
                <w:sz w:val="18"/>
                <w:szCs w:val="18"/>
              </w:rPr>
              <w:t>303</w:t>
            </w:r>
          </w:p>
        </w:tc>
        <w:tc>
          <w:tcPr>
            <w:tcW w:w="3306" w:type="dxa"/>
            <w:tcBorders>
              <w:top w:val="single" w:color="auto" w:sz="4" w:space="0"/>
              <w:left w:val="single" w:color="auto" w:sz="4" w:space="0"/>
              <w:bottom w:val="single" w:color="auto" w:sz="4" w:space="0"/>
              <w:right w:val="single" w:color="auto" w:sz="4" w:space="0"/>
            </w:tcBorders>
            <w:noWrap/>
            <w:vAlign w:val="top"/>
          </w:tcPr>
          <w:p>
            <w:pPr>
              <w:widowControl/>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对个人和家庭的补助</w:t>
            </w:r>
          </w:p>
        </w:tc>
        <w:tc>
          <w:tcPr>
            <w:tcW w:w="1167" w:type="dxa"/>
            <w:tcBorders>
              <w:top w:val="single" w:color="auto" w:sz="4" w:space="0"/>
              <w:left w:val="single" w:color="auto" w:sz="4" w:space="0"/>
              <w:bottom w:val="single" w:color="auto" w:sz="4" w:space="0"/>
              <w:right w:val="single" w:color="auto" w:sz="4" w:space="0"/>
            </w:tcBorders>
            <w:noWrap/>
            <w:vAlign w:val="top"/>
          </w:tcPr>
          <w:p>
            <w:pPr>
              <w:widowControl/>
              <w:jc w:val="center"/>
              <w:rPr>
                <w:rFonts w:hint="default" w:ascii="仿宋_GB2312" w:hAnsi="宋体" w:eastAsia="仿宋_GB2312" w:cs="宋体"/>
                <w:color w:val="000000"/>
                <w:kern w:val="0"/>
                <w:sz w:val="18"/>
                <w:szCs w:val="18"/>
                <w:highlight w:val="none"/>
                <w:lang w:val="en-US" w:eastAsia="zh-CN"/>
              </w:rPr>
            </w:pPr>
            <w:r>
              <w:rPr>
                <w:rFonts w:hint="eastAsia" w:ascii="仿宋_GB2312" w:hAnsi="宋体" w:eastAsia="仿宋_GB2312" w:cs="宋体"/>
                <w:color w:val="000000"/>
                <w:kern w:val="0"/>
                <w:sz w:val="18"/>
                <w:szCs w:val="18"/>
                <w:highlight w:val="none"/>
                <w:lang w:val="en-US" w:eastAsia="zh-CN"/>
              </w:rPr>
              <w:t>14.28</w:t>
            </w:r>
          </w:p>
        </w:tc>
        <w:tc>
          <w:tcPr>
            <w:tcW w:w="799"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color w:val="000000"/>
                <w:kern w:val="0"/>
                <w:sz w:val="18"/>
                <w:szCs w:val="18"/>
              </w:rPr>
              <w:t>30215</w:t>
            </w:r>
          </w:p>
        </w:tc>
        <w:tc>
          <w:tcPr>
            <w:tcW w:w="2297"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会议费</w:t>
            </w:r>
          </w:p>
        </w:tc>
        <w:tc>
          <w:tcPr>
            <w:tcW w:w="856" w:type="dxa"/>
            <w:tcBorders>
              <w:top w:val="single" w:color="auto" w:sz="4" w:space="0"/>
              <w:left w:val="single" w:color="auto" w:sz="4" w:space="0"/>
              <w:bottom w:val="single" w:color="auto" w:sz="4" w:space="0"/>
              <w:right w:val="single" w:color="auto" w:sz="4"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0.27</w:t>
            </w:r>
          </w:p>
        </w:tc>
        <w:tc>
          <w:tcPr>
            <w:tcW w:w="1076"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color w:val="000000"/>
                <w:kern w:val="0"/>
                <w:sz w:val="18"/>
                <w:szCs w:val="18"/>
              </w:rPr>
              <w:t>31012</w:t>
            </w:r>
          </w:p>
        </w:tc>
        <w:tc>
          <w:tcPr>
            <w:tcW w:w="3612"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拆迁补偿</w:t>
            </w:r>
          </w:p>
        </w:tc>
        <w:tc>
          <w:tcPr>
            <w:tcW w:w="1638"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single" w:color="auto" w:sz="4" w:space="0"/>
              <w:left w:val="single" w:color="auto" w:sz="4" w:space="0"/>
              <w:bottom w:val="single" w:color="auto" w:sz="4" w:space="0"/>
              <w:right w:val="single" w:color="auto" w:sz="4" w:space="0"/>
            </w:tcBorders>
            <w:noWrap/>
            <w:vAlign w:val="center"/>
          </w:tcPr>
          <w:p>
            <w:pPr>
              <w:widowControl/>
              <w:rPr>
                <w:color w:val="000000"/>
                <w:kern w:val="0"/>
                <w:sz w:val="18"/>
                <w:szCs w:val="18"/>
              </w:rPr>
            </w:pPr>
            <w:r>
              <w:rPr>
                <w:color w:val="000000"/>
                <w:kern w:val="0"/>
                <w:sz w:val="18"/>
                <w:szCs w:val="18"/>
              </w:rPr>
              <w:t>30301</w:t>
            </w:r>
          </w:p>
        </w:tc>
        <w:tc>
          <w:tcPr>
            <w:tcW w:w="3306"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离休费</w:t>
            </w:r>
          </w:p>
        </w:tc>
        <w:tc>
          <w:tcPr>
            <w:tcW w:w="1167" w:type="dxa"/>
            <w:tcBorders>
              <w:top w:val="single" w:color="auto" w:sz="4" w:space="0"/>
              <w:left w:val="single" w:color="auto" w:sz="4" w:space="0"/>
              <w:bottom w:val="single" w:color="auto" w:sz="4" w:space="0"/>
              <w:right w:val="single" w:color="auto" w:sz="4" w:space="0"/>
            </w:tcBorders>
            <w:noWrap/>
            <w:vAlign w:val="top"/>
          </w:tcPr>
          <w:p>
            <w:pPr>
              <w:widowControl/>
              <w:jc w:val="center"/>
              <w:rPr>
                <w:rFonts w:ascii="仿宋_GB2312" w:hAnsi="宋体" w:eastAsia="仿宋_GB2312" w:cs="宋体"/>
                <w:color w:val="000000"/>
                <w:kern w:val="0"/>
                <w:sz w:val="18"/>
                <w:szCs w:val="18"/>
              </w:rPr>
            </w:pPr>
          </w:p>
        </w:tc>
        <w:tc>
          <w:tcPr>
            <w:tcW w:w="799"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color w:val="000000"/>
                <w:kern w:val="0"/>
                <w:sz w:val="18"/>
                <w:szCs w:val="18"/>
              </w:rPr>
              <w:t>30216</w:t>
            </w:r>
          </w:p>
        </w:tc>
        <w:tc>
          <w:tcPr>
            <w:tcW w:w="2297"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培训费</w:t>
            </w:r>
          </w:p>
        </w:tc>
        <w:tc>
          <w:tcPr>
            <w:tcW w:w="856" w:type="dxa"/>
            <w:tcBorders>
              <w:top w:val="single" w:color="auto" w:sz="4" w:space="0"/>
              <w:left w:val="single" w:color="auto" w:sz="4" w:space="0"/>
              <w:bottom w:val="single" w:color="auto" w:sz="4" w:space="0"/>
              <w:right w:val="single" w:color="auto" w:sz="4"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29.95</w:t>
            </w:r>
          </w:p>
        </w:tc>
        <w:tc>
          <w:tcPr>
            <w:tcW w:w="1076"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color w:val="000000"/>
                <w:kern w:val="0"/>
                <w:sz w:val="18"/>
                <w:szCs w:val="18"/>
              </w:rPr>
              <w:t>31013</w:t>
            </w:r>
          </w:p>
        </w:tc>
        <w:tc>
          <w:tcPr>
            <w:tcW w:w="3612"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公务用车购置</w:t>
            </w:r>
          </w:p>
        </w:tc>
        <w:tc>
          <w:tcPr>
            <w:tcW w:w="1638" w:type="dxa"/>
            <w:tcBorders>
              <w:top w:val="single" w:color="auto" w:sz="4" w:space="0"/>
              <w:left w:val="single" w:color="auto" w:sz="4" w:space="0"/>
              <w:bottom w:val="single" w:color="auto" w:sz="4" w:space="0"/>
              <w:right w:val="single" w:color="auto" w:sz="4" w:space="0"/>
            </w:tcBorders>
            <w:noWrap/>
            <w:vAlign w:val="center"/>
          </w:tcPr>
          <w:p>
            <w:pPr>
              <w:widowControl/>
              <w:rPr>
                <w:rFonts w:hint="default" w:ascii="仿宋_GB2312" w:hAnsi="宋体" w:eastAsia="仿宋_GB2312" w:cs="宋体"/>
                <w:color w:val="000000"/>
                <w:kern w:val="0"/>
                <w:sz w:val="18"/>
                <w:szCs w:val="18"/>
                <w:lang w:val="en-US" w:eastAsia="zh-CN"/>
              </w:rPr>
            </w:pPr>
          </w:p>
        </w:tc>
      </w:tr>
      <w:tr>
        <w:tblPrEx>
          <w:tblCellMar>
            <w:top w:w="0" w:type="dxa"/>
            <w:left w:w="108" w:type="dxa"/>
            <w:bottom w:w="0" w:type="dxa"/>
            <w:right w:w="108" w:type="dxa"/>
          </w:tblCellMar>
        </w:tblPrEx>
        <w:trPr>
          <w:trHeight w:val="255" w:hRule="exact"/>
        </w:trPr>
        <w:tc>
          <w:tcPr>
            <w:tcW w:w="1149" w:type="dxa"/>
            <w:tcBorders>
              <w:top w:val="single" w:color="auto" w:sz="4" w:space="0"/>
              <w:left w:val="single" w:color="auto" w:sz="4" w:space="0"/>
              <w:bottom w:val="single" w:color="auto" w:sz="4" w:space="0"/>
              <w:right w:val="single" w:color="auto" w:sz="4" w:space="0"/>
            </w:tcBorders>
            <w:noWrap/>
            <w:vAlign w:val="center"/>
          </w:tcPr>
          <w:p>
            <w:pPr>
              <w:widowControl/>
              <w:rPr>
                <w:color w:val="000000"/>
                <w:kern w:val="0"/>
                <w:sz w:val="18"/>
                <w:szCs w:val="18"/>
              </w:rPr>
            </w:pPr>
            <w:r>
              <w:rPr>
                <w:color w:val="000000"/>
                <w:kern w:val="0"/>
                <w:sz w:val="18"/>
                <w:szCs w:val="18"/>
              </w:rPr>
              <w:t>30302</w:t>
            </w:r>
          </w:p>
        </w:tc>
        <w:tc>
          <w:tcPr>
            <w:tcW w:w="3306"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退休费</w:t>
            </w:r>
          </w:p>
        </w:tc>
        <w:tc>
          <w:tcPr>
            <w:tcW w:w="1167" w:type="dxa"/>
            <w:tcBorders>
              <w:top w:val="single" w:color="auto" w:sz="4" w:space="0"/>
              <w:left w:val="single" w:color="auto" w:sz="4" w:space="0"/>
              <w:bottom w:val="single" w:color="auto" w:sz="4" w:space="0"/>
              <w:right w:val="single" w:color="auto" w:sz="4"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9.57</w:t>
            </w:r>
          </w:p>
        </w:tc>
        <w:tc>
          <w:tcPr>
            <w:tcW w:w="799"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color w:val="000000"/>
                <w:kern w:val="0"/>
                <w:sz w:val="18"/>
                <w:szCs w:val="18"/>
              </w:rPr>
              <w:t>30217</w:t>
            </w:r>
          </w:p>
        </w:tc>
        <w:tc>
          <w:tcPr>
            <w:tcW w:w="2297"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公务接待费</w:t>
            </w:r>
          </w:p>
        </w:tc>
        <w:tc>
          <w:tcPr>
            <w:tcW w:w="856" w:type="dxa"/>
            <w:tcBorders>
              <w:top w:val="single" w:color="auto" w:sz="4" w:space="0"/>
              <w:left w:val="single" w:color="auto" w:sz="4" w:space="0"/>
              <w:bottom w:val="single" w:color="auto" w:sz="4" w:space="0"/>
              <w:right w:val="single" w:color="auto" w:sz="4"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0.51</w:t>
            </w:r>
          </w:p>
        </w:tc>
        <w:tc>
          <w:tcPr>
            <w:tcW w:w="1076"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color w:val="000000"/>
                <w:kern w:val="0"/>
                <w:sz w:val="18"/>
                <w:szCs w:val="18"/>
              </w:rPr>
              <w:t>31019</w:t>
            </w:r>
          </w:p>
        </w:tc>
        <w:tc>
          <w:tcPr>
            <w:tcW w:w="3612"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其他交通工具购置</w:t>
            </w:r>
          </w:p>
        </w:tc>
        <w:tc>
          <w:tcPr>
            <w:tcW w:w="1638"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single" w:color="auto" w:sz="4" w:space="0"/>
              <w:left w:val="single" w:color="auto" w:sz="4" w:space="0"/>
              <w:bottom w:val="single" w:color="auto" w:sz="4" w:space="0"/>
              <w:right w:val="single" w:color="auto" w:sz="4" w:space="0"/>
            </w:tcBorders>
            <w:noWrap/>
            <w:vAlign w:val="center"/>
          </w:tcPr>
          <w:p>
            <w:pPr>
              <w:widowControl/>
              <w:rPr>
                <w:color w:val="000000"/>
                <w:kern w:val="0"/>
                <w:sz w:val="18"/>
                <w:szCs w:val="18"/>
              </w:rPr>
            </w:pPr>
            <w:r>
              <w:rPr>
                <w:color w:val="000000"/>
                <w:kern w:val="0"/>
                <w:sz w:val="18"/>
                <w:szCs w:val="18"/>
              </w:rPr>
              <w:t>30303</w:t>
            </w:r>
          </w:p>
        </w:tc>
        <w:tc>
          <w:tcPr>
            <w:tcW w:w="3306"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退职（役）费</w:t>
            </w:r>
          </w:p>
        </w:tc>
        <w:tc>
          <w:tcPr>
            <w:tcW w:w="1167" w:type="dxa"/>
            <w:tcBorders>
              <w:top w:val="single" w:color="auto" w:sz="4" w:space="0"/>
              <w:left w:val="single" w:color="auto" w:sz="4" w:space="0"/>
              <w:bottom w:val="single" w:color="auto" w:sz="4" w:space="0"/>
              <w:right w:val="single" w:color="auto" w:sz="4" w:space="0"/>
            </w:tcBorders>
            <w:noWrap/>
            <w:vAlign w:val="top"/>
          </w:tcPr>
          <w:p>
            <w:pPr>
              <w:widowControl/>
              <w:jc w:val="center"/>
              <w:rPr>
                <w:rFonts w:hint="default" w:ascii="仿宋_GB2312" w:hAnsi="宋体" w:eastAsia="仿宋_GB2312" w:cs="宋体"/>
                <w:color w:val="000000"/>
                <w:kern w:val="0"/>
                <w:sz w:val="18"/>
                <w:szCs w:val="18"/>
                <w:lang w:val="en-US" w:eastAsia="zh-CN"/>
              </w:rPr>
            </w:pPr>
          </w:p>
        </w:tc>
        <w:tc>
          <w:tcPr>
            <w:tcW w:w="799"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color w:val="000000"/>
                <w:kern w:val="0"/>
                <w:sz w:val="18"/>
                <w:szCs w:val="18"/>
              </w:rPr>
              <w:t>30218</w:t>
            </w:r>
          </w:p>
        </w:tc>
        <w:tc>
          <w:tcPr>
            <w:tcW w:w="2297"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专用材料费</w:t>
            </w:r>
          </w:p>
        </w:tc>
        <w:tc>
          <w:tcPr>
            <w:tcW w:w="856" w:type="dxa"/>
            <w:tcBorders>
              <w:top w:val="single" w:color="auto" w:sz="4" w:space="0"/>
              <w:left w:val="single" w:color="auto" w:sz="4" w:space="0"/>
              <w:bottom w:val="single" w:color="auto" w:sz="4" w:space="0"/>
              <w:right w:val="single" w:color="auto" w:sz="4" w:space="0"/>
            </w:tcBorders>
            <w:noWrap/>
            <w:vAlign w:val="top"/>
          </w:tcPr>
          <w:p>
            <w:pPr>
              <w:widowControl/>
              <w:jc w:val="center"/>
              <w:rPr>
                <w:rFonts w:hint="default" w:ascii="仿宋_GB2312" w:hAnsi="宋体" w:eastAsia="仿宋_GB2312" w:cs="宋体"/>
                <w:color w:val="000000"/>
                <w:kern w:val="0"/>
                <w:sz w:val="18"/>
                <w:szCs w:val="18"/>
                <w:lang w:val="en-US" w:eastAsia="zh-CN"/>
              </w:rPr>
            </w:pPr>
          </w:p>
        </w:tc>
        <w:tc>
          <w:tcPr>
            <w:tcW w:w="1076"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color w:val="000000"/>
                <w:kern w:val="0"/>
                <w:sz w:val="18"/>
                <w:szCs w:val="18"/>
              </w:rPr>
              <w:t>31021</w:t>
            </w:r>
          </w:p>
        </w:tc>
        <w:tc>
          <w:tcPr>
            <w:tcW w:w="3612"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文物和陈列品购置</w:t>
            </w:r>
          </w:p>
        </w:tc>
        <w:tc>
          <w:tcPr>
            <w:tcW w:w="1638"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single" w:color="auto" w:sz="4" w:space="0"/>
              <w:left w:val="single" w:color="auto" w:sz="4" w:space="0"/>
              <w:bottom w:val="single" w:color="auto" w:sz="4" w:space="0"/>
              <w:right w:val="single" w:color="auto" w:sz="4" w:space="0"/>
            </w:tcBorders>
            <w:noWrap/>
            <w:vAlign w:val="center"/>
          </w:tcPr>
          <w:p>
            <w:pPr>
              <w:widowControl/>
              <w:rPr>
                <w:color w:val="000000"/>
                <w:kern w:val="0"/>
                <w:sz w:val="18"/>
                <w:szCs w:val="18"/>
              </w:rPr>
            </w:pPr>
            <w:r>
              <w:rPr>
                <w:color w:val="000000"/>
                <w:kern w:val="0"/>
                <w:sz w:val="18"/>
                <w:szCs w:val="18"/>
              </w:rPr>
              <w:t>30304</w:t>
            </w:r>
          </w:p>
        </w:tc>
        <w:tc>
          <w:tcPr>
            <w:tcW w:w="3306"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抚恤金</w:t>
            </w:r>
          </w:p>
        </w:tc>
        <w:tc>
          <w:tcPr>
            <w:tcW w:w="1167" w:type="dxa"/>
            <w:tcBorders>
              <w:top w:val="single" w:color="auto" w:sz="4" w:space="0"/>
              <w:left w:val="single" w:color="auto" w:sz="4" w:space="0"/>
              <w:bottom w:val="single" w:color="auto" w:sz="4" w:space="0"/>
              <w:right w:val="single" w:color="auto" w:sz="4" w:space="0"/>
            </w:tcBorders>
            <w:noWrap/>
            <w:vAlign w:val="top"/>
          </w:tcPr>
          <w:p>
            <w:pPr>
              <w:widowControl/>
              <w:jc w:val="center"/>
              <w:rPr>
                <w:rFonts w:ascii="仿宋_GB2312" w:hAnsi="宋体" w:eastAsia="仿宋_GB2312" w:cs="宋体"/>
                <w:color w:val="000000"/>
                <w:kern w:val="0"/>
                <w:sz w:val="18"/>
                <w:szCs w:val="18"/>
              </w:rPr>
            </w:pPr>
          </w:p>
        </w:tc>
        <w:tc>
          <w:tcPr>
            <w:tcW w:w="799"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color w:val="000000"/>
                <w:kern w:val="0"/>
                <w:sz w:val="18"/>
                <w:szCs w:val="18"/>
              </w:rPr>
              <w:t>30224</w:t>
            </w:r>
          </w:p>
        </w:tc>
        <w:tc>
          <w:tcPr>
            <w:tcW w:w="2297"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被装购置费</w:t>
            </w:r>
          </w:p>
        </w:tc>
        <w:tc>
          <w:tcPr>
            <w:tcW w:w="856" w:type="dxa"/>
            <w:tcBorders>
              <w:top w:val="single" w:color="auto" w:sz="4" w:space="0"/>
              <w:left w:val="single" w:color="auto" w:sz="4" w:space="0"/>
              <w:bottom w:val="single" w:color="auto" w:sz="4" w:space="0"/>
              <w:right w:val="single" w:color="auto" w:sz="4" w:space="0"/>
            </w:tcBorders>
            <w:noWrap/>
            <w:vAlign w:val="top"/>
          </w:tcPr>
          <w:p>
            <w:pPr>
              <w:widowControl/>
              <w:jc w:val="center"/>
              <w:rPr>
                <w:rFonts w:hint="default" w:ascii="仿宋_GB2312" w:hAnsi="宋体" w:eastAsia="仿宋_GB2312" w:cs="宋体"/>
                <w:color w:val="000000"/>
                <w:kern w:val="0"/>
                <w:sz w:val="18"/>
                <w:szCs w:val="18"/>
                <w:lang w:val="en-US" w:eastAsia="zh-CN"/>
              </w:rPr>
            </w:pPr>
          </w:p>
        </w:tc>
        <w:tc>
          <w:tcPr>
            <w:tcW w:w="1076"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color w:val="000000"/>
                <w:kern w:val="0"/>
                <w:sz w:val="18"/>
                <w:szCs w:val="18"/>
              </w:rPr>
              <w:t>31022</w:t>
            </w:r>
          </w:p>
        </w:tc>
        <w:tc>
          <w:tcPr>
            <w:tcW w:w="3612"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无形资产购置</w:t>
            </w:r>
          </w:p>
        </w:tc>
        <w:tc>
          <w:tcPr>
            <w:tcW w:w="1638"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single" w:color="auto" w:sz="4" w:space="0"/>
              <w:left w:val="single" w:color="auto" w:sz="4" w:space="0"/>
              <w:bottom w:val="single" w:color="auto" w:sz="4" w:space="0"/>
              <w:right w:val="single" w:color="auto" w:sz="4" w:space="0"/>
            </w:tcBorders>
            <w:noWrap/>
            <w:vAlign w:val="center"/>
          </w:tcPr>
          <w:p>
            <w:pPr>
              <w:widowControl/>
              <w:rPr>
                <w:color w:val="000000"/>
                <w:kern w:val="0"/>
                <w:sz w:val="18"/>
                <w:szCs w:val="18"/>
              </w:rPr>
            </w:pPr>
            <w:r>
              <w:rPr>
                <w:color w:val="000000"/>
                <w:kern w:val="0"/>
                <w:sz w:val="18"/>
                <w:szCs w:val="18"/>
              </w:rPr>
              <w:t>30305</w:t>
            </w:r>
          </w:p>
        </w:tc>
        <w:tc>
          <w:tcPr>
            <w:tcW w:w="3306"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生活补助</w:t>
            </w:r>
          </w:p>
        </w:tc>
        <w:tc>
          <w:tcPr>
            <w:tcW w:w="1167" w:type="dxa"/>
            <w:tcBorders>
              <w:top w:val="single" w:color="auto" w:sz="4" w:space="0"/>
              <w:left w:val="single" w:color="auto" w:sz="4" w:space="0"/>
              <w:bottom w:val="single" w:color="auto" w:sz="4" w:space="0"/>
              <w:right w:val="single" w:color="auto" w:sz="4"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1.59</w:t>
            </w:r>
          </w:p>
        </w:tc>
        <w:tc>
          <w:tcPr>
            <w:tcW w:w="799"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color w:val="000000"/>
                <w:kern w:val="0"/>
                <w:sz w:val="18"/>
                <w:szCs w:val="18"/>
              </w:rPr>
              <w:t>30225</w:t>
            </w:r>
          </w:p>
        </w:tc>
        <w:tc>
          <w:tcPr>
            <w:tcW w:w="2297"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专用燃料费</w:t>
            </w:r>
          </w:p>
        </w:tc>
        <w:tc>
          <w:tcPr>
            <w:tcW w:w="856" w:type="dxa"/>
            <w:tcBorders>
              <w:top w:val="single" w:color="auto" w:sz="4" w:space="0"/>
              <w:left w:val="single" w:color="auto" w:sz="4" w:space="0"/>
              <w:bottom w:val="single" w:color="auto" w:sz="4" w:space="0"/>
              <w:right w:val="single" w:color="auto" w:sz="4" w:space="0"/>
            </w:tcBorders>
            <w:noWrap/>
            <w:vAlign w:val="top"/>
          </w:tcPr>
          <w:p>
            <w:pPr>
              <w:widowControl/>
              <w:jc w:val="center"/>
              <w:rPr>
                <w:rFonts w:ascii="仿宋_GB2312" w:hAnsi="宋体" w:eastAsia="仿宋_GB2312" w:cs="宋体"/>
                <w:color w:val="000000"/>
                <w:kern w:val="0"/>
                <w:sz w:val="18"/>
                <w:szCs w:val="18"/>
              </w:rPr>
            </w:pPr>
          </w:p>
        </w:tc>
        <w:tc>
          <w:tcPr>
            <w:tcW w:w="1076"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color w:val="000000"/>
                <w:kern w:val="0"/>
                <w:sz w:val="18"/>
                <w:szCs w:val="18"/>
              </w:rPr>
              <w:t>31099</w:t>
            </w:r>
          </w:p>
        </w:tc>
        <w:tc>
          <w:tcPr>
            <w:tcW w:w="3612"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其他资本性支出</w:t>
            </w:r>
          </w:p>
        </w:tc>
        <w:tc>
          <w:tcPr>
            <w:tcW w:w="1638"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single" w:color="auto" w:sz="4" w:space="0"/>
              <w:left w:val="single" w:color="auto" w:sz="4" w:space="0"/>
              <w:bottom w:val="single" w:color="auto" w:sz="4" w:space="0"/>
              <w:right w:val="single" w:color="auto" w:sz="4" w:space="0"/>
            </w:tcBorders>
            <w:noWrap/>
            <w:vAlign w:val="center"/>
          </w:tcPr>
          <w:p>
            <w:pPr>
              <w:widowControl/>
              <w:rPr>
                <w:color w:val="000000"/>
                <w:kern w:val="0"/>
                <w:sz w:val="18"/>
                <w:szCs w:val="18"/>
              </w:rPr>
            </w:pPr>
            <w:r>
              <w:rPr>
                <w:color w:val="000000"/>
                <w:kern w:val="0"/>
                <w:sz w:val="18"/>
                <w:szCs w:val="18"/>
              </w:rPr>
              <w:t>30306</w:t>
            </w:r>
          </w:p>
        </w:tc>
        <w:tc>
          <w:tcPr>
            <w:tcW w:w="3306"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救济费</w:t>
            </w:r>
          </w:p>
        </w:tc>
        <w:tc>
          <w:tcPr>
            <w:tcW w:w="1167" w:type="dxa"/>
            <w:tcBorders>
              <w:top w:val="single" w:color="auto" w:sz="4" w:space="0"/>
              <w:left w:val="single" w:color="auto" w:sz="4" w:space="0"/>
              <w:bottom w:val="single" w:color="auto" w:sz="4" w:space="0"/>
              <w:right w:val="single" w:color="auto" w:sz="4" w:space="0"/>
            </w:tcBorders>
            <w:noWrap/>
            <w:vAlign w:val="top"/>
          </w:tcPr>
          <w:p>
            <w:pPr>
              <w:widowControl/>
              <w:jc w:val="center"/>
              <w:rPr>
                <w:rFonts w:ascii="仿宋_GB2312" w:hAnsi="宋体" w:eastAsia="仿宋_GB2312" w:cs="宋体"/>
                <w:color w:val="000000"/>
                <w:kern w:val="0"/>
                <w:sz w:val="18"/>
                <w:szCs w:val="18"/>
              </w:rPr>
            </w:pPr>
          </w:p>
        </w:tc>
        <w:tc>
          <w:tcPr>
            <w:tcW w:w="799"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color w:val="000000"/>
                <w:kern w:val="0"/>
                <w:sz w:val="18"/>
                <w:szCs w:val="18"/>
              </w:rPr>
              <w:t>30226</w:t>
            </w:r>
          </w:p>
        </w:tc>
        <w:tc>
          <w:tcPr>
            <w:tcW w:w="2297"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劳务费</w:t>
            </w:r>
          </w:p>
        </w:tc>
        <w:tc>
          <w:tcPr>
            <w:tcW w:w="856" w:type="dxa"/>
            <w:tcBorders>
              <w:top w:val="single" w:color="auto" w:sz="4" w:space="0"/>
              <w:left w:val="single" w:color="auto" w:sz="4" w:space="0"/>
              <w:bottom w:val="single" w:color="auto" w:sz="4" w:space="0"/>
              <w:right w:val="single" w:color="auto" w:sz="4" w:space="0"/>
            </w:tcBorders>
            <w:noWrap/>
            <w:vAlign w:val="top"/>
          </w:tcPr>
          <w:p>
            <w:pPr>
              <w:widowControl/>
              <w:jc w:val="center"/>
              <w:rPr>
                <w:rFonts w:hint="default" w:ascii="仿宋_GB2312" w:hAnsi="宋体" w:eastAsia="仿宋_GB2312" w:cs="宋体"/>
                <w:color w:val="000000"/>
                <w:kern w:val="0"/>
                <w:sz w:val="18"/>
                <w:szCs w:val="18"/>
                <w:lang w:val="en-US"/>
              </w:rPr>
            </w:pPr>
            <w:r>
              <w:rPr>
                <w:rFonts w:hint="eastAsia" w:ascii="仿宋_GB2312" w:hAnsi="宋体" w:eastAsia="仿宋_GB2312" w:cs="宋体"/>
                <w:color w:val="000000"/>
                <w:kern w:val="0"/>
                <w:sz w:val="18"/>
                <w:szCs w:val="18"/>
                <w:lang w:val="en-US" w:eastAsia="zh-CN"/>
              </w:rPr>
              <w:t>0.13</w:t>
            </w:r>
          </w:p>
        </w:tc>
        <w:tc>
          <w:tcPr>
            <w:tcW w:w="1076"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color w:val="000000"/>
                <w:kern w:val="0"/>
                <w:sz w:val="18"/>
                <w:szCs w:val="18"/>
              </w:rPr>
              <w:t>399</w:t>
            </w:r>
          </w:p>
        </w:tc>
        <w:tc>
          <w:tcPr>
            <w:tcW w:w="3612" w:type="dxa"/>
            <w:tcBorders>
              <w:top w:val="single" w:color="auto" w:sz="4" w:space="0"/>
              <w:left w:val="single" w:color="auto" w:sz="4" w:space="0"/>
              <w:bottom w:val="single" w:color="auto" w:sz="4" w:space="0"/>
              <w:right w:val="single" w:color="auto" w:sz="4"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1638"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single" w:color="auto" w:sz="4" w:space="0"/>
              <w:left w:val="single" w:color="auto" w:sz="4" w:space="0"/>
              <w:bottom w:val="single" w:color="auto" w:sz="4" w:space="0"/>
              <w:right w:val="single" w:color="auto" w:sz="4" w:space="0"/>
            </w:tcBorders>
            <w:noWrap/>
            <w:vAlign w:val="center"/>
          </w:tcPr>
          <w:p>
            <w:pPr>
              <w:widowControl/>
              <w:rPr>
                <w:color w:val="000000"/>
                <w:kern w:val="0"/>
                <w:sz w:val="18"/>
                <w:szCs w:val="18"/>
              </w:rPr>
            </w:pPr>
            <w:r>
              <w:rPr>
                <w:color w:val="000000"/>
                <w:kern w:val="0"/>
                <w:sz w:val="18"/>
                <w:szCs w:val="18"/>
              </w:rPr>
              <w:t>30307</w:t>
            </w:r>
          </w:p>
        </w:tc>
        <w:tc>
          <w:tcPr>
            <w:tcW w:w="3306"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医疗费补助</w:t>
            </w:r>
          </w:p>
        </w:tc>
        <w:tc>
          <w:tcPr>
            <w:tcW w:w="1167" w:type="dxa"/>
            <w:tcBorders>
              <w:top w:val="single" w:color="auto" w:sz="4" w:space="0"/>
              <w:left w:val="single" w:color="auto" w:sz="4" w:space="0"/>
              <w:bottom w:val="single" w:color="auto" w:sz="4" w:space="0"/>
              <w:right w:val="single" w:color="auto" w:sz="4" w:space="0"/>
            </w:tcBorders>
            <w:noWrap/>
            <w:vAlign w:val="top"/>
          </w:tcPr>
          <w:p>
            <w:pPr>
              <w:widowControl/>
              <w:jc w:val="center"/>
              <w:rPr>
                <w:rFonts w:ascii="仿宋_GB2312" w:hAnsi="宋体" w:eastAsia="仿宋_GB2312" w:cs="宋体"/>
                <w:color w:val="000000"/>
                <w:kern w:val="0"/>
                <w:sz w:val="18"/>
                <w:szCs w:val="18"/>
              </w:rPr>
            </w:pPr>
          </w:p>
        </w:tc>
        <w:tc>
          <w:tcPr>
            <w:tcW w:w="799"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color w:val="000000"/>
                <w:kern w:val="0"/>
                <w:sz w:val="18"/>
                <w:szCs w:val="18"/>
              </w:rPr>
              <w:t>30227</w:t>
            </w:r>
          </w:p>
        </w:tc>
        <w:tc>
          <w:tcPr>
            <w:tcW w:w="2297"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委托业务费</w:t>
            </w:r>
          </w:p>
        </w:tc>
        <w:tc>
          <w:tcPr>
            <w:tcW w:w="856" w:type="dxa"/>
            <w:tcBorders>
              <w:top w:val="single" w:color="auto" w:sz="4" w:space="0"/>
              <w:left w:val="single" w:color="auto" w:sz="4" w:space="0"/>
              <w:bottom w:val="single" w:color="auto" w:sz="4" w:space="0"/>
              <w:right w:val="single" w:color="auto" w:sz="4" w:space="0"/>
            </w:tcBorders>
            <w:noWrap/>
            <w:vAlign w:val="top"/>
          </w:tcPr>
          <w:p>
            <w:pPr>
              <w:widowControl/>
              <w:jc w:val="center"/>
              <w:rPr>
                <w:rFonts w:ascii="仿宋_GB2312" w:hAnsi="宋体" w:eastAsia="仿宋_GB2312" w:cs="宋体"/>
                <w:color w:val="000000"/>
                <w:kern w:val="0"/>
                <w:sz w:val="18"/>
                <w:szCs w:val="18"/>
              </w:rPr>
            </w:pPr>
          </w:p>
        </w:tc>
        <w:tc>
          <w:tcPr>
            <w:tcW w:w="1076"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color w:val="000000"/>
                <w:kern w:val="0"/>
                <w:sz w:val="18"/>
                <w:szCs w:val="18"/>
              </w:rPr>
              <w:t>39906</w:t>
            </w:r>
          </w:p>
        </w:tc>
        <w:tc>
          <w:tcPr>
            <w:tcW w:w="3612"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赠与</w:t>
            </w:r>
          </w:p>
        </w:tc>
        <w:tc>
          <w:tcPr>
            <w:tcW w:w="1638"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single" w:color="auto" w:sz="4" w:space="0"/>
              <w:left w:val="single" w:color="auto" w:sz="4" w:space="0"/>
              <w:bottom w:val="single" w:color="auto" w:sz="4" w:space="0"/>
              <w:right w:val="single" w:color="auto" w:sz="4" w:space="0"/>
            </w:tcBorders>
            <w:noWrap/>
            <w:vAlign w:val="center"/>
          </w:tcPr>
          <w:p>
            <w:pPr>
              <w:widowControl/>
              <w:rPr>
                <w:color w:val="000000"/>
                <w:kern w:val="0"/>
                <w:sz w:val="18"/>
                <w:szCs w:val="18"/>
              </w:rPr>
            </w:pPr>
            <w:r>
              <w:rPr>
                <w:color w:val="000000"/>
                <w:kern w:val="0"/>
                <w:sz w:val="18"/>
                <w:szCs w:val="18"/>
              </w:rPr>
              <w:t>30308</w:t>
            </w:r>
          </w:p>
        </w:tc>
        <w:tc>
          <w:tcPr>
            <w:tcW w:w="3306"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助学金</w:t>
            </w:r>
          </w:p>
        </w:tc>
        <w:tc>
          <w:tcPr>
            <w:tcW w:w="1167" w:type="dxa"/>
            <w:tcBorders>
              <w:top w:val="single" w:color="auto" w:sz="4" w:space="0"/>
              <w:left w:val="single" w:color="auto" w:sz="4" w:space="0"/>
              <w:bottom w:val="single" w:color="auto" w:sz="4" w:space="0"/>
              <w:right w:val="single" w:color="auto" w:sz="4"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0.06</w:t>
            </w:r>
          </w:p>
        </w:tc>
        <w:tc>
          <w:tcPr>
            <w:tcW w:w="799"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color w:val="000000"/>
                <w:kern w:val="0"/>
                <w:sz w:val="18"/>
                <w:szCs w:val="18"/>
              </w:rPr>
              <w:t>30228</w:t>
            </w:r>
          </w:p>
        </w:tc>
        <w:tc>
          <w:tcPr>
            <w:tcW w:w="2297"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工会经费</w:t>
            </w:r>
          </w:p>
        </w:tc>
        <w:tc>
          <w:tcPr>
            <w:tcW w:w="856" w:type="dxa"/>
            <w:tcBorders>
              <w:top w:val="single" w:color="auto" w:sz="4" w:space="0"/>
              <w:left w:val="single" w:color="auto" w:sz="4" w:space="0"/>
              <w:bottom w:val="single" w:color="auto" w:sz="4" w:space="0"/>
              <w:right w:val="single" w:color="auto" w:sz="4" w:space="0"/>
            </w:tcBorders>
            <w:noWrap/>
            <w:vAlign w:val="top"/>
          </w:tcPr>
          <w:p>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6.77</w:t>
            </w:r>
          </w:p>
        </w:tc>
        <w:tc>
          <w:tcPr>
            <w:tcW w:w="1076"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color w:val="000000"/>
                <w:kern w:val="0"/>
                <w:sz w:val="18"/>
                <w:szCs w:val="18"/>
              </w:rPr>
              <w:t>39907</w:t>
            </w:r>
          </w:p>
        </w:tc>
        <w:tc>
          <w:tcPr>
            <w:tcW w:w="3612"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国家赔偿费用支出</w:t>
            </w:r>
          </w:p>
        </w:tc>
        <w:tc>
          <w:tcPr>
            <w:tcW w:w="1638"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奖励金</w:t>
            </w:r>
          </w:p>
        </w:tc>
        <w:tc>
          <w:tcPr>
            <w:tcW w:w="1167" w:type="dxa"/>
            <w:tcBorders>
              <w:top w:val="single" w:color="auto" w:sz="4" w:space="0"/>
              <w:left w:val="single" w:color="auto" w:sz="4" w:space="0"/>
              <w:bottom w:val="single" w:color="auto" w:sz="4" w:space="0"/>
              <w:right w:val="single" w:color="auto" w:sz="4" w:space="0"/>
            </w:tcBorders>
            <w:noWrap/>
            <w:vAlign w:val="top"/>
          </w:tcPr>
          <w:p>
            <w:pPr>
              <w:widowControl/>
              <w:jc w:val="center"/>
              <w:rPr>
                <w:rFonts w:hint="eastAsia" w:ascii="仿宋_GB2312" w:hAnsi="仿宋_GB2312" w:eastAsia="仿宋_GB2312" w:cs="仿宋_GB2312"/>
                <w:b w:val="0"/>
                <w:bCs w:val="0"/>
                <w:color w:val="000000"/>
                <w:kern w:val="0"/>
                <w:sz w:val="18"/>
                <w:szCs w:val="18"/>
                <w:lang w:val="en-US" w:eastAsia="zh-CN"/>
              </w:rPr>
            </w:pPr>
            <w:r>
              <w:rPr>
                <w:rFonts w:hint="eastAsia" w:ascii="仿宋_GB2312" w:hAnsi="仿宋_GB2312" w:eastAsia="仿宋_GB2312" w:cs="仿宋_GB2312"/>
                <w:b w:val="0"/>
                <w:bCs w:val="0"/>
                <w:color w:val="000000"/>
                <w:kern w:val="0"/>
                <w:sz w:val="18"/>
                <w:szCs w:val="18"/>
                <w:lang w:val="en-US" w:eastAsia="zh-CN"/>
              </w:rPr>
              <w:t>0.52</w:t>
            </w:r>
          </w:p>
        </w:tc>
        <w:tc>
          <w:tcPr>
            <w:tcW w:w="799" w:type="dxa"/>
            <w:tcBorders>
              <w:top w:val="single" w:color="auto" w:sz="4" w:space="0"/>
              <w:left w:val="single" w:color="auto" w:sz="4" w:space="0"/>
              <w:bottom w:val="single" w:color="auto" w:sz="4" w:space="0"/>
              <w:right w:val="single" w:color="auto" w:sz="4"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single" w:color="auto" w:sz="4" w:space="0"/>
              <w:left w:val="single" w:color="auto" w:sz="4" w:space="0"/>
              <w:bottom w:val="single" w:color="auto" w:sz="4" w:space="0"/>
              <w:right w:val="single" w:color="auto" w:sz="4"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福利费</w:t>
            </w:r>
          </w:p>
        </w:tc>
        <w:tc>
          <w:tcPr>
            <w:tcW w:w="856" w:type="dxa"/>
            <w:tcBorders>
              <w:top w:val="single" w:color="auto" w:sz="4" w:space="0"/>
              <w:left w:val="single" w:color="auto" w:sz="4" w:space="0"/>
              <w:bottom w:val="single" w:color="auto" w:sz="4" w:space="0"/>
              <w:right w:val="single" w:color="auto" w:sz="4" w:space="0"/>
            </w:tcBorders>
            <w:noWrap/>
            <w:vAlign w:val="top"/>
          </w:tcPr>
          <w:p>
            <w:pPr>
              <w:widowControl/>
              <w:jc w:val="center"/>
              <w:rPr>
                <w:rFonts w:hint="default" w:eastAsia="宋体"/>
                <w:color w:val="000000"/>
                <w:kern w:val="0"/>
                <w:sz w:val="18"/>
                <w:szCs w:val="18"/>
                <w:lang w:val="en-US" w:eastAsia="zh-CN"/>
              </w:rPr>
            </w:pPr>
            <w:r>
              <w:rPr>
                <w:rFonts w:hint="eastAsia"/>
                <w:color w:val="000000"/>
                <w:kern w:val="0"/>
                <w:sz w:val="18"/>
                <w:szCs w:val="18"/>
                <w:lang w:val="en-US" w:eastAsia="zh-CN"/>
              </w:rPr>
              <w:t>2.78</w:t>
            </w:r>
          </w:p>
        </w:tc>
        <w:tc>
          <w:tcPr>
            <w:tcW w:w="1076"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color w:val="000000"/>
                <w:kern w:val="0"/>
                <w:sz w:val="18"/>
                <w:szCs w:val="18"/>
              </w:rPr>
              <w:t>39908</w:t>
            </w:r>
          </w:p>
        </w:tc>
        <w:tc>
          <w:tcPr>
            <w:tcW w:w="3612" w:type="dxa"/>
            <w:tcBorders>
              <w:top w:val="single" w:color="auto" w:sz="4" w:space="0"/>
              <w:left w:val="single" w:color="auto" w:sz="4" w:space="0"/>
              <w:bottom w:val="single" w:color="auto" w:sz="4" w:space="0"/>
              <w:right w:val="single" w:color="auto" w:sz="4"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对民间非营利组织和群众性自治组织补贴</w:t>
            </w:r>
          </w:p>
        </w:tc>
        <w:tc>
          <w:tcPr>
            <w:tcW w:w="1638"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个人农业生产补贴</w:t>
            </w:r>
          </w:p>
        </w:tc>
        <w:tc>
          <w:tcPr>
            <w:tcW w:w="1167" w:type="dxa"/>
            <w:tcBorders>
              <w:top w:val="single" w:color="auto" w:sz="4" w:space="0"/>
              <w:left w:val="single" w:color="auto" w:sz="4" w:space="0"/>
              <w:bottom w:val="single" w:color="auto" w:sz="4" w:space="0"/>
              <w:right w:val="single" w:color="auto" w:sz="4" w:space="0"/>
            </w:tcBorders>
            <w:noWrap/>
            <w:vAlign w:val="top"/>
          </w:tcPr>
          <w:p>
            <w:pPr>
              <w:widowControl/>
              <w:jc w:val="center"/>
              <w:rPr>
                <w:rFonts w:hint="eastAsia" w:ascii="仿宋_GB2312" w:hAnsi="仿宋_GB2312" w:eastAsia="仿宋_GB2312" w:cs="仿宋_GB2312"/>
                <w:b w:val="0"/>
                <w:bCs w:val="0"/>
                <w:color w:val="000000"/>
                <w:kern w:val="0"/>
                <w:sz w:val="18"/>
                <w:szCs w:val="18"/>
              </w:rPr>
            </w:pPr>
          </w:p>
        </w:tc>
        <w:tc>
          <w:tcPr>
            <w:tcW w:w="799" w:type="dxa"/>
            <w:tcBorders>
              <w:top w:val="single" w:color="auto" w:sz="4" w:space="0"/>
              <w:left w:val="single" w:color="auto" w:sz="4" w:space="0"/>
              <w:bottom w:val="single" w:color="auto" w:sz="4" w:space="0"/>
              <w:right w:val="single" w:color="auto" w:sz="4"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single" w:color="auto" w:sz="4" w:space="0"/>
              <w:left w:val="single" w:color="auto" w:sz="4" w:space="0"/>
              <w:bottom w:val="single" w:color="auto" w:sz="4" w:space="0"/>
              <w:right w:val="single" w:color="auto" w:sz="4"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公务用车运行维护费</w:t>
            </w:r>
          </w:p>
        </w:tc>
        <w:tc>
          <w:tcPr>
            <w:tcW w:w="856" w:type="dxa"/>
            <w:tcBorders>
              <w:top w:val="single" w:color="auto" w:sz="4" w:space="0"/>
              <w:left w:val="single" w:color="auto" w:sz="4" w:space="0"/>
              <w:bottom w:val="single" w:color="auto" w:sz="4" w:space="0"/>
              <w:right w:val="single" w:color="auto" w:sz="4" w:space="0"/>
            </w:tcBorders>
            <w:noWrap/>
            <w:vAlign w:val="top"/>
          </w:tcPr>
          <w:p>
            <w:pPr>
              <w:widowControl/>
              <w:jc w:val="center"/>
              <w:rPr>
                <w:color w:val="000000"/>
                <w:kern w:val="0"/>
                <w:sz w:val="18"/>
                <w:szCs w:val="18"/>
              </w:rPr>
            </w:pPr>
          </w:p>
        </w:tc>
        <w:tc>
          <w:tcPr>
            <w:tcW w:w="1076"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color w:val="000000"/>
                <w:kern w:val="0"/>
                <w:sz w:val="18"/>
                <w:szCs w:val="18"/>
              </w:rPr>
              <w:t>39999</w:t>
            </w:r>
          </w:p>
        </w:tc>
        <w:tc>
          <w:tcPr>
            <w:tcW w:w="3612" w:type="dxa"/>
            <w:tcBorders>
              <w:top w:val="single" w:color="auto" w:sz="4" w:space="0"/>
              <w:left w:val="single" w:color="auto" w:sz="4" w:space="0"/>
              <w:bottom w:val="single" w:color="auto" w:sz="4" w:space="0"/>
              <w:right w:val="single" w:color="auto" w:sz="4"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1638"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ascii="仿宋_GB2312" w:eastAsia="仿宋_GB2312"/>
                <w:color w:val="000000"/>
                <w:kern w:val="0"/>
                <w:sz w:val="18"/>
                <w:szCs w:val="18"/>
              </w:rPr>
              <w:t>对其他个人和家庭的补助支出</w:t>
            </w:r>
          </w:p>
        </w:tc>
        <w:tc>
          <w:tcPr>
            <w:tcW w:w="1167" w:type="dxa"/>
            <w:tcBorders>
              <w:top w:val="single" w:color="auto" w:sz="4" w:space="0"/>
              <w:left w:val="single" w:color="auto" w:sz="4" w:space="0"/>
              <w:bottom w:val="single" w:color="auto" w:sz="4" w:space="0"/>
              <w:right w:val="single" w:color="auto" w:sz="4" w:space="0"/>
            </w:tcBorders>
            <w:noWrap/>
            <w:vAlign w:val="top"/>
          </w:tcPr>
          <w:p>
            <w:pPr>
              <w:widowControl/>
              <w:jc w:val="center"/>
              <w:rPr>
                <w:rFonts w:hint="eastAsia" w:ascii="仿宋_GB2312" w:hAnsi="仿宋_GB2312" w:eastAsia="仿宋_GB2312" w:cs="仿宋_GB2312"/>
                <w:b w:val="0"/>
                <w:bCs w:val="0"/>
                <w:color w:val="000000"/>
                <w:kern w:val="0"/>
                <w:sz w:val="18"/>
                <w:szCs w:val="18"/>
                <w:lang w:val="en-US" w:eastAsia="zh-CN"/>
              </w:rPr>
            </w:pPr>
            <w:r>
              <w:rPr>
                <w:rFonts w:hint="eastAsia" w:ascii="仿宋_GB2312" w:hAnsi="仿宋_GB2312" w:eastAsia="仿宋_GB2312" w:cs="仿宋_GB2312"/>
                <w:b w:val="0"/>
                <w:bCs w:val="0"/>
                <w:color w:val="000000"/>
                <w:kern w:val="0"/>
                <w:sz w:val="18"/>
                <w:szCs w:val="18"/>
                <w:lang w:val="en-US" w:eastAsia="zh-CN"/>
              </w:rPr>
              <w:t>2.54</w:t>
            </w:r>
          </w:p>
        </w:tc>
        <w:tc>
          <w:tcPr>
            <w:tcW w:w="799" w:type="dxa"/>
            <w:tcBorders>
              <w:top w:val="single" w:color="auto" w:sz="4" w:space="0"/>
              <w:left w:val="single" w:color="auto" w:sz="4" w:space="0"/>
              <w:bottom w:val="single" w:color="auto" w:sz="4" w:space="0"/>
              <w:right w:val="single" w:color="auto" w:sz="4"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4" w:space="0"/>
              <w:left w:val="single" w:color="auto" w:sz="4" w:space="0"/>
              <w:bottom w:val="single" w:color="auto" w:sz="4" w:space="0"/>
              <w:right w:val="single" w:color="auto" w:sz="4"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其他交通费用</w:t>
            </w:r>
          </w:p>
        </w:tc>
        <w:tc>
          <w:tcPr>
            <w:tcW w:w="856" w:type="dxa"/>
            <w:tcBorders>
              <w:top w:val="single" w:color="auto" w:sz="4" w:space="0"/>
              <w:left w:val="single" w:color="auto" w:sz="4" w:space="0"/>
              <w:bottom w:val="single" w:color="auto" w:sz="4" w:space="0"/>
              <w:right w:val="single" w:color="auto" w:sz="4" w:space="0"/>
            </w:tcBorders>
            <w:noWrap/>
            <w:vAlign w:val="top"/>
          </w:tcPr>
          <w:p>
            <w:pPr>
              <w:widowControl/>
              <w:jc w:val="center"/>
              <w:rPr>
                <w:rFonts w:hint="default" w:eastAsia="宋体"/>
                <w:color w:val="000000"/>
                <w:kern w:val="0"/>
                <w:sz w:val="18"/>
                <w:szCs w:val="18"/>
                <w:lang w:val="en-US" w:eastAsia="zh-CN"/>
              </w:rPr>
            </w:pPr>
          </w:p>
        </w:tc>
        <w:tc>
          <w:tcPr>
            <w:tcW w:w="1076"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color w:val="000000"/>
                <w:kern w:val="0"/>
                <w:sz w:val="18"/>
                <w:szCs w:val="18"/>
              </w:rPr>
              <w:t>　</w:t>
            </w:r>
          </w:p>
        </w:tc>
        <w:tc>
          <w:tcPr>
            <w:tcW w:w="3612" w:type="dxa"/>
            <w:tcBorders>
              <w:top w:val="single" w:color="auto" w:sz="4" w:space="0"/>
              <w:left w:val="single" w:color="auto" w:sz="4" w:space="0"/>
              <w:bottom w:val="single" w:color="auto" w:sz="4" w:space="0"/>
              <w:right w:val="single" w:color="auto" w:sz="4"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638"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color w:val="000000"/>
                <w:kern w:val="0"/>
                <w:sz w:val="18"/>
                <w:szCs w:val="18"/>
              </w:rPr>
              <w:t>　</w:t>
            </w:r>
          </w:p>
        </w:tc>
        <w:tc>
          <w:tcPr>
            <w:tcW w:w="1167" w:type="dxa"/>
            <w:tcBorders>
              <w:top w:val="single" w:color="auto" w:sz="4" w:space="0"/>
              <w:left w:val="single" w:color="auto" w:sz="4" w:space="0"/>
              <w:bottom w:val="single" w:color="auto" w:sz="4" w:space="0"/>
              <w:right w:val="single" w:color="auto" w:sz="4" w:space="0"/>
            </w:tcBorders>
            <w:noWrap/>
            <w:vAlign w:val="top"/>
          </w:tcPr>
          <w:p>
            <w:pPr>
              <w:widowControl/>
              <w:jc w:val="center"/>
              <w:rPr>
                <w:color w:val="000000"/>
                <w:kern w:val="0"/>
                <w:sz w:val="18"/>
                <w:szCs w:val="18"/>
              </w:rPr>
            </w:pPr>
          </w:p>
        </w:tc>
        <w:tc>
          <w:tcPr>
            <w:tcW w:w="799" w:type="dxa"/>
            <w:tcBorders>
              <w:top w:val="single" w:color="auto" w:sz="4" w:space="0"/>
              <w:left w:val="single" w:color="auto" w:sz="4" w:space="0"/>
              <w:bottom w:val="single" w:color="auto" w:sz="4" w:space="0"/>
              <w:right w:val="single" w:color="auto" w:sz="4"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single" w:color="auto" w:sz="4" w:space="0"/>
              <w:left w:val="single" w:color="auto" w:sz="4" w:space="0"/>
              <w:bottom w:val="single" w:color="auto" w:sz="4" w:space="0"/>
              <w:right w:val="single" w:color="auto" w:sz="4"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税金及附加费用</w:t>
            </w:r>
          </w:p>
        </w:tc>
        <w:tc>
          <w:tcPr>
            <w:tcW w:w="856" w:type="dxa"/>
            <w:tcBorders>
              <w:top w:val="single" w:color="auto" w:sz="4" w:space="0"/>
              <w:left w:val="single" w:color="auto" w:sz="4" w:space="0"/>
              <w:bottom w:val="single" w:color="auto" w:sz="4" w:space="0"/>
              <w:right w:val="single" w:color="auto" w:sz="4" w:space="0"/>
            </w:tcBorders>
            <w:noWrap/>
            <w:vAlign w:val="top"/>
          </w:tcPr>
          <w:p>
            <w:pPr>
              <w:widowControl/>
              <w:jc w:val="center"/>
              <w:rPr>
                <w:color w:val="000000"/>
                <w:kern w:val="0"/>
                <w:sz w:val="18"/>
                <w:szCs w:val="18"/>
              </w:rPr>
            </w:pPr>
          </w:p>
        </w:tc>
        <w:tc>
          <w:tcPr>
            <w:tcW w:w="1076"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color w:val="000000"/>
                <w:kern w:val="0"/>
                <w:sz w:val="18"/>
                <w:szCs w:val="18"/>
              </w:rPr>
              <w:t>　</w:t>
            </w:r>
          </w:p>
        </w:tc>
        <w:tc>
          <w:tcPr>
            <w:tcW w:w="3612" w:type="dxa"/>
            <w:tcBorders>
              <w:top w:val="single" w:color="auto" w:sz="4" w:space="0"/>
              <w:left w:val="single" w:color="auto" w:sz="4" w:space="0"/>
              <w:bottom w:val="single" w:color="auto" w:sz="4" w:space="0"/>
              <w:right w:val="single" w:color="auto" w:sz="4"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638" w:type="dxa"/>
            <w:tcBorders>
              <w:top w:val="single" w:color="auto" w:sz="4" w:space="0"/>
              <w:left w:val="single" w:color="auto" w:sz="4" w:space="0"/>
              <w:bottom w:val="single" w:color="auto" w:sz="4" w:space="0"/>
              <w:right w:val="single" w:color="auto" w:sz="4" w:space="0"/>
            </w:tcBorders>
            <w:noWrap/>
            <w:vAlign w:val="center"/>
          </w:tcPr>
          <w:p>
            <w:pPr>
              <w:widowControl/>
              <w:rPr>
                <w:rFonts w:hint="default" w:ascii="仿宋_GB2312" w:hAnsi="宋体" w:eastAsia="仿宋_GB2312" w:cs="宋体"/>
                <w:color w:val="000000"/>
                <w:kern w:val="0"/>
                <w:sz w:val="18"/>
                <w:szCs w:val="18"/>
                <w:lang w:val="en-US" w:eastAsia="zh-CN"/>
              </w:rPr>
            </w:pPr>
          </w:p>
        </w:tc>
      </w:tr>
      <w:tr>
        <w:tblPrEx>
          <w:tblCellMar>
            <w:top w:w="0" w:type="dxa"/>
            <w:left w:w="108" w:type="dxa"/>
            <w:bottom w:w="0" w:type="dxa"/>
            <w:right w:w="108" w:type="dxa"/>
          </w:tblCellMar>
        </w:tblPrEx>
        <w:trPr>
          <w:trHeight w:val="255" w:hRule="exact"/>
        </w:trPr>
        <w:tc>
          <w:tcPr>
            <w:tcW w:w="1149" w:type="dxa"/>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color w:val="000000"/>
                <w:kern w:val="0"/>
                <w:sz w:val="18"/>
                <w:szCs w:val="18"/>
              </w:rPr>
              <w:t>　</w:t>
            </w:r>
          </w:p>
        </w:tc>
        <w:tc>
          <w:tcPr>
            <w:tcW w:w="1167"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color w:val="000000"/>
                <w:kern w:val="0"/>
                <w:sz w:val="18"/>
                <w:szCs w:val="18"/>
              </w:rPr>
              <w:t>　</w:t>
            </w:r>
          </w:p>
        </w:tc>
        <w:tc>
          <w:tcPr>
            <w:tcW w:w="799" w:type="dxa"/>
            <w:tcBorders>
              <w:top w:val="single" w:color="auto" w:sz="4" w:space="0"/>
              <w:left w:val="single" w:color="auto" w:sz="4" w:space="0"/>
              <w:bottom w:val="single" w:color="auto" w:sz="4" w:space="0"/>
              <w:right w:val="single" w:color="auto" w:sz="4"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single" w:color="auto" w:sz="4" w:space="0"/>
              <w:left w:val="single" w:color="auto" w:sz="4" w:space="0"/>
              <w:bottom w:val="single" w:color="auto" w:sz="4" w:space="0"/>
              <w:right w:val="single" w:color="auto" w:sz="4"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其他商品和服务支出</w:t>
            </w:r>
          </w:p>
        </w:tc>
        <w:tc>
          <w:tcPr>
            <w:tcW w:w="856" w:type="dxa"/>
            <w:tcBorders>
              <w:top w:val="single" w:color="auto" w:sz="4" w:space="0"/>
              <w:left w:val="single" w:color="auto" w:sz="4" w:space="0"/>
              <w:bottom w:val="single" w:color="auto" w:sz="4" w:space="0"/>
              <w:right w:val="single" w:color="auto" w:sz="4" w:space="0"/>
            </w:tcBorders>
            <w:noWrap/>
            <w:vAlign w:val="top"/>
          </w:tcPr>
          <w:p>
            <w:pPr>
              <w:widowControl/>
              <w:jc w:val="center"/>
              <w:rPr>
                <w:rFonts w:hint="default" w:eastAsia="宋体"/>
                <w:color w:val="000000"/>
                <w:kern w:val="0"/>
                <w:sz w:val="18"/>
                <w:szCs w:val="18"/>
                <w:lang w:val="en-US" w:eastAsia="zh-CN"/>
              </w:rPr>
            </w:pPr>
            <w:r>
              <w:rPr>
                <w:rFonts w:hint="eastAsia"/>
                <w:color w:val="000000"/>
                <w:kern w:val="0"/>
                <w:sz w:val="18"/>
                <w:szCs w:val="18"/>
                <w:lang w:val="en-US" w:eastAsia="zh-CN"/>
              </w:rPr>
              <w:t>1.04</w:t>
            </w:r>
          </w:p>
        </w:tc>
        <w:tc>
          <w:tcPr>
            <w:tcW w:w="1076" w:type="dxa"/>
            <w:tcBorders>
              <w:top w:val="single" w:color="auto" w:sz="4" w:space="0"/>
              <w:left w:val="single" w:color="auto" w:sz="4" w:space="0"/>
              <w:bottom w:val="single" w:color="auto" w:sz="4" w:space="0"/>
              <w:right w:val="single" w:color="auto" w:sz="4" w:space="0"/>
            </w:tcBorders>
            <w:noWrap/>
            <w:vAlign w:val="top"/>
          </w:tcPr>
          <w:p>
            <w:pPr>
              <w:widowControl/>
              <w:rPr>
                <w:color w:val="000000"/>
                <w:kern w:val="0"/>
                <w:sz w:val="18"/>
                <w:szCs w:val="18"/>
              </w:rPr>
            </w:pPr>
            <w:r>
              <w:rPr>
                <w:rFonts w:hint="eastAsia"/>
                <w:color w:val="000000"/>
                <w:kern w:val="0"/>
                <w:sz w:val="18"/>
                <w:szCs w:val="18"/>
              </w:rPr>
              <w:t>　</w:t>
            </w:r>
          </w:p>
        </w:tc>
        <w:tc>
          <w:tcPr>
            <w:tcW w:w="3612" w:type="dxa"/>
            <w:tcBorders>
              <w:top w:val="single" w:color="auto" w:sz="4" w:space="0"/>
              <w:left w:val="single" w:color="auto" w:sz="4" w:space="0"/>
              <w:bottom w:val="single" w:color="auto" w:sz="4" w:space="0"/>
              <w:right w:val="single" w:color="auto" w:sz="4" w:space="0"/>
            </w:tcBorders>
            <w:noWrap/>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638" w:type="dxa"/>
            <w:tcBorders>
              <w:top w:val="single" w:color="auto" w:sz="4" w:space="0"/>
              <w:left w:val="single" w:color="auto" w:sz="4" w:space="0"/>
              <w:bottom w:val="single" w:color="auto" w:sz="4" w:space="0"/>
              <w:right w:val="single" w:color="auto" w:sz="4" w:space="0"/>
            </w:tcBorders>
            <w:noWrap/>
            <w:vAlign w:val="center"/>
          </w:tcPr>
          <w:p>
            <w:pPr>
              <w:widowControl/>
              <w:rPr>
                <w:rFonts w:hint="default" w:ascii="仿宋_GB2312" w:hAnsi="宋体" w:eastAsia="仿宋_GB2312" w:cs="宋体"/>
                <w:color w:val="000000"/>
                <w:kern w:val="0"/>
                <w:sz w:val="18"/>
                <w:szCs w:val="18"/>
                <w:lang w:val="en-US" w:eastAsia="zh-CN"/>
              </w:rPr>
            </w:pPr>
          </w:p>
        </w:tc>
      </w:tr>
      <w:tr>
        <w:tblPrEx>
          <w:tblCellMar>
            <w:top w:w="0" w:type="dxa"/>
            <w:left w:w="108" w:type="dxa"/>
            <w:bottom w:w="0" w:type="dxa"/>
            <w:right w:w="108" w:type="dxa"/>
          </w:tblCellMar>
        </w:tblPrEx>
        <w:trPr>
          <w:trHeight w:val="255" w:hRule="exact"/>
        </w:trPr>
        <w:tc>
          <w:tcPr>
            <w:tcW w:w="4455" w:type="dxa"/>
            <w:gridSpan w:val="2"/>
            <w:tcBorders>
              <w:top w:val="single" w:color="auto" w:sz="4" w:space="0"/>
              <w:left w:val="single" w:color="auto" w:sz="4" w:space="0"/>
              <w:bottom w:val="single" w:color="auto" w:sz="4" w:space="0"/>
              <w:right w:val="single" w:color="auto" w:sz="4" w:space="0"/>
            </w:tcBorders>
            <w:noWrap/>
            <w:vAlign w:val="to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116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eastAsia="宋体"/>
                <w:color w:val="000000"/>
                <w:kern w:val="0"/>
                <w:sz w:val="18"/>
                <w:szCs w:val="18"/>
                <w:lang w:val="en-US" w:eastAsia="zh-CN"/>
              </w:rPr>
            </w:pPr>
            <w:r>
              <w:rPr>
                <w:rFonts w:hint="eastAsia"/>
                <w:color w:val="000000"/>
                <w:kern w:val="0"/>
                <w:sz w:val="18"/>
                <w:szCs w:val="18"/>
                <w:lang w:val="en-US" w:eastAsia="zh-CN"/>
              </w:rPr>
              <w:t>297.01</w:t>
            </w:r>
          </w:p>
        </w:tc>
        <w:tc>
          <w:tcPr>
            <w:tcW w:w="8640" w:type="dxa"/>
            <w:gridSpan w:val="5"/>
            <w:tcBorders>
              <w:top w:val="single" w:color="auto" w:sz="4" w:space="0"/>
              <w:left w:val="single" w:color="auto" w:sz="4" w:space="0"/>
              <w:bottom w:val="single" w:color="auto" w:sz="4" w:space="0"/>
              <w:right w:val="single" w:color="auto" w:sz="4" w:space="0"/>
            </w:tcBorders>
            <w:noWrap/>
            <w:vAlign w:val="to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1638" w:type="dxa"/>
            <w:tcBorders>
              <w:top w:val="single" w:color="auto" w:sz="4" w:space="0"/>
              <w:left w:val="single" w:color="auto" w:sz="4" w:space="0"/>
              <w:bottom w:val="single" w:color="auto" w:sz="4" w:space="0"/>
              <w:right w:val="single" w:color="auto" w:sz="4" w:space="0"/>
            </w:tcBorders>
            <w:noWrap w:val="0"/>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68.99</w:t>
            </w:r>
          </w:p>
        </w:tc>
      </w:tr>
    </w:tbl>
    <w:p>
      <w:pPr>
        <w:widowControl/>
        <w:jc w:val="left"/>
        <w:rPr>
          <w:rFonts w:hint="eastAsia" w:ascii="楷体_GB2312" w:hAnsi="黑体" w:eastAsia="楷体_GB2312"/>
          <w:szCs w:val="21"/>
        </w:rPr>
      </w:pPr>
      <w:r>
        <w:rPr>
          <w:rFonts w:hint="eastAsia" w:ascii="楷体_GB2312" w:hAnsi="黑体" w:eastAsia="楷体_GB2312"/>
          <w:szCs w:val="21"/>
        </w:rPr>
        <w:t>注：本表反映部门年度一般公共预算财政拨款基本支出明细情况。</w:t>
      </w:r>
      <w:r>
        <w:rPr>
          <w:rFonts w:hint="eastAsia" w:ascii="楷体_GB2312" w:hAnsi="黑体" w:eastAsia="楷体_GB2312"/>
          <w:szCs w:val="21"/>
        </w:rPr>
        <w:br w:type="page"/>
      </w:r>
    </w:p>
    <w:tbl>
      <w:tblPr>
        <w:tblStyle w:val="8"/>
        <w:tblpPr w:leftFromText="180" w:rightFromText="180" w:vertAnchor="text" w:horzAnchor="page" w:tblpX="1216" w:tblpY="555"/>
        <w:tblOverlap w:val="never"/>
        <w:tblW w:w="14584" w:type="dxa"/>
        <w:tblInd w:w="0" w:type="dxa"/>
        <w:tblLayout w:type="fixed"/>
        <w:tblCellMar>
          <w:top w:w="0" w:type="dxa"/>
          <w:left w:w="108" w:type="dxa"/>
          <w:bottom w:w="0" w:type="dxa"/>
          <w:right w:w="108" w:type="dxa"/>
        </w:tblCellMar>
      </w:tblPr>
      <w:tblGrid>
        <w:gridCol w:w="788"/>
        <w:gridCol w:w="650"/>
        <w:gridCol w:w="3574"/>
        <w:gridCol w:w="1362"/>
        <w:gridCol w:w="2912"/>
        <w:gridCol w:w="5298"/>
      </w:tblGrid>
      <w:tr>
        <w:tblPrEx>
          <w:tblCellMar>
            <w:top w:w="0" w:type="dxa"/>
            <w:left w:w="108" w:type="dxa"/>
            <w:bottom w:w="0" w:type="dxa"/>
            <w:right w:w="108" w:type="dxa"/>
          </w:tblCellMar>
        </w:tblPrEx>
        <w:trPr>
          <w:trHeight w:val="1431" w:hRule="atLeast"/>
        </w:trPr>
        <w:tc>
          <w:tcPr>
            <w:tcW w:w="14584" w:type="dxa"/>
            <w:gridSpan w:val="6"/>
            <w:tcBorders>
              <w:top w:val="nil"/>
              <w:left w:val="nil"/>
              <w:bottom w:val="nil"/>
              <w:right w:val="nil"/>
            </w:tcBorders>
            <w:noWrap w:val="0"/>
            <w:vAlign w:val="center"/>
          </w:tcPr>
          <w:p>
            <w:pPr>
              <w:widowControl/>
              <w:jc w:val="center"/>
              <w:rPr>
                <w:rFonts w:ascii="华文中宋" w:hAnsi="华文中宋" w:eastAsia="华文中宋" w:cs="宋体"/>
                <w:kern w:val="0"/>
                <w:sz w:val="32"/>
                <w:szCs w:val="32"/>
              </w:rPr>
            </w:pPr>
            <w:r>
              <w:rPr>
                <w:rFonts w:hint="eastAsia" w:ascii="黑体" w:hAnsi="黑体" w:eastAsia="黑体" w:cs="黑体"/>
                <w:color w:val="000000"/>
                <w:kern w:val="0"/>
                <w:sz w:val="36"/>
                <w:szCs w:val="36"/>
              </w:rPr>
              <w:t>一般公共预算财政拨款“三公”经费支出决算表</w:t>
            </w:r>
          </w:p>
        </w:tc>
      </w:tr>
      <w:tr>
        <w:tblPrEx>
          <w:tblCellMar>
            <w:top w:w="0" w:type="dxa"/>
            <w:left w:w="108" w:type="dxa"/>
            <w:bottom w:w="0" w:type="dxa"/>
            <w:right w:w="108" w:type="dxa"/>
          </w:tblCellMar>
        </w:tblPrEx>
        <w:trPr>
          <w:trHeight w:val="357" w:hRule="atLeast"/>
        </w:trPr>
        <w:tc>
          <w:tcPr>
            <w:tcW w:w="788"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50"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74"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2"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12" w:type="dxa"/>
            <w:tcBorders>
              <w:top w:val="nil"/>
              <w:left w:val="nil"/>
              <w:bottom w:val="nil"/>
              <w:right w:val="nil"/>
            </w:tcBorders>
            <w:noWrap w:val="0"/>
            <w:vAlign w:val="center"/>
          </w:tcPr>
          <w:p>
            <w:pPr>
              <w:widowControl/>
              <w:jc w:val="right"/>
              <w:rPr>
                <w:rFonts w:hint="eastAsia" w:ascii="宋体" w:hAnsi="宋体" w:eastAsia="宋体" w:cs="宋体"/>
                <w:kern w:val="0"/>
                <w:sz w:val="20"/>
                <w:szCs w:val="20"/>
              </w:rPr>
            </w:pPr>
          </w:p>
        </w:tc>
        <w:tc>
          <w:tcPr>
            <w:tcW w:w="5298" w:type="dxa"/>
            <w:tcBorders>
              <w:top w:val="nil"/>
              <w:left w:val="nil"/>
              <w:bottom w:val="nil"/>
              <w:right w:val="nil"/>
            </w:tcBorders>
            <w:noWrap/>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07</w:t>
            </w:r>
            <w:r>
              <w:rPr>
                <w:rFonts w:hint="eastAsia" w:eastAsia="仿宋_GB2312"/>
                <w:color w:val="000000"/>
                <w:kern w:val="0"/>
                <w:szCs w:val="21"/>
              </w:rPr>
              <w:t>表</w:t>
            </w:r>
          </w:p>
        </w:tc>
      </w:tr>
      <w:tr>
        <w:tblPrEx>
          <w:tblCellMar>
            <w:top w:w="0" w:type="dxa"/>
            <w:left w:w="108" w:type="dxa"/>
            <w:bottom w:w="0" w:type="dxa"/>
            <w:right w:w="108" w:type="dxa"/>
          </w:tblCellMar>
        </w:tblPrEx>
        <w:trPr>
          <w:trHeight w:val="357" w:hRule="atLeast"/>
        </w:trPr>
        <w:tc>
          <w:tcPr>
            <w:tcW w:w="788" w:type="dxa"/>
            <w:tcBorders>
              <w:top w:val="nil"/>
              <w:left w:val="nil"/>
              <w:bottom w:val="nil"/>
              <w:right w:val="nil"/>
            </w:tcBorders>
            <w:noWrap/>
            <w:vAlign w:val="center"/>
          </w:tcPr>
          <w:p>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224" w:type="dxa"/>
            <w:gridSpan w:val="2"/>
            <w:tcBorders>
              <w:top w:val="nil"/>
              <w:left w:val="nil"/>
              <w:bottom w:val="nil"/>
              <w:right w:val="nil"/>
            </w:tcBorders>
            <w:noWrap w:val="0"/>
            <w:vAlign w:val="center"/>
          </w:tcPr>
          <w:p>
            <w:pPr>
              <w:widowControl/>
              <w:jc w:val="both"/>
              <w:rPr>
                <w:rFonts w:hint="eastAsia" w:ascii="宋体" w:hAnsi="宋体" w:eastAsia="宋体" w:cs="宋体"/>
                <w:kern w:val="0"/>
                <w:sz w:val="20"/>
                <w:szCs w:val="20"/>
              </w:rPr>
            </w:pPr>
            <w:r>
              <w:rPr>
                <w:rFonts w:hint="eastAsia" w:ascii="宋体" w:hAnsi="宋体" w:cs="宋体"/>
                <w:kern w:val="0"/>
                <w:sz w:val="20"/>
                <w:szCs w:val="20"/>
                <w:lang w:eastAsia="zh-CN"/>
              </w:rPr>
              <w:t>蓝山县教师进修学校</w:t>
            </w:r>
          </w:p>
        </w:tc>
        <w:tc>
          <w:tcPr>
            <w:tcW w:w="1362"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12"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98" w:type="dxa"/>
            <w:tcBorders>
              <w:top w:val="nil"/>
              <w:left w:val="nil"/>
              <w:bottom w:val="nil"/>
              <w:right w:val="nil"/>
            </w:tcBorders>
            <w:noWrap/>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pPr>
        <w:widowControl/>
        <w:jc w:val="left"/>
        <w:rPr>
          <w:rFonts w:hint="eastAsia" w:eastAsia="仿宋_GB2312"/>
          <w:color w:val="000000"/>
          <w:kern w:val="0"/>
          <w:szCs w:val="21"/>
          <w:lang w:eastAsia="zh-CN"/>
        </w:rPr>
      </w:pPr>
    </w:p>
    <w:tbl>
      <w:tblPr>
        <w:tblStyle w:val="8"/>
        <w:tblW w:w="14640" w:type="dxa"/>
        <w:jc w:val="center"/>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4" w:space="0"/>
              <w:bottom w:val="single" w:color="auto"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预算数</w:t>
            </w:r>
          </w:p>
        </w:tc>
        <w:tc>
          <w:tcPr>
            <w:tcW w:w="7320" w:type="dxa"/>
            <w:gridSpan w:val="6"/>
            <w:tcBorders>
              <w:top w:val="single" w:color="auto" w:sz="8" w:space="0"/>
              <w:left w:val="single" w:color="auto" w:sz="4" w:space="0"/>
              <w:bottom w:val="single" w:color="auto"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合计</w:t>
            </w:r>
          </w:p>
        </w:tc>
        <w:tc>
          <w:tcPr>
            <w:tcW w:w="12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因公出国（境）费</w:t>
            </w:r>
          </w:p>
        </w:tc>
        <w:tc>
          <w:tcPr>
            <w:tcW w:w="366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公务用车购置及运行费</w:t>
            </w:r>
          </w:p>
        </w:tc>
        <w:tc>
          <w:tcPr>
            <w:tcW w:w="12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公务</w:t>
            </w:r>
          </w:p>
          <w:p>
            <w:pPr>
              <w:widowControl/>
              <w:jc w:val="center"/>
              <w:rPr>
                <w:rFonts w:eastAsia="仿宋_GB2312"/>
                <w:b/>
                <w:bCs/>
                <w:kern w:val="0"/>
                <w:szCs w:val="21"/>
              </w:rPr>
            </w:pPr>
            <w:r>
              <w:rPr>
                <w:rFonts w:hint="eastAsia" w:eastAsia="仿宋_GB2312"/>
                <w:b/>
                <w:bCs/>
                <w:kern w:val="0"/>
                <w:szCs w:val="21"/>
              </w:rPr>
              <w:t>接待费</w:t>
            </w:r>
          </w:p>
        </w:tc>
        <w:tc>
          <w:tcPr>
            <w:tcW w:w="12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合计</w:t>
            </w:r>
          </w:p>
        </w:tc>
        <w:tc>
          <w:tcPr>
            <w:tcW w:w="12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因公出国（境）费</w:t>
            </w:r>
          </w:p>
        </w:tc>
        <w:tc>
          <w:tcPr>
            <w:tcW w:w="366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公务用车购置及运行费</w:t>
            </w:r>
          </w:p>
        </w:tc>
        <w:tc>
          <w:tcPr>
            <w:tcW w:w="12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公务</w:t>
            </w:r>
          </w:p>
          <w:p>
            <w:pPr>
              <w:widowControl/>
              <w:jc w:val="center"/>
              <w:rPr>
                <w:rFonts w:eastAsia="仿宋_GB2312"/>
                <w:b/>
                <w:bCs/>
                <w:kern w:val="0"/>
                <w:szCs w:val="21"/>
              </w:rPr>
            </w:pPr>
            <w:r>
              <w:rPr>
                <w:rFonts w:hint="eastAsia" w:eastAsia="仿宋_GB2312"/>
                <w:b/>
                <w:bCs/>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2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小计</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公务用车</w:t>
            </w:r>
            <w:r>
              <w:rPr>
                <w:rFonts w:eastAsia="仿宋_GB2312"/>
                <w:b/>
                <w:bCs/>
                <w:kern w:val="0"/>
                <w:szCs w:val="21"/>
              </w:rPr>
              <w:br w:type="textWrapping"/>
            </w:r>
            <w:r>
              <w:rPr>
                <w:rFonts w:hint="eastAsia" w:eastAsia="仿宋_GB2312"/>
                <w:b/>
                <w:bCs/>
                <w:kern w:val="0"/>
                <w:szCs w:val="21"/>
              </w:rPr>
              <w:t>购置费</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公务用车</w:t>
            </w:r>
            <w:r>
              <w:rPr>
                <w:rFonts w:eastAsia="仿宋_GB2312"/>
                <w:b/>
                <w:bCs/>
                <w:kern w:val="0"/>
                <w:szCs w:val="21"/>
              </w:rPr>
              <w:br w:type="textWrapping"/>
            </w:r>
            <w:r>
              <w:rPr>
                <w:rFonts w:hint="eastAsia" w:eastAsia="仿宋_GB2312"/>
                <w:b/>
                <w:bCs/>
                <w:kern w:val="0"/>
                <w:szCs w:val="21"/>
              </w:rPr>
              <w:t>运行费</w:t>
            </w:r>
          </w:p>
        </w:tc>
        <w:tc>
          <w:tcPr>
            <w:tcW w:w="12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2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2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小计</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公务用车</w:t>
            </w:r>
            <w:r>
              <w:rPr>
                <w:rFonts w:eastAsia="仿宋_GB2312"/>
                <w:b/>
                <w:bCs/>
                <w:kern w:val="0"/>
                <w:szCs w:val="21"/>
              </w:rPr>
              <w:br w:type="textWrapping"/>
            </w:r>
            <w:r>
              <w:rPr>
                <w:rFonts w:hint="eastAsia" w:eastAsia="仿宋_GB2312"/>
                <w:b/>
                <w:bCs/>
                <w:kern w:val="0"/>
                <w:szCs w:val="21"/>
              </w:rPr>
              <w:t>购置费</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b/>
                <w:bCs/>
                <w:kern w:val="0"/>
                <w:szCs w:val="21"/>
              </w:rPr>
            </w:pPr>
            <w:r>
              <w:rPr>
                <w:rFonts w:hint="eastAsia" w:eastAsia="仿宋_GB2312"/>
                <w:b/>
                <w:bCs/>
                <w:kern w:val="0"/>
                <w:szCs w:val="21"/>
              </w:rPr>
              <w:t>公务用车</w:t>
            </w:r>
            <w:r>
              <w:rPr>
                <w:rFonts w:eastAsia="仿宋_GB2312"/>
                <w:b/>
                <w:bCs/>
                <w:kern w:val="0"/>
                <w:szCs w:val="21"/>
              </w:rPr>
              <w:br w:type="textWrapping"/>
            </w:r>
            <w:r>
              <w:rPr>
                <w:rFonts w:hint="eastAsia" w:eastAsia="仿宋_GB2312"/>
                <w:b/>
                <w:bCs/>
                <w:kern w:val="0"/>
                <w:szCs w:val="21"/>
              </w:rPr>
              <w:t>运行费</w:t>
            </w:r>
          </w:p>
        </w:tc>
        <w:tc>
          <w:tcPr>
            <w:tcW w:w="12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1</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2</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3</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5</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6</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7</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8</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9</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10</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11</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0.6</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kern w:val="0"/>
                <w:szCs w:val="21"/>
                <w:lang w:val="en-US"/>
              </w:rPr>
            </w:pPr>
            <w:r>
              <w:rPr>
                <w:rFonts w:hint="eastAsia" w:eastAsia="仿宋_GB2312"/>
                <w:kern w:val="0"/>
                <w:szCs w:val="21"/>
                <w:lang w:val="en-US" w:eastAsia="zh-CN"/>
              </w:rPr>
              <w:t>0</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0.6</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0.51</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kern w:val="0"/>
                <w:szCs w:val="21"/>
                <w:lang w:val="en-US" w:eastAsia="zh-CN"/>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0.51</w:t>
            </w:r>
          </w:p>
        </w:tc>
      </w:tr>
    </w:tbl>
    <w:p>
      <w:pPr>
        <w:autoSpaceDE w:val="0"/>
        <w:autoSpaceDN w:val="0"/>
        <w:adjustRightInd w:val="0"/>
        <w:ind w:left="315" w:leftChars="150"/>
        <w:jc w:val="left"/>
        <w:rPr>
          <w:rFonts w:hint="eastAsia" w:ascii="楷体_GB2312" w:hAnsi="Calibri" w:eastAsia="楷体_GB2312" w:cs="宋体"/>
          <w:kern w:val="0"/>
          <w:sz w:val="24"/>
        </w:rPr>
      </w:pPr>
      <w:r>
        <w:rPr>
          <w:rFonts w:hint="eastAsia" w:ascii="楷体_GB2312" w:eastAsia="楷体_GB2312" w:cs="宋体"/>
          <w:kern w:val="0"/>
          <w:sz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hint="eastAsia" w:ascii="宋体" w:cs="宋体"/>
          <w:kern w:val="0"/>
          <w:sz w:val="24"/>
        </w:rPr>
      </w:pPr>
      <w:r>
        <w:rPr>
          <w:rFonts w:hint="eastAsia" w:ascii="宋体" w:cs="宋体"/>
          <w:kern w:val="0"/>
          <w:sz w:val="24"/>
        </w:rPr>
        <w:br w:type="page"/>
      </w:r>
    </w:p>
    <w:p>
      <w:pPr>
        <w:autoSpaceDE w:val="0"/>
        <w:autoSpaceDN w:val="0"/>
        <w:adjustRightInd w:val="0"/>
        <w:ind w:left="315" w:leftChars="150"/>
        <w:jc w:val="left"/>
        <w:rPr>
          <w:rFonts w:hint="eastAsia" w:ascii="宋体" w:cs="宋体"/>
          <w:kern w:val="0"/>
          <w:sz w:val="24"/>
        </w:rPr>
      </w:pPr>
    </w:p>
    <w:tbl>
      <w:tblPr>
        <w:tblStyle w:val="8"/>
        <w:tblpPr w:leftFromText="180" w:rightFromText="180" w:vertAnchor="text" w:horzAnchor="page" w:tblpX="1340" w:tblpY="555"/>
        <w:tblOverlap w:val="never"/>
        <w:tblW w:w="14420" w:type="dxa"/>
        <w:tblInd w:w="0" w:type="dxa"/>
        <w:tblLayout w:type="fixed"/>
        <w:tblCellMar>
          <w:top w:w="0" w:type="dxa"/>
          <w:left w:w="108" w:type="dxa"/>
          <w:bottom w:w="0" w:type="dxa"/>
          <w:right w:w="108" w:type="dxa"/>
        </w:tblCellMar>
      </w:tblPr>
      <w:tblGrid>
        <w:gridCol w:w="895"/>
        <w:gridCol w:w="416"/>
        <w:gridCol w:w="3565"/>
        <w:gridCol w:w="1359"/>
        <w:gridCol w:w="2904"/>
        <w:gridCol w:w="5281"/>
      </w:tblGrid>
      <w:tr>
        <w:tblPrEx>
          <w:tblCellMar>
            <w:top w:w="0" w:type="dxa"/>
            <w:left w:w="108" w:type="dxa"/>
            <w:bottom w:w="0" w:type="dxa"/>
            <w:right w:w="108" w:type="dxa"/>
          </w:tblCellMar>
        </w:tblPrEx>
        <w:trPr>
          <w:trHeight w:val="1423" w:hRule="atLeast"/>
        </w:trPr>
        <w:tc>
          <w:tcPr>
            <w:tcW w:w="14420" w:type="dxa"/>
            <w:gridSpan w:val="6"/>
            <w:tcBorders>
              <w:top w:val="nil"/>
              <w:left w:val="nil"/>
              <w:bottom w:val="nil"/>
              <w:right w:val="nil"/>
            </w:tcBorders>
            <w:noWrap w:val="0"/>
            <w:vAlign w:val="center"/>
          </w:tcPr>
          <w:p>
            <w:pPr>
              <w:widowControl/>
              <w:jc w:val="center"/>
              <w:rPr>
                <w:rFonts w:hint="eastAsia" w:ascii="黑体" w:hAnsi="黑体" w:eastAsia="黑体" w:cs="黑体"/>
                <w:kern w:val="0"/>
                <w:sz w:val="36"/>
                <w:szCs w:val="36"/>
              </w:rPr>
            </w:pPr>
            <w:r>
              <w:rPr>
                <w:rFonts w:hint="eastAsia" w:ascii="黑体" w:hAnsi="黑体" w:eastAsia="黑体" w:cs="黑体"/>
                <w:kern w:val="0"/>
                <w:sz w:val="36"/>
                <w:szCs w:val="36"/>
              </w:rPr>
              <w:t>政府性基金预算财政拨款收支决算表</w:t>
            </w:r>
          </w:p>
          <w:p>
            <w:pPr>
              <w:widowControl/>
              <w:jc w:val="center"/>
              <w:rPr>
                <w:rFonts w:ascii="华文中宋" w:hAnsi="华文中宋" w:eastAsia="华文中宋" w:cs="宋体"/>
                <w:kern w:val="0"/>
                <w:sz w:val="32"/>
                <w:szCs w:val="32"/>
              </w:rPr>
            </w:pPr>
          </w:p>
        </w:tc>
      </w:tr>
      <w:tr>
        <w:tblPrEx>
          <w:tblCellMar>
            <w:top w:w="0" w:type="dxa"/>
            <w:left w:w="108" w:type="dxa"/>
            <w:bottom w:w="0" w:type="dxa"/>
            <w:right w:w="108" w:type="dxa"/>
          </w:tblCellMar>
        </w:tblPrEx>
        <w:trPr>
          <w:trHeight w:val="355" w:hRule="atLeast"/>
        </w:trPr>
        <w:tc>
          <w:tcPr>
            <w:tcW w:w="895"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16"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65"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59"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04"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81" w:type="dxa"/>
            <w:tcBorders>
              <w:top w:val="nil"/>
              <w:left w:val="nil"/>
              <w:bottom w:val="nil"/>
              <w:right w:val="nil"/>
            </w:tcBorders>
            <w:noWrap/>
            <w:vAlign w:val="center"/>
          </w:tcPr>
          <w:p>
            <w:pPr>
              <w:widowControl/>
              <w:wordWrap w:val="0"/>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08</w:t>
            </w:r>
            <w:r>
              <w:rPr>
                <w:rFonts w:hint="eastAsia" w:eastAsia="仿宋_GB2312"/>
                <w:color w:val="000000"/>
                <w:kern w:val="0"/>
                <w:szCs w:val="21"/>
              </w:rPr>
              <w:t>表</w:t>
            </w:r>
          </w:p>
        </w:tc>
      </w:tr>
      <w:tr>
        <w:tblPrEx>
          <w:tblCellMar>
            <w:top w:w="0" w:type="dxa"/>
            <w:left w:w="108" w:type="dxa"/>
            <w:bottom w:w="0" w:type="dxa"/>
            <w:right w:w="108" w:type="dxa"/>
          </w:tblCellMar>
        </w:tblPrEx>
        <w:trPr>
          <w:trHeight w:val="355" w:hRule="atLeast"/>
        </w:trPr>
        <w:tc>
          <w:tcPr>
            <w:tcW w:w="895" w:type="dxa"/>
            <w:tcBorders>
              <w:top w:val="nil"/>
              <w:left w:val="nil"/>
              <w:bottom w:val="nil"/>
              <w:right w:val="nil"/>
            </w:tcBorders>
            <w:noWrap/>
            <w:vAlign w:val="center"/>
          </w:tcPr>
          <w:p>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3981" w:type="dxa"/>
            <w:gridSpan w:val="2"/>
            <w:tcBorders>
              <w:top w:val="nil"/>
              <w:left w:val="nil"/>
              <w:bottom w:val="nil"/>
              <w:right w:val="nil"/>
            </w:tcBorders>
            <w:noWrap w:val="0"/>
            <w:vAlign w:val="center"/>
          </w:tcPr>
          <w:p>
            <w:pPr>
              <w:widowControl/>
              <w:jc w:val="both"/>
              <w:rPr>
                <w:rFonts w:hint="eastAsia" w:ascii="宋体" w:hAnsi="宋体" w:eastAsia="宋体" w:cs="宋体"/>
                <w:kern w:val="0"/>
                <w:sz w:val="20"/>
                <w:szCs w:val="20"/>
              </w:rPr>
            </w:pPr>
            <w:r>
              <w:rPr>
                <w:rFonts w:hint="eastAsia" w:ascii="宋体" w:hAnsi="宋体" w:cs="宋体"/>
                <w:kern w:val="0"/>
                <w:sz w:val="20"/>
                <w:szCs w:val="20"/>
                <w:lang w:eastAsia="zh-CN"/>
              </w:rPr>
              <w:t>蓝山县教师进修学校</w:t>
            </w:r>
          </w:p>
        </w:tc>
        <w:tc>
          <w:tcPr>
            <w:tcW w:w="1359"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04"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81" w:type="dxa"/>
            <w:tcBorders>
              <w:top w:val="nil"/>
              <w:left w:val="nil"/>
              <w:bottom w:val="nil"/>
              <w:right w:val="nil"/>
            </w:tcBorders>
            <w:noWrap/>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pPr>
        <w:widowControl/>
        <w:wordWrap w:val="0"/>
        <w:jc w:val="right"/>
        <w:rPr>
          <w:rFonts w:hint="eastAsia" w:eastAsia="仿宋_GB2312"/>
          <w:color w:val="000000"/>
          <w:kern w:val="0"/>
          <w:szCs w:val="21"/>
          <w:lang w:eastAsia="zh-CN"/>
        </w:rPr>
      </w:pPr>
    </w:p>
    <w:tbl>
      <w:tblPr>
        <w:tblStyle w:val="8"/>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b/>
                <w:kern w:val="0"/>
                <w:szCs w:val="21"/>
              </w:rPr>
            </w:pPr>
            <w:r>
              <w:rPr>
                <w:rFonts w:hint="eastAsia" w:eastAsia="仿宋_GB2312"/>
                <w:b/>
                <w:kern w:val="0"/>
                <w:szCs w:val="21"/>
              </w:rPr>
              <w:t>项目</w:t>
            </w:r>
          </w:p>
        </w:tc>
        <w:tc>
          <w:tcPr>
            <w:tcW w:w="20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b/>
                <w:kern w:val="0"/>
                <w:szCs w:val="21"/>
              </w:rPr>
            </w:pPr>
            <w:r>
              <w:rPr>
                <w:rFonts w:hint="eastAsia" w:eastAsia="仿宋_GB2312"/>
                <w:b/>
                <w:kern w:val="0"/>
                <w:szCs w:val="21"/>
              </w:rPr>
              <w:t>年初结转和结余</w:t>
            </w:r>
          </w:p>
        </w:tc>
        <w:tc>
          <w:tcPr>
            <w:tcW w:w="20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b/>
                <w:kern w:val="0"/>
                <w:szCs w:val="21"/>
              </w:rPr>
            </w:pPr>
            <w:r>
              <w:rPr>
                <w:rFonts w:hint="eastAsia" w:eastAsia="仿宋_GB2312"/>
                <w:b/>
                <w:kern w:val="0"/>
                <w:szCs w:val="21"/>
              </w:rPr>
              <w:t>本年收入</w:t>
            </w:r>
          </w:p>
        </w:tc>
        <w:tc>
          <w:tcPr>
            <w:tcW w:w="600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b/>
                <w:kern w:val="0"/>
                <w:szCs w:val="21"/>
              </w:rPr>
            </w:pPr>
            <w:r>
              <w:rPr>
                <w:rFonts w:hint="eastAsia" w:eastAsia="仿宋_GB2312"/>
                <w:b/>
                <w:kern w:val="0"/>
                <w:szCs w:val="21"/>
              </w:rPr>
              <w:t>本年支出</w:t>
            </w:r>
          </w:p>
        </w:tc>
        <w:tc>
          <w:tcPr>
            <w:tcW w:w="20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b/>
                <w:kern w:val="0"/>
                <w:szCs w:val="21"/>
              </w:rPr>
            </w:pPr>
            <w:r>
              <w:rPr>
                <w:rFonts w:hint="eastAsia" w:eastAsia="仿宋_GB2312"/>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b/>
                <w:kern w:val="0"/>
                <w:szCs w:val="21"/>
              </w:rPr>
            </w:pPr>
            <w:r>
              <w:rPr>
                <w:rFonts w:hint="eastAsia" w:eastAsia="仿宋_GB2312"/>
                <w:b/>
                <w:kern w:val="0"/>
                <w:szCs w:val="21"/>
              </w:rPr>
              <w:t>功能分类科目编码</w:t>
            </w:r>
          </w:p>
        </w:tc>
        <w:tc>
          <w:tcPr>
            <w:tcW w:w="13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b/>
                <w:kern w:val="0"/>
                <w:szCs w:val="21"/>
              </w:rPr>
            </w:pPr>
            <w:r>
              <w:rPr>
                <w:rFonts w:hint="eastAsia" w:eastAsia="仿宋_GB2312"/>
                <w:b/>
                <w:kern w:val="0"/>
                <w:szCs w:val="21"/>
              </w:rPr>
              <w:t>科目名称</w:t>
            </w:r>
          </w:p>
        </w:tc>
        <w:tc>
          <w:tcPr>
            <w:tcW w:w="20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b/>
                <w:kern w:val="0"/>
                <w:szCs w:val="21"/>
              </w:rPr>
            </w:pPr>
          </w:p>
        </w:tc>
        <w:tc>
          <w:tcPr>
            <w:tcW w:w="20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b/>
                <w:kern w:val="0"/>
                <w:szCs w:val="21"/>
              </w:rPr>
            </w:pPr>
          </w:p>
        </w:tc>
        <w:tc>
          <w:tcPr>
            <w:tcW w:w="20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b/>
                <w:kern w:val="0"/>
                <w:szCs w:val="21"/>
              </w:rPr>
            </w:pPr>
            <w:r>
              <w:rPr>
                <w:rFonts w:hint="eastAsia" w:eastAsia="仿宋_GB2312"/>
                <w:b/>
                <w:kern w:val="0"/>
                <w:szCs w:val="21"/>
              </w:rPr>
              <w:t>小计</w:t>
            </w:r>
          </w:p>
        </w:tc>
        <w:tc>
          <w:tcPr>
            <w:tcW w:w="20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仿宋_GB2312"/>
                <w:b/>
                <w:kern w:val="0"/>
                <w:szCs w:val="21"/>
                <w:lang w:eastAsia="zh-CN"/>
              </w:rPr>
            </w:pPr>
            <w:r>
              <w:rPr>
                <w:rFonts w:hint="eastAsia" w:eastAsia="仿宋_GB2312"/>
                <w:b/>
                <w:kern w:val="0"/>
                <w:szCs w:val="21"/>
              </w:rPr>
              <w:t>基本支出</w:t>
            </w:r>
          </w:p>
        </w:tc>
        <w:tc>
          <w:tcPr>
            <w:tcW w:w="20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b/>
                <w:kern w:val="0"/>
                <w:szCs w:val="21"/>
              </w:rPr>
            </w:pPr>
            <w:r>
              <w:rPr>
                <w:rFonts w:hint="eastAsia" w:eastAsia="仿宋_GB2312"/>
                <w:b/>
                <w:kern w:val="0"/>
                <w:szCs w:val="21"/>
              </w:rPr>
              <w:t>项目支出</w:t>
            </w:r>
          </w:p>
        </w:tc>
        <w:tc>
          <w:tcPr>
            <w:tcW w:w="20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b/>
                <w:kern w:val="0"/>
                <w:szCs w:val="21"/>
              </w:rPr>
            </w:pPr>
          </w:p>
        </w:tc>
        <w:tc>
          <w:tcPr>
            <w:tcW w:w="13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b/>
                <w:kern w:val="0"/>
                <w:szCs w:val="21"/>
              </w:rPr>
            </w:pPr>
          </w:p>
        </w:tc>
        <w:tc>
          <w:tcPr>
            <w:tcW w:w="20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b/>
                <w:kern w:val="0"/>
                <w:szCs w:val="21"/>
              </w:rPr>
            </w:pPr>
          </w:p>
        </w:tc>
        <w:tc>
          <w:tcPr>
            <w:tcW w:w="20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b/>
                <w:kern w:val="0"/>
                <w:szCs w:val="21"/>
              </w:rPr>
            </w:pPr>
          </w:p>
        </w:tc>
        <w:tc>
          <w:tcPr>
            <w:tcW w:w="20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b/>
                <w:kern w:val="0"/>
                <w:szCs w:val="21"/>
              </w:rPr>
            </w:pPr>
          </w:p>
        </w:tc>
        <w:tc>
          <w:tcPr>
            <w:tcW w:w="20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b/>
                <w:kern w:val="0"/>
                <w:szCs w:val="21"/>
              </w:rPr>
            </w:pPr>
          </w:p>
        </w:tc>
        <w:tc>
          <w:tcPr>
            <w:tcW w:w="20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b/>
                <w:kern w:val="0"/>
                <w:szCs w:val="21"/>
              </w:rPr>
            </w:pPr>
          </w:p>
        </w:tc>
        <w:tc>
          <w:tcPr>
            <w:tcW w:w="20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b/>
                <w:kern w:val="0"/>
                <w:szCs w:val="21"/>
              </w:rPr>
            </w:pPr>
          </w:p>
        </w:tc>
        <w:tc>
          <w:tcPr>
            <w:tcW w:w="13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b/>
                <w:kern w:val="0"/>
                <w:szCs w:val="21"/>
              </w:rPr>
            </w:pPr>
          </w:p>
        </w:tc>
        <w:tc>
          <w:tcPr>
            <w:tcW w:w="20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b/>
                <w:kern w:val="0"/>
                <w:szCs w:val="21"/>
              </w:rPr>
            </w:pPr>
          </w:p>
        </w:tc>
        <w:tc>
          <w:tcPr>
            <w:tcW w:w="20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b/>
                <w:kern w:val="0"/>
                <w:szCs w:val="21"/>
              </w:rPr>
            </w:pPr>
          </w:p>
        </w:tc>
        <w:tc>
          <w:tcPr>
            <w:tcW w:w="20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b/>
                <w:kern w:val="0"/>
                <w:szCs w:val="21"/>
              </w:rPr>
            </w:pPr>
          </w:p>
        </w:tc>
        <w:tc>
          <w:tcPr>
            <w:tcW w:w="20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b/>
                <w:kern w:val="0"/>
                <w:szCs w:val="21"/>
              </w:rPr>
            </w:pPr>
          </w:p>
        </w:tc>
        <w:tc>
          <w:tcPr>
            <w:tcW w:w="20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b/>
                <w:kern w:val="0"/>
                <w:szCs w:val="21"/>
              </w:rPr>
            </w:pPr>
          </w:p>
        </w:tc>
        <w:tc>
          <w:tcPr>
            <w:tcW w:w="20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栏次</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1</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2</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3</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5</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合计</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lang w:val="en-US" w:eastAsia="zh-CN"/>
              </w:rPr>
              <w:t>0</w:t>
            </w:r>
            <w:r>
              <w:rPr>
                <w:rFonts w:hint="eastAsia" w:eastAsia="仿宋_GB2312"/>
                <w:kern w:val="0"/>
                <w:szCs w:val="21"/>
              </w:rPr>
              <w:t>　</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0</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0</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0</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0</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　</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　</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　</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　</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　</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hint="eastAsia" w:eastAsia="仿宋_GB2312"/>
                <w:kern w:val="0"/>
                <w:szCs w:val="21"/>
              </w:rPr>
              <w:t>　</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hint="eastAsia" w:eastAsia="仿宋_GB2312"/>
                <w:kern w:val="0"/>
                <w:szCs w:val="21"/>
              </w:rPr>
              <w:t>　</w:t>
            </w:r>
          </w:p>
        </w:tc>
      </w:tr>
    </w:tbl>
    <w:p>
      <w:pPr>
        <w:widowControl/>
        <w:ind w:firstLine="420" w:firstLineChars="200"/>
        <w:jc w:val="left"/>
        <w:rPr>
          <w:rFonts w:eastAsia="仿宋_GB2312"/>
          <w:kern w:val="0"/>
          <w:szCs w:val="21"/>
        </w:rPr>
      </w:pPr>
      <w:r>
        <w:rPr>
          <w:rFonts w:hint="eastAsia" w:eastAsia="仿宋_GB2312"/>
          <w:kern w:val="0"/>
          <w:szCs w:val="21"/>
        </w:rPr>
        <w:t>注：本表反映部门本年度政府性基金预算财政拨款收入、支出及结转和结余情况</w:t>
      </w:r>
    </w:p>
    <w:p>
      <w:pPr>
        <w:widowControl/>
        <w:ind w:firstLine="400" w:firstLineChars="200"/>
        <w:jc w:val="left"/>
        <w:rPr>
          <w:rFonts w:hint="eastAsia" w:eastAsia="仿宋_GB2312"/>
          <w:kern w:val="0"/>
          <w:szCs w:val="21"/>
          <w:lang w:eastAsia="zh-CN"/>
        </w:rPr>
      </w:pPr>
      <w:r>
        <w:rPr>
          <w:rFonts w:hint="eastAsia" w:ascii="宋体" w:hAnsi="宋体" w:cs="宋体"/>
          <w:kern w:val="0"/>
          <w:sz w:val="20"/>
          <w:szCs w:val="20"/>
          <w:lang w:eastAsia="zh-CN"/>
        </w:rPr>
        <w:t>（蓝山县教师进修学校</w:t>
      </w:r>
      <w:r>
        <w:rPr>
          <w:rFonts w:hint="eastAsia" w:eastAsia="仿宋_GB2312"/>
          <w:kern w:val="0"/>
          <w:szCs w:val="21"/>
        </w:rPr>
        <w:t>没有政府性基金收入，也没有使用政府性基金安排的支出，故本表无数据。</w:t>
      </w:r>
      <w:r>
        <w:rPr>
          <w:rFonts w:hint="eastAsia" w:eastAsia="仿宋_GB2312"/>
          <w:kern w:val="0"/>
          <w:szCs w:val="21"/>
          <w:lang w:eastAsia="zh-CN"/>
        </w:rPr>
        <w:t>）</w:t>
      </w:r>
    </w:p>
    <w:p>
      <w:pPr>
        <w:widowControl/>
        <w:jc w:val="left"/>
        <w:rPr>
          <w:rFonts w:ascii="黑体" w:hAnsi="黑体" w:eastAsia="黑体"/>
          <w:szCs w:val="21"/>
        </w:rPr>
      </w:pPr>
      <w:r>
        <w:rPr>
          <w:rFonts w:hint="eastAsia" w:ascii="黑体" w:hAnsi="黑体" w:eastAsia="黑体"/>
          <w:kern w:val="0"/>
          <w:szCs w:val="21"/>
        </w:rPr>
        <w:br w:type="page"/>
      </w:r>
    </w:p>
    <w:p>
      <w:pPr>
        <w:widowControl/>
        <w:jc w:val="left"/>
        <w:rPr>
          <w:rFonts w:ascii="黑体" w:hAnsi="黑体" w:eastAsia="黑体"/>
          <w:szCs w:val="21"/>
        </w:rPr>
      </w:pPr>
    </w:p>
    <w:tbl>
      <w:tblPr>
        <w:tblStyle w:val="8"/>
        <w:tblW w:w="14442" w:type="dxa"/>
        <w:tblInd w:w="603" w:type="dxa"/>
        <w:tblLayout w:type="fixed"/>
        <w:tblCellMar>
          <w:top w:w="0" w:type="dxa"/>
          <w:left w:w="108" w:type="dxa"/>
          <w:bottom w:w="0" w:type="dxa"/>
          <w:right w:w="108" w:type="dxa"/>
        </w:tblCellMar>
      </w:tblPr>
      <w:tblGrid>
        <w:gridCol w:w="800"/>
        <w:gridCol w:w="372"/>
        <w:gridCol w:w="1078"/>
        <w:gridCol w:w="2109"/>
        <w:gridCol w:w="1215"/>
        <w:gridCol w:w="1668"/>
        <w:gridCol w:w="928"/>
        <w:gridCol w:w="2297"/>
        <w:gridCol w:w="3975"/>
      </w:tblGrid>
      <w:tr>
        <w:tblPrEx>
          <w:tblCellMar>
            <w:top w:w="0" w:type="dxa"/>
            <w:left w:w="108" w:type="dxa"/>
            <w:bottom w:w="0" w:type="dxa"/>
            <w:right w:w="108" w:type="dxa"/>
          </w:tblCellMar>
        </w:tblPrEx>
        <w:trPr>
          <w:trHeight w:val="720" w:hRule="atLeast"/>
        </w:trPr>
        <w:tc>
          <w:tcPr>
            <w:tcW w:w="14442" w:type="dxa"/>
            <w:gridSpan w:val="9"/>
            <w:tcBorders>
              <w:top w:val="nil"/>
              <w:left w:val="nil"/>
              <w:bottom w:val="nil"/>
              <w:right w:val="nil"/>
            </w:tcBorders>
            <w:noWrap w:val="0"/>
            <w:vAlign w:val="center"/>
          </w:tcPr>
          <w:p>
            <w:pPr>
              <w:widowControl/>
              <w:jc w:val="center"/>
              <w:rPr>
                <w:rFonts w:ascii="华文中宋" w:hAnsi="华文中宋" w:eastAsia="华文中宋" w:cs="宋体"/>
                <w:kern w:val="0"/>
                <w:sz w:val="32"/>
                <w:szCs w:val="32"/>
              </w:rPr>
            </w:pPr>
            <w:r>
              <w:rPr>
                <w:rFonts w:hint="eastAsia" w:ascii="黑体" w:hAnsi="黑体" w:eastAsia="黑体" w:cs="黑体"/>
                <w:color w:val="000000"/>
                <w:kern w:val="0"/>
                <w:sz w:val="36"/>
                <w:szCs w:val="36"/>
              </w:rPr>
              <w:t>国有资本经营预算财政拨款支出决算表</w:t>
            </w:r>
          </w:p>
        </w:tc>
      </w:tr>
      <w:tr>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72"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187" w:type="dxa"/>
            <w:gridSpan w:val="2"/>
            <w:tcBorders>
              <w:top w:val="nil"/>
              <w:left w:val="nil"/>
              <w:bottom w:val="nil"/>
              <w:right w:val="nil"/>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15"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596" w:type="dxa"/>
            <w:gridSpan w:val="2"/>
            <w:tcBorders>
              <w:top w:val="nil"/>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272" w:type="dxa"/>
            <w:gridSpan w:val="2"/>
            <w:tcBorders>
              <w:top w:val="nil"/>
              <w:left w:val="nil"/>
              <w:bottom w:val="nil"/>
              <w:right w:val="nil"/>
            </w:tcBorders>
            <w:noWrap/>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公开09表</w:t>
            </w:r>
          </w:p>
        </w:tc>
      </w:tr>
      <w:tr>
        <w:tblPrEx>
          <w:tblCellMar>
            <w:top w:w="0" w:type="dxa"/>
            <w:left w:w="108" w:type="dxa"/>
            <w:bottom w:w="0" w:type="dxa"/>
            <w:right w:w="108" w:type="dxa"/>
          </w:tblCellMar>
        </w:tblPrEx>
        <w:trPr>
          <w:trHeight w:val="285" w:hRule="atLeast"/>
        </w:trPr>
        <w:tc>
          <w:tcPr>
            <w:tcW w:w="800" w:type="dxa"/>
            <w:tcBorders>
              <w:top w:val="nil"/>
              <w:left w:val="nil"/>
              <w:bottom w:val="single" w:color="auto" w:sz="4" w:space="0"/>
              <w:right w:val="nil"/>
            </w:tcBorders>
            <w:noWrap/>
            <w:vAlign w:val="center"/>
          </w:tcPr>
          <w:p>
            <w:pPr>
              <w:widowControl/>
              <w:jc w:val="left"/>
              <w:rPr>
                <w:rFonts w:hint="eastAsia" w:ascii="宋体" w:hAnsi="宋体" w:eastAsia="宋体" w:cs="宋体"/>
                <w:color w:val="000000"/>
                <w:kern w:val="0"/>
                <w:sz w:val="20"/>
                <w:szCs w:val="20"/>
              </w:rPr>
            </w:pPr>
            <w:r>
              <w:rPr>
                <w:rFonts w:hint="eastAsia" w:ascii="Times New Roman" w:hAnsi="Times New Roman" w:eastAsia="仿宋_GB2312" w:cs="Times New Roman"/>
                <w:kern w:val="0"/>
                <w:szCs w:val="21"/>
              </w:rPr>
              <w:t>部门：</w:t>
            </w:r>
          </w:p>
        </w:tc>
        <w:tc>
          <w:tcPr>
            <w:tcW w:w="3559" w:type="dxa"/>
            <w:gridSpan w:val="3"/>
            <w:tcBorders>
              <w:top w:val="nil"/>
              <w:left w:val="nil"/>
              <w:bottom w:val="single" w:color="auto" w:sz="4" w:space="0"/>
              <w:right w:val="nil"/>
            </w:tcBorders>
            <w:noWrap w:val="0"/>
            <w:vAlign w:val="center"/>
          </w:tcPr>
          <w:p>
            <w:pPr>
              <w:widowControl/>
              <w:jc w:val="both"/>
              <w:rPr>
                <w:rFonts w:hint="eastAsia" w:ascii="宋体" w:hAnsi="宋体" w:eastAsia="宋体" w:cs="宋体"/>
                <w:kern w:val="0"/>
                <w:sz w:val="20"/>
                <w:szCs w:val="20"/>
                <w:lang w:eastAsia="zh-CN"/>
              </w:rPr>
            </w:pPr>
            <w:r>
              <w:rPr>
                <w:rFonts w:hint="eastAsia" w:ascii="宋体" w:hAnsi="宋体" w:cs="宋体"/>
                <w:kern w:val="0"/>
                <w:sz w:val="20"/>
                <w:szCs w:val="20"/>
                <w:lang w:eastAsia="zh-CN"/>
              </w:rPr>
              <w:t>蓝山县教师进修学校</w:t>
            </w:r>
          </w:p>
        </w:tc>
        <w:tc>
          <w:tcPr>
            <w:tcW w:w="1215" w:type="dxa"/>
            <w:tcBorders>
              <w:top w:val="nil"/>
              <w:left w:val="nil"/>
              <w:bottom w:val="single" w:color="auto" w:sz="4" w:space="0"/>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596" w:type="dxa"/>
            <w:gridSpan w:val="2"/>
            <w:tcBorders>
              <w:top w:val="nil"/>
              <w:left w:val="nil"/>
              <w:bottom w:val="single" w:color="auto" w:sz="4" w:space="0"/>
              <w:right w:val="nil"/>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272" w:type="dxa"/>
            <w:gridSpan w:val="2"/>
            <w:tcBorders>
              <w:top w:val="nil"/>
              <w:left w:val="nil"/>
              <w:bottom w:val="single" w:color="auto" w:sz="4" w:space="0"/>
              <w:right w:val="nil"/>
            </w:tcBorders>
            <w:noWrap/>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单位：万元</w:t>
            </w:r>
          </w:p>
        </w:tc>
      </w:tr>
      <w:tr>
        <w:tblPrEx>
          <w:tblCellMar>
            <w:top w:w="0" w:type="dxa"/>
            <w:left w:w="108" w:type="dxa"/>
            <w:bottom w:w="0" w:type="dxa"/>
            <w:right w:w="108" w:type="dxa"/>
          </w:tblCellMar>
        </w:tblPrEx>
        <w:trPr>
          <w:trHeight w:val="402" w:hRule="atLeast"/>
        </w:trPr>
        <w:tc>
          <w:tcPr>
            <w:tcW w:w="4359"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项目</w:t>
            </w:r>
          </w:p>
        </w:tc>
        <w:tc>
          <w:tcPr>
            <w:tcW w:w="10083"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w:t>
            </w:r>
          </w:p>
        </w:tc>
      </w:tr>
      <w:tr>
        <w:tblPrEx>
          <w:tblCellMar>
            <w:top w:w="0" w:type="dxa"/>
            <w:left w:w="108" w:type="dxa"/>
            <w:bottom w:w="0" w:type="dxa"/>
            <w:right w:w="108" w:type="dxa"/>
          </w:tblCellMar>
        </w:tblPrEx>
        <w:trPr>
          <w:trHeight w:val="402" w:hRule="atLeast"/>
        </w:trPr>
        <w:tc>
          <w:tcPr>
            <w:tcW w:w="2250"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功能分类科目编码</w:t>
            </w:r>
          </w:p>
        </w:tc>
        <w:tc>
          <w:tcPr>
            <w:tcW w:w="210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科目名称</w:t>
            </w:r>
          </w:p>
        </w:tc>
        <w:tc>
          <w:tcPr>
            <w:tcW w:w="288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合计</w:t>
            </w:r>
          </w:p>
        </w:tc>
        <w:tc>
          <w:tcPr>
            <w:tcW w:w="322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b/>
                <w:bCs/>
                <w:kern w:val="0"/>
                <w:szCs w:val="21"/>
                <w:lang w:eastAsia="zh-CN"/>
              </w:rPr>
            </w:pPr>
            <w:r>
              <w:rPr>
                <w:rFonts w:hint="eastAsia" w:ascii="Times New Roman" w:hAnsi="Times New Roman" w:eastAsia="仿宋_GB2312" w:cs="Times New Roman"/>
                <w:b/>
                <w:bCs/>
                <w:kern w:val="0"/>
                <w:szCs w:val="21"/>
              </w:rPr>
              <w:t>基本支出</w:t>
            </w:r>
          </w:p>
        </w:tc>
        <w:tc>
          <w:tcPr>
            <w:tcW w:w="3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项目支出</w:t>
            </w:r>
          </w:p>
        </w:tc>
      </w:tr>
      <w:tr>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21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288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32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3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21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288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32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3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02" w:hRule="atLeast"/>
        </w:trPr>
        <w:tc>
          <w:tcPr>
            <w:tcW w:w="4359"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栏次</w:t>
            </w:r>
          </w:p>
        </w:tc>
        <w:tc>
          <w:tcPr>
            <w:tcW w:w="288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1</w:t>
            </w:r>
          </w:p>
        </w:tc>
        <w:tc>
          <w:tcPr>
            <w:tcW w:w="322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w:t>
            </w:r>
          </w:p>
        </w:tc>
        <w:tc>
          <w:tcPr>
            <w:tcW w:w="39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02" w:hRule="atLeast"/>
        </w:trPr>
        <w:tc>
          <w:tcPr>
            <w:tcW w:w="4359"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合计</w:t>
            </w:r>
          </w:p>
        </w:tc>
        <w:tc>
          <w:tcPr>
            <w:tcW w:w="288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　</w:t>
            </w:r>
            <w:r>
              <w:rPr>
                <w:rFonts w:hint="eastAsia" w:eastAsia="仿宋_GB2312" w:cs="Times New Roman"/>
                <w:kern w:val="0"/>
                <w:szCs w:val="21"/>
                <w:lang w:val="en-US" w:eastAsia="zh-CN"/>
              </w:rPr>
              <w:t>0</w:t>
            </w:r>
          </w:p>
        </w:tc>
        <w:tc>
          <w:tcPr>
            <w:tcW w:w="322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eastAsia="仿宋_GB2312" w:cs="Times New Roman"/>
                <w:kern w:val="0"/>
                <w:szCs w:val="21"/>
                <w:lang w:val="en-US" w:eastAsia="zh-CN"/>
              </w:rPr>
              <w:t>0</w:t>
            </w:r>
            <w:r>
              <w:rPr>
                <w:rFonts w:hint="eastAsia" w:ascii="Times New Roman" w:hAnsi="Times New Roman" w:eastAsia="仿宋_GB2312" w:cs="Times New Roman"/>
                <w:kern w:val="0"/>
                <w:szCs w:val="21"/>
              </w:rPr>
              <w:t>　</w:t>
            </w:r>
          </w:p>
        </w:tc>
        <w:tc>
          <w:tcPr>
            <w:tcW w:w="39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　</w:t>
            </w:r>
            <w:r>
              <w:rPr>
                <w:rFonts w:hint="eastAsia" w:eastAsia="仿宋_GB2312" w:cs="Times New Roman"/>
                <w:kern w:val="0"/>
                <w:szCs w:val="21"/>
                <w:lang w:val="en-US" w:eastAsia="zh-CN"/>
              </w:rPr>
              <w:t>0</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720" w:hRule="atLeast"/>
        </w:trPr>
        <w:tc>
          <w:tcPr>
            <w:tcW w:w="14442" w:type="dxa"/>
            <w:gridSpan w:val="9"/>
            <w:tcBorders>
              <w:top w:val="single" w:color="auto" w:sz="4" w:space="0"/>
              <w:left w:val="nil"/>
              <w:bottom w:val="nil"/>
              <w:right w:val="nil"/>
            </w:tcBorders>
            <w:noWrap w:val="0"/>
            <w:vAlign w:val="center"/>
          </w:tcPr>
          <w:p>
            <w:pPr>
              <w:widowControl/>
              <w:jc w:val="left"/>
              <w:rPr>
                <w:rFonts w:hint="eastAsia" w:ascii="宋体" w:hAnsi="宋体" w:eastAsia="宋体" w:cs="宋体"/>
                <w:kern w:val="0"/>
                <w:sz w:val="20"/>
                <w:szCs w:val="20"/>
              </w:rPr>
            </w:pPr>
            <w:r>
              <w:rPr>
                <w:rFonts w:hint="eastAsia" w:ascii="Times New Roman" w:hAnsi="Times New Roman" w:eastAsia="仿宋_GB2312" w:cs="Times New Roman"/>
                <w:kern w:val="0"/>
                <w:szCs w:val="21"/>
              </w:rPr>
              <w:t>注：本表反映部门本年度国有资本经营预算财政拨款支出情况。</w:t>
            </w:r>
          </w:p>
        </w:tc>
      </w:tr>
    </w:tbl>
    <w:p>
      <w:pPr>
        <w:widowControl/>
        <w:ind w:firstLine="400" w:firstLineChars="200"/>
        <w:jc w:val="left"/>
        <w:rPr>
          <w:rFonts w:hint="eastAsia" w:eastAsia="仿宋_GB2312"/>
          <w:kern w:val="0"/>
          <w:szCs w:val="21"/>
          <w:lang w:eastAsia="zh-CN"/>
        </w:rPr>
      </w:pPr>
      <w:r>
        <w:rPr>
          <w:rFonts w:hint="eastAsia" w:ascii="宋体" w:hAnsi="宋体" w:cs="宋体"/>
          <w:kern w:val="0"/>
          <w:sz w:val="20"/>
          <w:szCs w:val="20"/>
          <w:lang w:eastAsia="zh-CN"/>
        </w:rPr>
        <w:t>（蓝山县教师进修学校</w:t>
      </w:r>
      <w:r>
        <w:rPr>
          <w:rFonts w:hint="eastAsia" w:eastAsia="仿宋_GB2312"/>
          <w:kern w:val="0"/>
          <w:szCs w:val="21"/>
        </w:rPr>
        <w:t>没有</w:t>
      </w:r>
      <w:r>
        <w:rPr>
          <w:rFonts w:hint="eastAsia" w:ascii="Times New Roman" w:hAnsi="Times New Roman" w:eastAsia="仿宋_GB2312" w:cs="Times New Roman"/>
          <w:kern w:val="0"/>
          <w:szCs w:val="21"/>
        </w:rPr>
        <w:t>国有资本经营预算财政拨款支出</w:t>
      </w:r>
      <w:r>
        <w:rPr>
          <w:rFonts w:hint="eastAsia" w:eastAsia="仿宋_GB2312"/>
          <w:kern w:val="0"/>
          <w:szCs w:val="21"/>
        </w:rPr>
        <w:t>，故本表无数据。</w:t>
      </w:r>
      <w:r>
        <w:rPr>
          <w:rFonts w:hint="eastAsia" w:eastAsia="仿宋_GB2312"/>
          <w:kern w:val="0"/>
          <w:szCs w:val="21"/>
          <w:lang w:eastAsia="zh-CN"/>
        </w:rPr>
        <w:t>）</w:t>
      </w:r>
    </w:p>
    <w:p>
      <w:pPr>
        <w:widowControl/>
        <w:jc w:val="left"/>
        <w:rPr>
          <w:rFonts w:ascii="黑体" w:hAnsi="黑体" w:eastAsia="黑体"/>
          <w:szCs w:val="21"/>
        </w:rPr>
      </w:pPr>
      <w:r>
        <w:rPr>
          <w:rFonts w:hint="eastAsia" w:ascii="黑体" w:hAnsi="黑体" w:eastAsia="黑体"/>
          <w:kern w:val="0"/>
          <w:szCs w:val="21"/>
        </w:rPr>
        <w:br w:type="page"/>
      </w:r>
    </w:p>
    <w:p>
      <w:pPr>
        <w:widowControl/>
        <w:ind w:firstLine="1440" w:firstLineChars="200"/>
        <w:jc w:val="left"/>
        <w:rPr>
          <w:rFonts w:hint="eastAsia" w:ascii="黑体" w:eastAsia="仿宋_GB2312" w:cs="黑体"/>
          <w:color w:val="000000"/>
          <w:kern w:val="0"/>
          <w:sz w:val="72"/>
          <w:szCs w:val="72"/>
          <w:lang w:eastAsia="zh-CN"/>
        </w:rPr>
        <w:sectPr>
          <w:pgSz w:w="16838" w:h="11906" w:orient="landscape"/>
          <w:pgMar w:top="720" w:right="720" w:bottom="720" w:left="720" w:header="851" w:footer="992" w:gutter="0"/>
          <w:pgBorders w:offsetFrom="page">
            <w:top w:val="none" w:sz="0" w:space="0"/>
            <w:left w:val="none" w:sz="0" w:space="0"/>
            <w:bottom w:val="none" w:sz="0" w:space="0"/>
            <w:right w:val="none" w:sz="0" w:space="0"/>
          </w:pgBorders>
          <w:cols w:space="720" w:num="1"/>
          <w:docGrid w:type="lines" w:linePitch="312" w:charSpace="0"/>
        </w:sectPr>
      </w:pPr>
    </w:p>
    <w:p>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第三部分</w:t>
      </w:r>
      <w:r>
        <w:rPr>
          <w:rFonts w:hint="eastAsia" w:ascii="黑体" w:hAnsi="黑体" w:eastAsia="黑体" w:cs="黑体"/>
          <w:b/>
          <w:bCs w:val="0"/>
          <w:kern w:val="0"/>
          <w:sz w:val="44"/>
          <w:szCs w:val="44"/>
          <w:lang w:val="en-US" w:eastAsia="zh-CN"/>
        </w:rPr>
        <w:t>2021</w:t>
      </w:r>
      <w:r>
        <w:rPr>
          <w:rFonts w:hint="eastAsia" w:ascii="黑体" w:hAnsi="黑体" w:eastAsia="黑体" w:cs="黑体"/>
          <w:b/>
          <w:bCs w:val="0"/>
          <w:kern w:val="0"/>
          <w:sz w:val="44"/>
          <w:szCs w:val="44"/>
        </w:rPr>
        <w:t>年度部门决算情况说明</w:t>
      </w:r>
    </w:p>
    <w:p>
      <w:pPr>
        <w:widowControl/>
        <w:jc w:val="left"/>
        <w:rPr>
          <w:rFonts w:hint="eastAsia" w:ascii="黑体" w:eastAsia="黑体" w:cs="黑体"/>
          <w:color w:val="000000"/>
          <w:kern w:val="0"/>
          <w:sz w:val="70"/>
          <w:szCs w:val="70"/>
        </w:rPr>
      </w:pPr>
    </w:p>
    <w:p>
      <w:pPr>
        <w:pStyle w:val="10"/>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一、收入支出决算总体情况说明</w:t>
      </w:r>
    </w:p>
    <w:p>
      <w:pPr>
        <w:pStyle w:val="10"/>
        <w:spacing w:line="60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b w:val="0"/>
          <w:bCs w:val="0"/>
          <w:color w:val="auto"/>
          <w:sz w:val="32"/>
          <w:szCs w:val="32"/>
          <w:lang w:val="en-US" w:eastAsia="zh-CN"/>
        </w:rPr>
        <w:t>2021</w:t>
      </w:r>
      <w:r>
        <w:rPr>
          <w:rFonts w:hint="default" w:ascii="Times New Roman" w:hAnsi="Times New Roman" w:eastAsia="仿宋_GB2312" w:cs="Times New Roman"/>
          <w:bCs w:val="0"/>
          <w:color w:val="auto"/>
          <w:sz w:val="32"/>
          <w:szCs w:val="32"/>
        </w:rPr>
        <w:t>年度</w:t>
      </w:r>
      <w:r>
        <w:rPr>
          <w:rFonts w:ascii="Times New Roman" w:hAnsi="Times New Roman" w:eastAsia="仿宋_GB2312" w:cs="Times New Roman"/>
          <w:color w:val="auto"/>
          <w:sz w:val="32"/>
          <w:szCs w:val="32"/>
        </w:rPr>
        <w:t>收、支总计</w:t>
      </w:r>
      <w:r>
        <w:rPr>
          <w:rFonts w:hint="eastAsia" w:ascii="Times New Roman" w:hAnsi="Times New Roman" w:eastAsia="仿宋_GB2312" w:cs="Times New Roman"/>
          <w:color w:val="auto"/>
          <w:sz w:val="32"/>
          <w:szCs w:val="32"/>
          <w:u w:val="none"/>
          <w:lang w:eastAsia="zh-CN"/>
        </w:rPr>
        <w:t>3</w:t>
      </w:r>
      <w:r>
        <w:rPr>
          <w:rFonts w:hint="eastAsia" w:ascii="Times New Roman" w:hAnsi="Times New Roman" w:eastAsia="仿宋_GB2312" w:cs="Times New Roman"/>
          <w:color w:val="auto"/>
          <w:sz w:val="32"/>
          <w:szCs w:val="32"/>
          <w:u w:val="none"/>
          <w:lang w:val="en-US" w:eastAsia="zh-CN"/>
        </w:rPr>
        <w:t>66.00</w:t>
      </w:r>
      <w:r>
        <w:rPr>
          <w:rFonts w:ascii="Times New Roman" w:hAnsi="Times New Roman" w:eastAsia="仿宋_GB2312" w:cs="Times New Roman"/>
          <w:color w:val="auto"/>
          <w:sz w:val="32"/>
          <w:szCs w:val="32"/>
        </w:rPr>
        <w:t>万元。与20</w:t>
      </w:r>
      <w:r>
        <w:rPr>
          <w:rFonts w:hint="default" w:ascii="Times New Roman" w:hAnsi="Times New Roman" w:eastAsia="仿宋_GB2312" w:cs="Times New Roman"/>
          <w:color w:val="auto"/>
          <w:sz w:val="32"/>
          <w:szCs w:val="32"/>
          <w:lang w:val="en-US" w:eastAsia="zh-CN"/>
        </w:rPr>
        <w:t>20</w:t>
      </w:r>
      <w:r>
        <w:rPr>
          <w:rFonts w:ascii="Times New Roman" w:hAnsi="Times New Roman" w:eastAsia="仿宋_GB2312" w:cs="Times New Roman"/>
          <w:color w:val="auto"/>
          <w:sz w:val="32"/>
          <w:szCs w:val="32"/>
        </w:rPr>
        <w:t>年相比，</w:t>
      </w:r>
      <w:r>
        <w:rPr>
          <w:rFonts w:hint="eastAsia" w:ascii="Times New Roman" w:hAnsi="Times New Roman" w:eastAsia="仿宋_GB2312" w:cs="Times New Roman"/>
          <w:color w:val="auto"/>
          <w:sz w:val="32"/>
          <w:szCs w:val="32"/>
          <w:lang w:eastAsia="zh-CN"/>
        </w:rPr>
        <w:t>减少</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减少</w:t>
      </w:r>
      <w:r>
        <w:rPr>
          <w:rFonts w:hint="eastAsia" w:ascii="Times New Roman" w:hAnsi="Times New Roman" w:eastAsia="仿宋_GB2312" w:cs="Times New Roman"/>
          <w:color w:val="auto"/>
          <w:sz w:val="32"/>
          <w:szCs w:val="32"/>
          <w:lang w:val="en-US" w:eastAsia="zh-CN"/>
        </w:rPr>
        <w:t>0.27</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lang w:eastAsia="zh-CN"/>
        </w:rPr>
        <w:t>在职转退休教师比新调入教师工资高，导致人员经费减少。</w:t>
      </w:r>
    </w:p>
    <w:p>
      <w:pPr>
        <w:pStyle w:val="10"/>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二、收入决算情况说明</w:t>
      </w:r>
    </w:p>
    <w:p>
      <w:pPr>
        <w:pStyle w:val="10"/>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本年收入</w:t>
      </w:r>
      <w:r>
        <w:rPr>
          <w:rFonts w:hint="eastAsia" w:ascii="Times New Roman" w:hAnsi="Times New Roman" w:eastAsia="仿宋_GB2312" w:cs="Times New Roman"/>
          <w:color w:val="auto"/>
          <w:sz w:val="32"/>
          <w:szCs w:val="32"/>
          <w:u w:val="none"/>
          <w:lang w:eastAsia="zh-CN"/>
        </w:rPr>
        <w:t>3</w:t>
      </w:r>
      <w:r>
        <w:rPr>
          <w:rFonts w:hint="eastAsia" w:ascii="Times New Roman" w:hAnsi="Times New Roman" w:eastAsia="仿宋_GB2312" w:cs="Times New Roman"/>
          <w:color w:val="auto"/>
          <w:sz w:val="32"/>
          <w:szCs w:val="32"/>
          <w:u w:val="none"/>
          <w:lang w:val="en-US" w:eastAsia="zh-CN"/>
        </w:rPr>
        <w:t>66.00</w:t>
      </w:r>
      <w:r>
        <w:rPr>
          <w:rFonts w:ascii="Times New Roman" w:hAnsi="Times New Roman" w:eastAsia="仿宋_GB2312" w:cs="Times New Roman"/>
          <w:color w:val="auto"/>
          <w:sz w:val="32"/>
          <w:szCs w:val="32"/>
        </w:rPr>
        <w:t>万元，其中：财政拨款收入</w:t>
      </w:r>
      <w:r>
        <w:rPr>
          <w:rFonts w:hint="eastAsia" w:ascii="Times New Roman" w:hAnsi="Times New Roman" w:eastAsia="仿宋_GB2312" w:cs="Times New Roman"/>
          <w:color w:val="auto"/>
          <w:sz w:val="32"/>
          <w:szCs w:val="32"/>
          <w:u w:val="none"/>
          <w:lang w:eastAsia="zh-CN"/>
        </w:rPr>
        <w:t>3</w:t>
      </w:r>
      <w:r>
        <w:rPr>
          <w:rFonts w:hint="eastAsia" w:ascii="Times New Roman" w:hAnsi="Times New Roman" w:eastAsia="仿宋_GB2312" w:cs="Times New Roman"/>
          <w:color w:val="auto"/>
          <w:sz w:val="32"/>
          <w:szCs w:val="32"/>
          <w:u w:val="none"/>
          <w:lang w:val="en-US" w:eastAsia="zh-CN"/>
        </w:rPr>
        <w:t>66.00</w:t>
      </w:r>
      <w:r>
        <w:rPr>
          <w:rFonts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rPr>
        <w:t>%；上级补助收入</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%；事业收入万元，占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%；经营收入</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%；附属单位上缴收入</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%；其他收入</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w:t>
      </w:r>
    </w:p>
    <w:p>
      <w:pPr>
        <w:pStyle w:val="10"/>
        <w:spacing w:line="600" w:lineRule="exact"/>
        <w:ind w:firstLine="640" w:firstLineChars="200"/>
        <w:outlineLvl w:val="9"/>
        <w:rPr>
          <w:rFonts w:hAnsi="黑体" w:cs="Times New Roman"/>
          <w:color w:val="auto"/>
          <w:sz w:val="32"/>
          <w:szCs w:val="32"/>
          <w:u w:val="none"/>
        </w:rPr>
      </w:pPr>
      <w:r>
        <w:rPr>
          <w:rFonts w:hAnsi="黑体" w:cs="Times New Roman"/>
          <w:color w:val="auto"/>
          <w:sz w:val="32"/>
          <w:szCs w:val="32"/>
          <w:u w:val="none"/>
        </w:rPr>
        <w:t>三、支出决算情况说明</w:t>
      </w:r>
    </w:p>
    <w:p>
      <w:pPr>
        <w:pStyle w:val="10"/>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本年支出合计</w:t>
      </w:r>
      <w:r>
        <w:rPr>
          <w:rFonts w:hint="eastAsia" w:ascii="Times New Roman" w:hAnsi="Times New Roman" w:eastAsia="仿宋_GB2312" w:cs="Times New Roman"/>
          <w:color w:val="auto"/>
          <w:sz w:val="32"/>
          <w:szCs w:val="32"/>
          <w:u w:val="none"/>
          <w:lang w:val="en-US" w:eastAsia="zh-CN"/>
        </w:rPr>
        <w:t>366.00</w:t>
      </w:r>
      <w:r>
        <w:rPr>
          <w:rFonts w:ascii="Times New Roman" w:hAnsi="Times New Roman" w:eastAsia="仿宋_GB2312" w:cs="Times New Roman"/>
          <w:color w:val="auto"/>
          <w:sz w:val="32"/>
          <w:szCs w:val="32"/>
        </w:rPr>
        <w:t>万元，其中：基本支出</w:t>
      </w:r>
      <w:r>
        <w:rPr>
          <w:rFonts w:hint="eastAsia" w:ascii="Times New Roman" w:hAnsi="Times New Roman" w:eastAsia="仿宋_GB2312" w:cs="Times New Roman"/>
          <w:color w:val="auto"/>
          <w:sz w:val="32"/>
          <w:szCs w:val="32"/>
          <w:u w:val="none"/>
          <w:lang w:eastAsia="zh-CN"/>
        </w:rPr>
        <w:t>3</w:t>
      </w:r>
      <w:r>
        <w:rPr>
          <w:rFonts w:hint="eastAsia" w:ascii="Times New Roman" w:hAnsi="Times New Roman" w:eastAsia="仿宋_GB2312" w:cs="Times New Roman"/>
          <w:color w:val="auto"/>
          <w:sz w:val="32"/>
          <w:szCs w:val="32"/>
          <w:u w:val="none"/>
          <w:lang w:val="en-US" w:eastAsia="zh-CN"/>
        </w:rPr>
        <w:t>66.00</w:t>
      </w:r>
      <w:r>
        <w:rPr>
          <w:rFonts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%；项目支出</w:t>
      </w:r>
      <w:r>
        <w:rPr>
          <w:rFonts w:hint="default"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%；上缴上级支出</w:t>
      </w:r>
      <w:r>
        <w:rPr>
          <w:rFonts w:hint="default"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%；经营支出</w:t>
      </w:r>
      <w:r>
        <w:rPr>
          <w:rFonts w:hint="default"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%；对附属单位补助支出</w:t>
      </w:r>
      <w:r>
        <w:rPr>
          <w:rFonts w:hint="default"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w:t>
      </w:r>
    </w:p>
    <w:p>
      <w:pPr>
        <w:pStyle w:val="10"/>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四、财政拨款收入支出决算总体情况说明</w:t>
      </w:r>
    </w:p>
    <w:p>
      <w:pPr>
        <w:pStyle w:val="10"/>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2021</w:t>
      </w:r>
      <w:r>
        <w:rPr>
          <w:rFonts w:hint="eastAsia" w:ascii="Times New Roman" w:hAnsi="Times New Roman" w:eastAsia="仿宋_GB2312" w:cs="Times New Roman"/>
          <w:color w:val="auto"/>
          <w:sz w:val="32"/>
          <w:szCs w:val="32"/>
        </w:rPr>
        <w:t>年度财政拨款收、支总计</w:t>
      </w:r>
      <w:r>
        <w:rPr>
          <w:rFonts w:hint="eastAsia" w:ascii="Times New Roman" w:hAnsi="Times New Roman" w:eastAsia="仿宋_GB2312" w:cs="Times New Roman"/>
          <w:color w:val="auto"/>
          <w:sz w:val="32"/>
          <w:szCs w:val="32"/>
          <w:u w:val="none"/>
          <w:lang w:eastAsia="zh-CN"/>
        </w:rPr>
        <w:t>3</w:t>
      </w:r>
      <w:r>
        <w:rPr>
          <w:rFonts w:hint="eastAsia" w:ascii="Times New Roman" w:hAnsi="Times New Roman" w:eastAsia="仿宋_GB2312" w:cs="Times New Roman"/>
          <w:color w:val="auto"/>
          <w:sz w:val="32"/>
          <w:szCs w:val="32"/>
          <w:u w:val="none"/>
          <w:lang w:val="en-US" w:eastAsia="zh-CN"/>
        </w:rPr>
        <w:t>66.00</w:t>
      </w:r>
      <w:r>
        <w:rPr>
          <w:rFonts w:hint="eastAsia" w:ascii="Times New Roman" w:hAnsi="Times New Roman" w:eastAsia="仿宋_GB2312" w:cs="Times New Roman"/>
          <w:color w:val="auto"/>
          <w:sz w:val="32"/>
          <w:szCs w:val="32"/>
        </w:rPr>
        <w:t>万元，</w:t>
      </w:r>
      <w:r>
        <w:rPr>
          <w:rFonts w:ascii="Times New Roman" w:hAnsi="Times New Roman" w:eastAsia="仿宋_GB2312" w:cs="Times New Roman"/>
          <w:color w:val="auto"/>
          <w:sz w:val="32"/>
          <w:szCs w:val="32"/>
        </w:rPr>
        <w:t>与20</w:t>
      </w:r>
      <w:r>
        <w:rPr>
          <w:rFonts w:hint="default" w:ascii="Times New Roman" w:hAnsi="Times New Roman" w:eastAsia="仿宋_GB2312" w:cs="Times New Roman"/>
          <w:color w:val="auto"/>
          <w:sz w:val="32"/>
          <w:szCs w:val="32"/>
          <w:lang w:val="en-US" w:eastAsia="zh-CN"/>
        </w:rPr>
        <w:t>20</w:t>
      </w:r>
      <w:r>
        <w:rPr>
          <w:rFonts w:ascii="Times New Roman" w:hAnsi="Times New Roman" w:eastAsia="仿宋_GB2312" w:cs="Times New Roman"/>
          <w:color w:val="auto"/>
          <w:sz w:val="32"/>
          <w:szCs w:val="32"/>
        </w:rPr>
        <w:t>年相比，</w:t>
      </w:r>
      <w:r>
        <w:rPr>
          <w:rFonts w:hint="eastAsia" w:ascii="Times New Roman" w:hAnsi="Times New Roman" w:eastAsia="仿宋_GB2312" w:cs="Times New Roman"/>
          <w:color w:val="auto"/>
          <w:sz w:val="32"/>
          <w:szCs w:val="32"/>
          <w:lang w:eastAsia="zh-CN"/>
        </w:rPr>
        <w:t>减少</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减少</w:t>
      </w:r>
      <w:r>
        <w:rPr>
          <w:rFonts w:hint="eastAsia" w:ascii="Times New Roman" w:hAnsi="Times New Roman" w:eastAsia="仿宋_GB2312" w:cs="Times New Roman"/>
          <w:color w:val="auto"/>
          <w:sz w:val="32"/>
          <w:szCs w:val="32"/>
          <w:lang w:val="en-US" w:eastAsia="zh-CN"/>
        </w:rPr>
        <w:t>0.27</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lang w:eastAsia="zh-CN"/>
        </w:rPr>
        <w:t>在职转退休教师比新调入教师工资高，导致人员经费减少</w:t>
      </w:r>
      <w:r>
        <w:rPr>
          <w:rFonts w:hint="default" w:ascii="Times New Roman" w:hAnsi="Times New Roman" w:eastAsia="仿宋_GB2312" w:cs="Times New Roman"/>
          <w:color w:val="auto"/>
          <w:sz w:val="32"/>
          <w:szCs w:val="32"/>
        </w:rPr>
        <w:t>。</w:t>
      </w:r>
    </w:p>
    <w:p>
      <w:pPr>
        <w:pStyle w:val="10"/>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五、一般公共预算财政拨款支出决算情况说明</w:t>
      </w:r>
    </w:p>
    <w:p>
      <w:pPr>
        <w:pStyle w:val="10"/>
        <w:spacing w:line="600" w:lineRule="exact"/>
        <w:ind w:firstLine="643" w:firstLineChars="200"/>
        <w:outlineLvl w:val="2"/>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（一）财政拨款支出决算总体情况</w:t>
      </w:r>
    </w:p>
    <w:p>
      <w:pPr>
        <w:pStyle w:val="10"/>
        <w:spacing w:line="60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2021</w:t>
      </w:r>
      <w:r>
        <w:rPr>
          <w:rFonts w:hint="eastAsia" w:ascii="Times New Roman" w:hAnsi="Times New Roman" w:eastAsia="仿宋_GB2312" w:cs="Times New Roman"/>
          <w:color w:val="auto"/>
          <w:sz w:val="32"/>
          <w:szCs w:val="32"/>
        </w:rPr>
        <w:t>年度财政拨款支出</w:t>
      </w:r>
      <w:r>
        <w:rPr>
          <w:rFonts w:hint="eastAsia" w:ascii="Times New Roman" w:hAnsi="Times New Roman" w:eastAsia="仿宋_GB2312" w:cs="Times New Roman"/>
          <w:color w:val="auto"/>
          <w:sz w:val="32"/>
          <w:szCs w:val="32"/>
          <w:u w:val="none"/>
          <w:lang w:eastAsia="zh-CN"/>
        </w:rPr>
        <w:t>3</w:t>
      </w:r>
      <w:r>
        <w:rPr>
          <w:rFonts w:hint="eastAsia" w:ascii="Times New Roman" w:hAnsi="Times New Roman" w:eastAsia="仿宋_GB2312" w:cs="Times New Roman"/>
          <w:color w:val="auto"/>
          <w:sz w:val="32"/>
          <w:szCs w:val="32"/>
          <w:u w:val="none"/>
          <w:lang w:val="en-US" w:eastAsia="zh-CN"/>
        </w:rPr>
        <w:t>66.00</w:t>
      </w:r>
      <w:r>
        <w:rPr>
          <w:rFonts w:hint="eastAsia" w:ascii="Times New Roman" w:hAnsi="Times New Roman" w:eastAsia="仿宋_GB2312" w:cs="Times New Roman"/>
          <w:color w:val="auto"/>
          <w:sz w:val="32"/>
          <w:szCs w:val="32"/>
        </w:rPr>
        <w:t>万元，占本年支出合计的</w:t>
      </w:r>
      <w:r>
        <w:rPr>
          <w:rFonts w:hint="eastAsia" w:ascii="Times New Roman" w:hAnsi="Times New Roman" w:eastAsia="仿宋_GB2312" w:cs="Times New Roman"/>
          <w:color w:val="auto"/>
          <w:sz w:val="32"/>
          <w:szCs w:val="32"/>
          <w:u w:val="none"/>
          <w:lang w:val="en-US" w:eastAsia="zh-CN"/>
        </w:rPr>
        <w:t>100</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与20</w:t>
      </w:r>
      <w:r>
        <w:rPr>
          <w:rFonts w:hint="default" w:ascii="Times New Roman" w:hAnsi="Times New Roman" w:eastAsia="仿宋_GB2312" w:cs="Times New Roman"/>
          <w:color w:val="auto"/>
          <w:sz w:val="32"/>
          <w:szCs w:val="32"/>
          <w:lang w:val="en-US" w:eastAsia="zh-CN"/>
        </w:rPr>
        <w:t>20</w:t>
      </w:r>
      <w:r>
        <w:rPr>
          <w:rFonts w:ascii="Times New Roman" w:hAnsi="Times New Roman" w:eastAsia="仿宋_GB2312" w:cs="Times New Roman"/>
          <w:color w:val="auto"/>
          <w:sz w:val="32"/>
          <w:szCs w:val="32"/>
        </w:rPr>
        <w:t>年相比，</w:t>
      </w:r>
      <w:r>
        <w:rPr>
          <w:rFonts w:hint="eastAsia" w:ascii="Times New Roman" w:hAnsi="Times New Roman" w:eastAsia="仿宋_GB2312" w:cs="Times New Roman"/>
          <w:color w:val="auto"/>
          <w:sz w:val="32"/>
          <w:szCs w:val="32"/>
          <w:lang w:eastAsia="zh-CN"/>
        </w:rPr>
        <w:t>减少</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减少</w:t>
      </w:r>
      <w:r>
        <w:rPr>
          <w:rFonts w:hint="eastAsia" w:ascii="Times New Roman" w:hAnsi="Times New Roman" w:eastAsia="仿宋_GB2312" w:cs="Times New Roman"/>
          <w:color w:val="auto"/>
          <w:sz w:val="32"/>
          <w:szCs w:val="32"/>
          <w:lang w:val="en-US" w:eastAsia="zh-CN"/>
        </w:rPr>
        <w:t>0.27</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lang w:eastAsia="zh-CN"/>
        </w:rPr>
        <w:t>在职转退休教师比新调入教师工资高，导致人员经费减少。</w:t>
      </w:r>
    </w:p>
    <w:p>
      <w:pPr>
        <w:pStyle w:val="10"/>
        <w:spacing w:line="600" w:lineRule="exact"/>
        <w:ind w:firstLine="643" w:firstLineChars="200"/>
        <w:outlineLvl w:val="2"/>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（二）财政拨款支出决算结构情况</w:t>
      </w:r>
    </w:p>
    <w:p>
      <w:pPr>
        <w:pStyle w:val="10"/>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2021</w:t>
      </w:r>
      <w:r>
        <w:rPr>
          <w:rFonts w:hint="eastAsia" w:ascii="Times New Roman" w:hAnsi="Times New Roman" w:eastAsia="仿宋_GB2312" w:cs="Times New Roman"/>
          <w:color w:val="auto"/>
          <w:sz w:val="32"/>
          <w:szCs w:val="32"/>
          <w:u w:val="none"/>
        </w:rPr>
        <w:t>年度财政拨款支出</w:t>
      </w:r>
      <w:r>
        <w:rPr>
          <w:rFonts w:hint="eastAsia" w:ascii="Times New Roman" w:hAnsi="Times New Roman" w:eastAsia="仿宋_GB2312" w:cs="Times New Roman"/>
          <w:color w:val="auto"/>
          <w:sz w:val="32"/>
          <w:szCs w:val="32"/>
          <w:u w:val="none"/>
          <w:lang w:eastAsia="zh-CN"/>
        </w:rPr>
        <w:t>3</w:t>
      </w:r>
      <w:r>
        <w:rPr>
          <w:rFonts w:hint="eastAsia" w:ascii="Times New Roman" w:hAnsi="Times New Roman" w:eastAsia="仿宋_GB2312" w:cs="Times New Roman"/>
          <w:color w:val="auto"/>
          <w:sz w:val="32"/>
          <w:szCs w:val="32"/>
          <w:u w:val="none"/>
          <w:lang w:val="en-US" w:eastAsia="zh-CN"/>
        </w:rPr>
        <w:t>66.00</w:t>
      </w:r>
      <w:r>
        <w:rPr>
          <w:rFonts w:hint="eastAsia" w:ascii="Times New Roman" w:hAnsi="Times New Roman" w:eastAsia="仿宋_GB2312" w:cs="Times New Roman"/>
          <w:color w:val="auto"/>
          <w:sz w:val="32"/>
          <w:szCs w:val="32"/>
          <w:u w:val="none"/>
        </w:rPr>
        <w:t>万元，主要用于教育（类）支出</w:t>
      </w:r>
      <w:r>
        <w:rPr>
          <w:rFonts w:hint="eastAsia" w:ascii="Times New Roman" w:hAnsi="Times New Roman" w:eastAsia="仿宋_GB2312" w:cs="Times New Roman"/>
          <w:color w:val="auto"/>
          <w:sz w:val="32"/>
          <w:szCs w:val="32"/>
          <w:u w:val="none"/>
          <w:lang w:eastAsia="zh-CN"/>
        </w:rPr>
        <w:t>3</w:t>
      </w:r>
      <w:r>
        <w:rPr>
          <w:rFonts w:hint="eastAsia" w:ascii="Times New Roman" w:hAnsi="Times New Roman" w:eastAsia="仿宋_GB2312" w:cs="Times New Roman"/>
          <w:color w:val="auto"/>
          <w:sz w:val="32"/>
          <w:szCs w:val="32"/>
          <w:u w:val="none"/>
          <w:lang w:val="en-US" w:eastAsia="zh-CN"/>
        </w:rPr>
        <w:t>66.00</w:t>
      </w:r>
      <w:r>
        <w:rPr>
          <w:rFonts w:hint="eastAsia"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100</w:t>
      </w:r>
      <w:r>
        <w:rPr>
          <w:rFonts w:hint="eastAsia"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w:t>
      </w:r>
    </w:p>
    <w:p>
      <w:pPr>
        <w:pStyle w:val="10"/>
        <w:spacing w:line="600" w:lineRule="exact"/>
        <w:ind w:firstLine="643" w:firstLineChars="200"/>
        <w:outlineLvl w:val="2"/>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（三）财政拨款支出决算具体情况</w:t>
      </w:r>
    </w:p>
    <w:p>
      <w:pPr>
        <w:pStyle w:val="10"/>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2021</w:t>
      </w:r>
      <w:r>
        <w:rPr>
          <w:rFonts w:hint="eastAsia" w:ascii="Times New Roman" w:hAnsi="Times New Roman" w:eastAsia="仿宋_GB2312" w:cs="Times New Roman"/>
          <w:color w:val="auto"/>
          <w:sz w:val="32"/>
          <w:szCs w:val="32"/>
          <w:u w:val="none"/>
        </w:rPr>
        <w:t>年度财政拨款</w:t>
      </w:r>
      <w:r>
        <w:rPr>
          <w:rFonts w:hint="eastAsia" w:ascii="Times New Roman" w:hAnsi="Times New Roman" w:eastAsia="仿宋_GB2312" w:cs="Times New Roman"/>
          <w:color w:val="auto"/>
          <w:sz w:val="32"/>
          <w:szCs w:val="32"/>
          <w:u w:val="none"/>
          <w:lang w:eastAsia="zh-CN"/>
        </w:rPr>
        <w:t>教育支出进修及培训支出教师进修</w:t>
      </w:r>
      <w:r>
        <w:rPr>
          <w:rFonts w:hint="eastAsia" w:ascii="Times New Roman" w:hAnsi="Times New Roman" w:eastAsia="仿宋_GB2312" w:cs="Times New Roman"/>
          <w:color w:val="auto"/>
          <w:sz w:val="32"/>
          <w:szCs w:val="32"/>
          <w:u w:val="none"/>
        </w:rPr>
        <w:t>支出年初预算数为</w:t>
      </w:r>
      <w:r>
        <w:rPr>
          <w:rFonts w:hint="eastAsia" w:ascii="Times New Roman" w:hAnsi="Times New Roman" w:eastAsia="仿宋_GB2312" w:cs="Times New Roman"/>
          <w:color w:val="auto"/>
          <w:sz w:val="32"/>
          <w:szCs w:val="32"/>
          <w:u w:val="none"/>
          <w:lang w:eastAsia="zh-CN"/>
        </w:rPr>
        <w:t>3</w:t>
      </w:r>
      <w:r>
        <w:rPr>
          <w:rFonts w:hint="eastAsia" w:ascii="Times New Roman" w:hAnsi="Times New Roman" w:eastAsia="仿宋_GB2312" w:cs="Times New Roman"/>
          <w:color w:val="auto"/>
          <w:sz w:val="32"/>
          <w:szCs w:val="32"/>
          <w:u w:val="none"/>
          <w:lang w:val="en-US" w:eastAsia="zh-CN"/>
        </w:rPr>
        <w:t>65.92</w:t>
      </w:r>
      <w:r>
        <w:rPr>
          <w:rFonts w:hint="eastAsia" w:ascii="Times New Roman" w:hAnsi="Times New Roman" w:eastAsia="仿宋_GB2312" w:cs="Times New Roman"/>
          <w:color w:val="auto"/>
          <w:sz w:val="32"/>
          <w:szCs w:val="32"/>
          <w:u w:val="none"/>
        </w:rPr>
        <w:t>万元，支出决算数为</w:t>
      </w:r>
      <w:r>
        <w:rPr>
          <w:rFonts w:hint="eastAsia" w:ascii="Times New Roman" w:hAnsi="Times New Roman" w:eastAsia="仿宋_GB2312" w:cs="Times New Roman"/>
          <w:color w:val="auto"/>
          <w:sz w:val="32"/>
          <w:szCs w:val="32"/>
          <w:u w:val="none"/>
          <w:lang w:eastAsia="zh-CN"/>
        </w:rPr>
        <w:t>3</w:t>
      </w:r>
      <w:r>
        <w:rPr>
          <w:rFonts w:hint="eastAsia" w:ascii="Times New Roman" w:hAnsi="Times New Roman" w:eastAsia="仿宋_GB2312" w:cs="Times New Roman"/>
          <w:color w:val="auto"/>
          <w:sz w:val="32"/>
          <w:szCs w:val="32"/>
          <w:u w:val="none"/>
          <w:lang w:val="en-US" w:eastAsia="zh-CN"/>
        </w:rPr>
        <w:t>66.00</w:t>
      </w:r>
      <w:r>
        <w:rPr>
          <w:rFonts w:hint="eastAsia"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u w:val="none"/>
          <w:lang w:eastAsia="zh-CN"/>
        </w:rPr>
        <w:t>1</w:t>
      </w:r>
      <w:r>
        <w:rPr>
          <w:rFonts w:hint="eastAsia" w:ascii="Times New Roman" w:hAnsi="Times New Roman" w:eastAsia="仿宋_GB2312" w:cs="Times New Roman"/>
          <w:color w:val="auto"/>
          <w:sz w:val="32"/>
          <w:szCs w:val="32"/>
          <w:u w:val="none"/>
          <w:lang w:val="en-US" w:eastAsia="zh-CN"/>
        </w:rPr>
        <w:t>00.02</w:t>
      </w:r>
      <w:r>
        <w:rPr>
          <w:rFonts w:hint="eastAsia" w:ascii="Times New Roman" w:hAnsi="Times New Roman" w:eastAsia="仿宋_GB2312" w:cs="Times New Roman"/>
          <w:color w:val="auto"/>
          <w:sz w:val="32"/>
          <w:szCs w:val="32"/>
          <w:u w:val="none"/>
        </w:rPr>
        <w:t>%，其中：</w:t>
      </w:r>
    </w:p>
    <w:p>
      <w:pPr>
        <w:pStyle w:val="10"/>
        <w:numPr>
          <w:ilvl w:val="0"/>
          <w:numId w:val="1"/>
        </w:numPr>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教育支出</w:t>
      </w:r>
      <w:r>
        <w:rPr>
          <w:rFonts w:hint="eastAsia" w:ascii="Times New Roman" w:hAnsi="Times New Roman" w:eastAsia="仿宋_GB2312" w:cs="Times New Roman"/>
          <w:color w:val="auto"/>
          <w:sz w:val="32"/>
          <w:szCs w:val="32"/>
        </w:rPr>
        <w:t>2</w:t>
      </w:r>
      <w:r>
        <w:rPr>
          <w:rFonts w:ascii="Times New Roman" w:hAnsi="Times New Roman" w:eastAsia="仿宋_GB2312" w:cs="Times New Roman"/>
          <w:color w:val="auto"/>
          <w:sz w:val="32"/>
          <w:szCs w:val="32"/>
        </w:rPr>
        <w:t>0</w:t>
      </w:r>
      <w:r>
        <w:rPr>
          <w:rFonts w:hint="eastAsia"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lang w:val="en-US" w:eastAsia="zh-CN"/>
        </w:rPr>
        <w:t>进修及培训20508</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lang w:val="en-US" w:eastAsia="zh-CN"/>
        </w:rPr>
        <w:t>教师进修2050801</w:t>
      </w:r>
      <w:r>
        <w:rPr>
          <w:rFonts w:ascii="Times New Roman" w:hAnsi="Times New Roman" w:eastAsia="仿宋_GB2312" w:cs="Times New Roman"/>
          <w:color w:val="auto"/>
          <w:sz w:val="32"/>
          <w:szCs w:val="32"/>
        </w:rPr>
        <w:t>（项）</w:t>
      </w:r>
    </w:p>
    <w:p>
      <w:pPr>
        <w:pStyle w:val="10"/>
        <w:numPr>
          <w:ilvl w:val="-1"/>
          <w:numId w:val="0"/>
        </w:numPr>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u w:val="none"/>
          <w:lang w:eastAsia="zh-CN"/>
        </w:rPr>
        <w:t>3</w:t>
      </w:r>
      <w:r>
        <w:rPr>
          <w:rFonts w:hint="eastAsia" w:ascii="Times New Roman" w:hAnsi="Times New Roman" w:eastAsia="仿宋_GB2312" w:cs="Times New Roman"/>
          <w:color w:val="auto"/>
          <w:sz w:val="32"/>
          <w:szCs w:val="32"/>
          <w:u w:val="none"/>
          <w:lang w:val="en-US" w:eastAsia="zh-CN"/>
        </w:rPr>
        <w:t>65.92</w:t>
      </w:r>
      <w:r>
        <w:rPr>
          <w:rFonts w:hint="eastAsia" w:ascii="Times New Roman" w:hAnsi="Times New Roman" w:eastAsia="仿宋_GB2312" w:cs="Times New Roman"/>
          <w:color w:val="auto"/>
          <w:sz w:val="32"/>
          <w:szCs w:val="32"/>
          <w:u w:val="none"/>
        </w:rPr>
        <w:t>万元，支出决算数为</w:t>
      </w:r>
      <w:r>
        <w:rPr>
          <w:rFonts w:hint="eastAsia" w:ascii="Times New Roman" w:hAnsi="Times New Roman" w:eastAsia="仿宋_GB2312" w:cs="Times New Roman"/>
          <w:color w:val="auto"/>
          <w:sz w:val="32"/>
          <w:szCs w:val="32"/>
          <w:u w:val="none"/>
          <w:lang w:eastAsia="zh-CN"/>
        </w:rPr>
        <w:t>3</w:t>
      </w:r>
      <w:r>
        <w:rPr>
          <w:rFonts w:hint="eastAsia" w:ascii="Times New Roman" w:hAnsi="Times New Roman" w:eastAsia="仿宋_GB2312" w:cs="Times New Roman"/>
          <w:color w:val="auto"/>
          <w:sz w:val="32"/>
          <w:szCs w:val="32"/>
          <w:u w:val="none"/>
          <w:lang w:val="en-US" w:eastAsia="zh-CN"/>
        </w:rPr>
        <w:t>66.00</w:t>
      </w:r>
      <w:r>
        <w:rPr>
          <w:rFonts w:hint="eastAsia"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u w:val="none"/>
          <w:lang w:eastAsia="zh-CN"/>
        </w:rPr>
        <w:t>1</w:t>
      </w:r>
      <w:r>
        <w:rPr>
          <w:rFonts w:hint="eastAsia" w:ascii="Times New Roman" w:hAnsi="Times New Roman" w:eastAsia="仿宋_GB2312" w:cs="Times New Roman"/>
          <w:color w:val="auto"/>
          <w:sz w:val="32"/>
          <w:szCs w:val="32"/>
          <w:u w:val="none"/>
          <w:lang w:val="en-US" w:eastAsia="zh-CN"/>
        </w:rPr>
        <w:t>00.01</w:t>
      </w:r>
      <w:r>
        <w:rPr>
          <w:rFonts w:hint="eastAsia"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p>
    <w:p>
      <w:pPr>
        <w:pStyle w:val="10"/>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六、一般公共预算财政拨款基本支出决算情况说明</w:t>
      </w:r>
    </w:p>
    <w:p>
      <w:pPr>
        <w:pStyle w:val="10"/>
        <w:spacing w:line="560" w:lineRule="atLeas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2021</w:t>
      </w:r>
      <w:r>
        <w:rPr>
          <w:rFonts w:ascii="Times New Roman" w:hAnsi="Times New Roman" w:eastAsia="仿宋_GB2312" w:cs="Times New Roman"/>
          <w:color w:val="auto"/>
          <w:sz w:val="32"/>
          <w:szCs w:val="32"/>
          <w:u w:val="none"/>
        </w:rPr>
        <w:t>年度财政拨款基本支出</w:t>
      </w:r>
      <w:r>
        <w:rPr>
          <w:rFonts w:hint="eastAsia" w:ascii="Times New Roman" w:hAnsi="Times New Roman" w:eastAsia="仿宋_GB2312" w:cs="Times New Roman"/>
          <w:color w:val="auto"/>
          <w:sz w:val="32"/>
          <w:szCs w:val="32"/>
          <w:u w:val="none"/>
          <w:lang w:eastAsia="zh-CN"/>
        </w:rPr>
        <w:t>3</w:t>
      </w:r>
      <w:r>
        <w:rPr>
          <w:rFonts w:hint="eastAsia" w:ascii="Times New Roman" w:hAnsi="Times New Roman" w:eastAsia="仿宋_GB2312" w:cs="Times New Roman"/>
          <w:color w:val="auto"/>
          <w:sz w:val="32"/>
          <w:szCs w:val="32"/>
          <w:u w:val="none"/>
          <w:lang w:val="en-US" w:eastAsia="zh-CN"/>
        </w:rPr>
        <w:t>66.00</w:t>
      </w:r>
      <w:r>
        <w:rPr>
          <w:rFonts w:ascii="Times New Roman" w:hAnsi="Times New Roman" w:eastAsia="仿宋_GB2312" w:cs="Times New Roman"/>
          <w:color w:val="auto"/>
          <w:sz w:val="32"/>
          <w:szCs w:val="32"/>
          <w:u w:val="none"/>
        </w:rPr>
        <w:t>万元，其中：人员经费</w:t>
      </w:r>
      <w:r>
        <w:rPr>
          <w:rFonts w:hint="eastAsia" w:ascii="Times New Roman" w:hAnsi="Times New Roman" w:eastAsia="仿宋_GB2312" w:cs="Times New Roman"/>
          <w:color w:val="auto"/>
          <w:sz w:val="32"/>
          <w:szCs w:val="32"/>
          <w:u w:val="none"/>
          <w:lang w:val="en-US" w:eastAsia="zh-CN"/>
        </w:rPr>
        <w:t>297.01</w:t>
      </w:r>
      <w:r>
        <w:rPr>
          <w:rFonts w:ascii="Times New Roman" w:hAnsi="Times New Roman" w:eastAsia="仿宋_GB2312" w:cs="Times New Roman"/>
          <w:color w:val="auto"/>
          <w:sz w:val="32"/>
          <w:szCs w:val="32"/>
          <w:u w:val="none"/>
        </w:rPr>
        <w:t>万元，占基本支出的</w:t>
      </w:r>
      <w:r>
        <w:rPr>
          <w:rFonts w:hint="eastAsia" w:ascii="Times New Roman" w:hAnsi="Times New Roman" w:eastAsia="仿宋_GB2312" w:cs="Times New Roman"/>
          <w:color w:val="auto"/>
          <w:sz w:val="32"/>
          <w:szCs w:val="32"/>
          <w:u w:val="none"/>
          <w:lang w:val="en-US" w:eastAsia="zh-CN"/>
        </w:rPr>
        <w:t>81.15</w:t>
      </w:r>
      <w:r>
        <w:rPr>
          <w:rFonts w:ascii="Times New Roman" w:hAnsi="Times New Roman" w:eastAsia="仿宋_GB2312" w:cs="Times New Roman"/>
          <w:color w:val="auto"/>
          <w:sz w:val="32"/>
          <w:szCs w:val="32"/>
          <w:u w:val="none"/>
        </w:rPr>
        <w:t>%,</w:t>
      </w:r>
      <w:r>
        <w:rPr>
          <w:rFonts w:hint="eastAsia" w:ascii="仿宋_GB2312" w:hAnsi="仿宋_GB2312" w:eastAsia="仿宋_GB2312" w:cs="仿宋_GB2312"/>
          <w:sz w:val="32"/>
          <w:szCs w:val="32"/>
          <w:u w:val="none"/>
        </w:rPr>
        <w:t>主要包括基本工资、奖金、绩效工资、社会保障缴费、生活补助、住房公积金等支出</w:t>
      </w:r>
      <w:r>
        <w:rPr>
          <w:rFonts w:ascii="Times New Roman" w:hAnsi="Times New Roman" w:eastAsia="仿宋_GB2312" w:cs="Times New Roman"/>
          <w:color w:val="auto"/>
          <w:sz w:val="32"/>
          <w:szCs w:val="32"/>
          <w:u w:val="none"/>
        </w:rPr>
        <w:t>；公用经费</w:t>
      </w:r>
      <w:r>
        <w:rPr>
          <w:rFonts w:hint="eastAsia" w:ascii="Times New Roman" w:hAnsi="Times New Roman" w:eastAsia="仿宋_GB2312" w:cs="Times New Roman"/>
          <w:color w:val="auto"/>
          <w:sz w:val="32"/>
          <w:szCs w:val="32"/>
          <w:u w:val="none"/>
          <w:lang w:val="en-US" w:eastAsia="zh-CN"/>
        </w:rPr>
        <w:t>68.99</w:t>
      </w:r>
      <w:r>
        <w:rPr>
          <w:rFonts w:ascii="Times New Roman" w:hAnsi="Times New Roman" w:eastAsia="仿宋_GB2312" w:cs="Times New Roman"/>
          <w:color w:val="auto"/>
          <w:sz w:val="32"/>
          <w:szCs w:val="32"/>
          <w:u w:val="none"/>
        </w:rPr>
        <w:t>万元，占基本支出的</w:t>
      </w:r>
      <w:r>
        <w:rPr>
          <w:rFonts w:hint="eastAsia" w:ascii="Times New Roman" w:hAnsi="Times New Roman" w:eastAsia="仿宋_GB2312" w:cs="Times New Roman"/>
          <w:color w:val="auto"/>
          <w:sz w:val="32"/>
          <w:szCs w:val="32"/>
          <w:u w:val="none"/>
          <w:lang w:val="en-US" w:eastAsia="zh-CN"/>
        </w:rPr>
        <w:t>18.85</w:t>
      </w:r>
      <w:r>
        <w:rPr>
          <w:rFonts w:ascii="Times New Roman" w:hAnsi="Times New Roman" w:eastAsia="仿宋_GB2312" w:cs="Times New Roman"/>
          <w:color w:val="auto"/>
          <w:sz w:val="32"/>
          <w:szCs w:val="32"/>
          <w:u w:val="none"/>
        </w:rPr>
        <w:t>%，主要包括</w:t>
      </w:r>
      <w:r>
        <w:rPr>
          <w:rFonts w:hint="eastAsia" w:ascii="仿宋_GB2312" w:hAnsi="仿宋_GB2312" w:eastAsia="仿宋_GB2312" w:cs="仿宋_GB2312"/>
          <w:sz w:val="32"/>
          <w:szCs w:val="32"/>
          <w:u w:val="none"/>
        </w:rPr>
        <w:t>包括单位办公费、印刷费、水电费、邮电费、差旅费、会议费、培训费、工</w:t>
      </w:r>
      <w:r>
        <w:rPr>
          <w:rFonts w:hint="eastAsia" w:ascii="仿宋_GB2312" w:hAnsi="仿宋_GB2312" w:eastAsia="宋体" w:cs="仿宋_GB2312"/>
          <w:sz w:val="32"/>
          <w:szCs w:val="32"/>
          <w:u w:val="none"/>
        </w:rPr>
        <w:t>会</w:t>
      </w:r>
      <w:r>
        <w:rPr>
          <w:rFonts w:hint="eastAsia" w:ascii="仿宋_GB2312" w:hAnsi="仿宋_GB2312" w:eastAsia="仿宋_GB2312" w:cs="仿宋_GB2312"/>
          <w:sz w:val="32"/>
          <w:szCs w:val="32"/>
          <w:u w:val="none"/>
        </w:rPr>
        <w:t>经费、福利费、维修费、其它商品和服务性支出等开支。</w:t>
      </w:r>
    </w:p>
    <w:p>
      <w:pPr>
        <w:pStyle w:val="10"/>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七、一般公共预算财政拨款三公经费支出决算情况说明</w:t>
      </w:r>
    </w:p>
    <w:p>
      <w:pPr>
        <w:pStyle w:val="10"/>
        <w:spacing w:line="600" w:lineRule="exact"/>
        <w:ind w:firstLine="643" w:firstLineChars="200"/>
        <w:outlineLvl w:val="2"/>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（一）“三公”经费财政拨款支出决算总体情况说明</w:t>
      </w:r>
    </w:p>
    <w:p>
      <w:pPr>
        <w:pStyle w:val="10"/>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“三公”经费财政拨款支出预算为</w:t>
      </w:r>
      <w:r>
        <w:rPr>
          <w:rFonts w:hint="eastAsia" w:ascii="Times New Roman" w:hAnsi="Times New Roman" w:eastAsia="仿宋_GB2312" w:cs="Times New Roman"/>
          <w:color w:val="auto"/>
          <w:sz w:val="32"/>
          <w:szCs w:val="32"/>
          <w:u w:val="none"/>
          <w:lang w:eastAsia="zh-CN"/>
        </w:rPr>
        <w:t>0</w:t>
      </w:r>
      <w:r>
        <w:rPr>
          <w:rFonts w:hint="eastAsia" w:ascii="Times New Roman" w:hAnsi="Times New Roman" w:eastAsia="仿宋_GB2312" w:cs="Times New Roman"/>
          <w:color w:val="auto"/>
          <w:sz w:val="32"/>
          <w:szCs w:val="32"/>
          <w:u w:val="none"/>
          <w:lang w:val="en-US" w:eastAsia="zh-CN"/>
        </w:rPr>
        <w:t>.6</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eastAsia="zh-CN"/>
        </w:rPr>
        <w:t>0</w:t>
      </w:r>
      <w:r>
        <w:rPr>
          <w:rFonts w:hint="eastAsia" w:ascii="Times New Roman" w:hAnsi="Times New Roman" w:eastAsia="仿宋_GB2312" w:cs="Times New Roman"/>
          <w:color w:val="auto"/>
          <w:sz w:val="32"/>
          <w:szCs w:val="32"/>
          <w:u w:val="none"/>
          <w:lang w:val="en-US" w:eastAsia="zh-CN"/>
        </w:rPr>
        <w:t>.51</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eastAsia="zh-CN"/>
        </w:rPr>
        <w:t>8</w:t>
      </w:r>
      <w:r>
        <w:rPr>
          <w:rFonts w:hint="eastAsia" w:ascii="Times New Roman" w:hAnsi="Times New Roman" w:eastAsia="仿宋_GB2312" w:cs="Times New Roman"/>
          <w:color w:val="auto"/>
          <w:sz w:val="32"/>
          <w:szCs w:val="32"/>
          <w:u w:val="none"/>
          <w:lang w:val="en-US" w:eastAsia="zh-CN"/>
        </w:rPr>
        <w:t>5</w:t>
      </w:r>
      <w:r>
        <w:rPr>
          <w:rFonts w:ascii="Times New Roman" w:hAnsi="Times New Roman" w:eastAsia="仿宋_GB2312" w:cs="Times New Roman"/>
          <w:color w:val="auto"/>
          <w:sz w:val="32"/>
          <w:szCs w:val="32"/>
          <w:u w:val="none"/>
        </w:rPr>
        <w:t>%，其中：</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因公出国（境）费支出预算为</w:t>
      </w:r>
      <w:r>
        <w:rPr>
          <w:rFonts w:hint="eastAsia" w:ascii="Times New Roman" w:hAnsi="Times New Roman" w:eastAsia="仿宋_GB2312" w:cs="Times New Roman"/>
          <w:color w:val="auto"/>
          <w:sz w:val="32"/>
          <w:szCs w:val="32"/>
          <w:u w:val="none"/>
        </w:rPr>
        <w:t>0</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rPr>
        <w:t>0</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val="en-US" w:eastAsia="zh-CN"/>
        </w:rPr>
        <w:t>由于预算数为0，无法计算百分比。本年决算数与上年决算数相比无变化</w:t>
      </w:r>
      <w:r>
        <w:rPr>
          <w:rFonts w:ascii="Times New Roman" w:hAnsi="Times New Roman" w:eastAsia="仿宋_GB2312" w:cs="Times New Roman"/>
          <w:color w:val="auto"/>
          <w:sz w:val="32"/>
          <w:szCs w:val="32"/>
          <w:u w:val="none"/>
        </w:rPr>
        <w:t>。</w:t>
      </w:r>
    </w:p>
    <w:p>
      <w:pPr>
        <w:pStyle w:val="10"/>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公务接待费支出预算</w:t>
      </w:r>
      <w:r>
        <w:rPr>
          <w:rFonts w:hint="eastAsia" w:ascii="Times New Roman" w:hAnsi="Times New Roman" w:eastAsia="仿宋_GB2312" w:cs="Times New Roman"/>
          <w:color w:val="auto"/>
          <w:sz w:val="32"/>
          <w:szCs w:val="32"/>
          <w:u w:val="none"/>
          <w:lang w:eastAsia="zh-CN"/>
        </w:rPr>
        <w:t>0</w:t>
      </w:r>
      <w:r>
        <w:rPr>
          <w:rFonts w:hint="eastAsia" w:ascii="Times New Roman" w:hAnsi="Times New Roman" w:eastAsia="仿宋_GB2312" w:cs="Times New Roman"/>
          <w:color w:val="auto"/>
          <w:sz w:val="32"/>
          <w:szCs w:val="32"/>
          <w:u w:val="none"/>
          <w:lang w:val="en-US" w:eastAsia="zh-CN"/>
        </w:rPr>
        <w:t>.6</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eastAsia="zh-CN"/>
        </w:rPr>
        <w:t>0</w:t>
      </w:r>
      <w:r>
        <w:rPr>
          <w:rFonts w:hint="eastAsia" w:ascii="Times New Roman" w:hAnsi="Times New Roman" w:eastAsia="仿宋_GB2312" w:cs="Times New Roman"/>
          <w:color w:val="auto"/>
          <w:sz w:val="32"/>
          <w:szCs w:val="32"/>
          <w:u w:val="none"/>
          <w:lang w:val="en-US" w:eastAsia="zh-CN"/>
        </w:rPr>
        <w:t>.51</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eastAsia="zh-CN"/>
        </w:rPr>
        <w:t>8</w:t>
      </w:r>
      <w:r>
        <w:rPr>
          <w:rFonts w:hint="eastAsia" w:ascii="Times New Roman" w:hAnsi="Times New Roman" w:eastAsia="仿宋_GB2312" w:cs="Times New Roman"/>
          <w:color w:val="auto"/>
          <w:sz w:val="32"/>
          <w:szCs w:val="32"/>
          <w:u w:val="none"/>
          <w:lang w:val="en-US" w:eastAsia="zh-CN"/>
        </w:rPr>
        <w:t>5</w:t>
      </w:r>
      <w:r>
        <w:rPr>
          <w:rFonts w:ascii="Times New Roman" w:hAnsi="Times New Roman" w:eastAsia="仿宋_GB2312" w:cs="Times New Roman"/>
          <w:color w:val="auto"/>
          <w:sz w:val="32"/>
          <w:szCs w:val="32"/>
          <w:u w:val="none"/>
        </w:rPr>
        <w:t>%，决算数小于年初预算数的主要原因是</w:t>
      </w:r>
      <w:r>
        <w:rPr>
          <w:rFonts w:hint="eastAsia" w:ascii="Times New Roman" w:hAnsi="Times New Roman" w:eastAsia="仿宋_GB2312" w:cs="Times New Roman"/>
          <w:color w:val="auto"/>
          <w:sz w:val="32"/>
          <w:szCs w:val="32"/>
          <w:u w:val="none"/>
          <w:lang w:eastAsia="zh-CN"/>
        </w:rPr>
        <w:t>学校奉行勤俭节约的风格，招待费减少。</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s="Times New Roman"/>
          <w:color w:val="auto"/>
          <w:sz w:val="32"/>
          <w:szCs w:val="32"/>
          <w:u w:val="none"/>
        </w:rPr>
      </w:pPr>
      <w:r>
        <w:rPr>
          <w:rFonts w:hint="default" w:ascii="Times New Roman" w:hAnsi="Times New Roman" w:eastAsia="仿宋_GB2312" w:cs="Times New Roman"/>
          <w:b w:val="0"/>
          <w:color w:val="auto"/>
          <w:sz w:val="32"/>
          <w:szCs w:val="32"/>
          <w:u w:val="none"/>
        </w:rPr>
        <w:t>公务用车购置费及运行维护费支出预算为0万元，支出决算为0万元</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由于预算数为0，无法计算百分比。本年决算数与上年决算数相比无变化</w:t>
      </w:r>
      <w:r>
        <w:rPr>
          <w:rFonts w:hint="eastAsia" w:ascii="Times New Roman" w:hAnsi="Times New Roman" w:eastAsia="仿宋_GB2312" w:cs="Times New Roman"/>
          <w:color w:val="auto"/>
          <w:sz w:val="32"/>
          <w:szCs w:val="32"/>
          <w:u w:val="none"/>
          <w:lang w:eastAsia="zh-CN"/>
        </w:rPr>
        <w:t>。</w:t>
      </w:r>
    </w:p>
    <w:p>
      <w:pPr>
        <w:pStyle w:val="10"/>
        <w:spacing w:line="600" w:lineRule="exact"/>
        <w:ind w:firstLine="643" w:firstLineChars="200"/>
        <w:outlineLvl w:val="2"/>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（二）“三公”经费财政拨款支出决算具体情况说明</w:t>
      </w:r>
    </w:p>
    <w:p>
      <w:pPr>
        <w:pStyle w:val="10"/>
        <w:spacing w:line="600" w:lineRule="exact"/>
        <w:ind w:firstLine="640" w:firstLineChars="200"/>
        <w:outlineLvl w:val="9"/>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u w:val="none"/>
          <w:lang w:val="en-US" w:eastAsia="zh-CN"/>
        </w:rPr>
        <w:t>2021</w:t>
      </w:r>
      <w:r>
        <w:rPr>
          <w:rFonts w:ascii="Times New Roman" w:hAnsi="Times New Roman" w:eastAsia="仿宋_GB2312" w:cs="Times New Roman"/>
          <w:color w:val="auto"/>
          <w:sz w:val="32"/>
          <w:szCs w:val="32"/>
          <w:u w:val="none"/>
        </w:rPr>
        <w:t>年度“三公”经费财政拨款支出决算中，公务接待费支出决算</w:t>
      </w:r>
      <w:r>
        <w:rPr>
          <w:rFonts w:hint="eastAsia" w:ascii="Times New Roman" w:hAnsi="Times New Roman" w:eastAsia="仿宋_GB2312" w:cs="Times New Roman"/>
          <w:color w:val="auto"/>
          <w:sz w:val="32"/>
          <w:szCs w:val="32"/>
          <w:u w:val="none"/>
          <w:lang w:eastAsia="zh-CN"/>
        </w:rPr>
        <w:t>0</w:t>
      </w:r>
      <w:r>
        <w:rPr>
          <w:rFonts w:hint="eastAsia" w:ascii="Times New Roman" w:hAnsi="Times New Roman" w:eastAsia="仿宋_GB2312" w:cs="Times New Roman"/>
          <w:color w:val="auto"/>
          <w:sz w:val="32"/>
          <w:szCs w:val="32"/>
          <w:u w:val="none"/>
          <w:lang w:val="en-US" w:eastAsia="zh-CN"/>
        </w:rPr>
        <w:t>.51</w:t>
      </w:r>
      <w:r>
        <w:rPr>
          <w:rFonts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因公出国（境）费支出决算</w:t>
      </w:r>
      <w:r>
        <w:rPr>
          <w:rFonts w:hint="default"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公务用车购置费及运行维护费支出决算</w:t>
      </w:r>
      <w:r>
        <w:rPr>
          <w:rFonts w:hint="default"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%。其中：</w:t>
      </w:r>
    </w:p>
    <w:p>
      <w:pPr>
        <w:pStyle w:val="10"/>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1、因公出国（境）费支出决算为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万元，全年安排因公出国（境）团组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rPr>
        <w:t>。</w:t>
      </w:r>
    </w:p>
    <w:p>
      <w:pPr>
        <w:pStyle w:val="10"/>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2、</w:t>
      </w:r>
      <w:r>
        <w:rPr>
          <w:rFonts w:ascii="Times New Roman" w:hAnsi="Times New Roman" w:eastAsia="仿宋_GB2312" w:cs="Times New Roman"/>
          <w:color w:val="auto"/>
          <w:sz w:val="32"/>
          <w:szCs w:val="32"/>
          <w:u w:val="none"/>
        </w:rPr>
        <w:t>公务接待费支出决算为</w:t>
      </w:r>
      <w:r>
        <w:rPr>
          <w:rFonts w:hint="eastAsia" w:ascii="Times New Roman" w:hAnsi="Times New Roman" w:eastAsia="仿宋_GB2312" w:cs="Times New Roman"/>
          <w:color w:val="auto"/>
          <w:sz w:val="32"/>
          <w:szCs w:val="32"/>
          <w:u w:val="none"/>
          <w:lang w:eastAsia="zh-CN"/>
        </w:rPr>
        <w:t>0</w:t>
      </w:r>
      <w:r>
        <w:rPr>
          <w:rFonts w:hint="eastAsia" w:ascii="Times New Roman" w:hAnsi="Times New Roman" w:eastAsia="仿宋_GB2312" w:cs="Times New Roman"/>
          <w:color w:val="auto"/>
          <w:sz w:val="32"/>
          <w:szCs w:val="32"/>
          <w:u w:val="none"/>
          <w:lang w:val="en-US" w:eastAsia="zh-CN"/>
        </w:rPr>
        <w:t>.51</w:t>
      </w:r>
      <w:r>
        <w:rPr>
          <w:rFonts w:ascii="Times New Roman" w:hAnsi="Times New Roman" w:eastAsia="仿宋_GB2312" w:cs="Times New Roman"/>
          <w:color w:val="auto"/>
          <w:sz w:val="32"/>
          <w:szCs w:val="32"/>
          <w:u w:val="none"/>
        </w:rPr>
        <w:t>万元，全年共接待来访团组、来宾</w:t>
      </w:r>
      <w:r>
        <w:rPr>
          <w:rFonts w:hint="eastAsia" w:ascii="Times New Roman" w:hAnsi="Times New Roman" w:eastAsia="仿宋_GB2312" w:cs="Times New Roman"/>
          <w:color w:val="auto"/>
          <w:sz w:val="32"/>
          <w:szCs w:val="32"/>
          <w:u w:val="none"/>
          <w:lang w:val="en-US" w:eastAsia="zh-CN"/>
        </w:rPr>
        <w:t>20</w:t>
      </w:r>
      <w:r>
        <w:rPr>
          <w:rFonts w:ascii="Times New Roman" w:hAnsi="Times New Roman" w:eastAsia="仿宋_GB2312" w:cs="Times New Roman"/>
          <w:color w:val="auto"/>
          <w:sz w:val="32"/>
          <w:szCs w:val="32"/>
          <w:u w:val="none"/>
        </w:rPr>
        <w:t>人次，主要是</w:t>
      </w:r>
      <w:r>
        <w:rPr>
          <w:rFonts w:hint="eastAsia" w:ascii="Times New Roman" w:hAnsi="Times New Roman" w:eastAsia="仿宋_GB2312" w:cs="Times New Roman"/>
          <w:color w:val="auto"/>
          <w:sz w:val="32"/>
          <w:szCs w:val="32"/>
          <w:u w:val="none"/>
          <w:lang w:eastAsia="zh-CN"/>
        </w:rPr>
        <w:t>上级部门到校检查</w:t>
      </w:r>
      <w:r>
        <w:rPr>
          <w:rFonts w:ascii="Times New Roman" w:hAnsi="Times New Roman" w:eastAsia="仿宋_GB2312" w:cs="Times New Roman"/>
          <w:color w:val="auto"/>
          <w:sz w:val="32"/>
          <w:szCs w:val="32"/>
          <w:u w:val="none"/>
        </w:rPr>
        <w:t>发生的接待支出。</w:t>
      </w:r>
    </w:p>
    <w:p>
      <w:pPr>
        <w:spacing w:line="600" w:lineRule="exact"/>
        <w:ind w:firstLine="640" w:firstLineChars="200"/>
        <w:rPr>
          <w:rFonts w:eastAsia="仿宋_GB2312"/>
          <w:kern w:val="0"/>
          <w:sz w:val="32"/>
          <w:szCs w:val="32"/>
        </w:rPr>
      </w:pPr>
      <w:r>
        <w:rPr>
          <w:rFonts w:eastAsia="仿宋_GB2312"/>
          <w:sz w:val="32"/>
          <w:szCs w:val="32"/>
        </w:rPr>
        <w:t>3、公务用车购置费及运行维护费支出决算为</w:t>
      </w:r>
      <w:r>
        <w:rPr>
          <w:rFonts w:hint="eastAsia" w:eastAsia="仿宋_GB2312"/>
          <w:sz w:val="32"/>
          <w:szCs w:val="32"/>
        </w:rPr>
        <w:t>0</w:t>
      </w:r>
      <w:r>
        <w:rPr>
          <w:rFonts w:eastAsia="仿宋_GB2312"/>
          <w:sz w:val="32"/>
          <w:szCs w:val="32"/>
        </w:rPr>
        <w:t>万元，其中：公务用车购置费</w:t>
      </w:r>
      <w:r>
        <w:rPr>
          <w:rFonts w:hint="eastAsia" w:eastAsia="仿宋_GB2312"/>
          <w:sz w:val="32"/>
          <w:szCs w:val="32"/>
        </w:rPr>
        <w:t>0</w:t>
      </w:r>
      <w:r>
        <w:rPr>
          <w:rFonts w:eastAsia="仿宋_GB2312"/>
          <w:sz w:val="32"/>
          <w:szCs w:val="32"/>
        </w:rPr>
        <w:t>万元，更新公务用车</w:t>
      </w:r>
      <w:r>
        <w:rPr>
          <w:rFonts w:hint="eastAsia" w:eastAsia="仿宋_GB2312"/>
          <w:sz w:val="32"/>
          <w:szCs w:val="32"/>
        </w:rPr>
        <w:t>0</w:t>
      </w:r>
      <w:r>
        <w:rPr>
          <w:rFonts w:eastAsia="仿宋_GB2312"/>
          <w:sz w:val="32"/>
          <w:szCs w:val="32"/>
        </w:rPr>
        <w:t>辆。公务用车运行维护费</w:t>
      </w:r>
      <w:r>
        <w:rPr>
          <w:rFonts w:hint="eastAsia" w:eastAsia="仿宋_GB2312"/>
          <w:sz w:val="32"/>
          <w:szCs w:val="32"/>
        </w:rPr>
        <w:t>0</w:t>
      </w:r>
      <w:r>
        <w:rPr>
          <w:rFonts w:eastAsia="仿宋_GB2312"/>
          <w:sz w:val="32"/>
          <w:szCs w:val="32"/>
        </w:rPr>
        <w:t>万元，截止</w:t>
      </w:r>
      <w:r>
        <w:rPr>
          <w:rFonts w:hint="eastAsia" w:eastAsia="仿宋_GB2312"/>
          <w:sz w:val="32"/>
          <w:szCs w:val="32"/>
        </w:rPr>
        <w:t>20</w:t>
      </w:r>
      <w:r>
        <w:rPr>
          <w:rFonts w:hint="eastAsia" w:eastAsia="仿宋_GB2312"/>
          <w:sz w:val="32"/>
          <w:szCs w:val="32"/>
          <w:lang w:val="en-US" w:eastAsia="zh-CN"/>
        </w:rPr>
        <w:t>21</w:t>
      </w:r>
      <w:r>
        <w:rPr>
          <w:rFonts w:eastAsia="仿宋_GB2312"/>
          <w:sz w:val="32"/>
          <w:szCs w:val="32"/>
        </w:rPr>
        <w:t>年12月31日，我单位开支财政拨款的公务用车保有量为</w:t>
      </w:r>
      <w:r>
        <w:rPr>
          <w:rFonts w:hint="eastAsia" w:eastAsia="仿宋_GB2312"/>
          <w:sz w:val="32"/>
          <w:szCs w:val="32"/>
        </w:rPr>
        <w:t>0</w:t>
      </w:r>
      <w:r>
        <w:rPr>
          <w:rFonts w:eastAsia="仿宋_GB2312"/>
          <w:sz w:val="32"/>
          <w:szCs w:val="32"/>
        </w:rPr>
        <w:t>辆。</w:t>
      </w:r>
    </w:p>
    <w:p>
      <w:pPr>
        <w:pStyle w:val="10"/>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八、政府性基金预算收入支出决算情况</w:t>
      </w:r>
    </w:p>
    <w:p>
      <w:pPr>
        <w:spacing w:line="600" w:lineRule="exact"/>
        <w:ind w:firstLine="640" w:firstLineChars="200"/>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本单位无政府性基金收支</w:t>
      </w:r>
      <w:r>
        <w:rPr>
          <w:rFonts w:hint="default" w:ascii="Times New Roman" w:hAnsi="Times New Roman" w:eastAsia="仿宋_GB2312" w:cs="Times New Roman"/>
          <w:color w:val="auto"/>
          <w:sz w:val="32"/>
          <w:szCs w:val="32"/>
          <w:u w:val="none"/>
          <w:lang w:eastAsia="zh-CN"/>
        </w:rPr>
        <w:t>。</w:t>
      </w:r>
    </w:p>
    <w:p>
      <w:pPr>
        <w:pStyle w:val="10"/>
        <w:spacing w:line="600" w:lineRule="exact"/>
        <w:ind w:firstLine="640" w:firstLineChars="200"/>
        <w:outlineLvl w:val="1"/>
        <w:rPr>
          <w:rFonts w:hAnsi="黑体" w:cs="Times New Roman"/>
          <w:color w:val="auto"/>
          <w:sz w:val="32"/>
          <w:szCs w:val="32"/>
          <w:u w:val="none"/>
        </w:rPr>
      </w:pPr>
      <w:r>
        <w:rPr>
          <w:rFonts w:hint="eastAsia" w:hAnsi="黑体" w:cs="Times New Roman"/>
          <w:color w:val="auto"/>
          <w:sz w:val="32"/>
          <w:szCs w:val="32"/>
          <w:u w:val="none"/>
          <w:lang w:eastAsia="zh-CN"/>
        </w:rPr>
        <w:t>九</w:t>
      </w:r>
      <w:r>
        <w:rPr>
          <w:rFonts w:hAnsi="黑体" w:cs="Times New Roman"/>
          <w:color w:val="auto"/>
          <w:sz w:val="32"/>
          <w:szCs w:val="32"/>
          <w:u w:val="none"/>
        </w:rPr>
        <w:t>、</w:t>
      </w:r>
      <w:r>
        <w:rPr>
          <w:rFonts w:hint="eastAsia" w:hAnsi="黑体" w:cs="Times New Roman"/>
          <w:color w:val="auto"/>
          <w:sz w:val="32"/>
          <w:szCs w:val="32"/>
          <w:u w:val="none"/>
        </w:rPr>
        <w:t>国有资本经营预算财政拨款支出决算情况</w:t>
      </w:r>
    </w:p>
    <w:p>
      <w:pPr>
        <w:pStyle w:val="10"/>
        <w:keepNext w:val="0"/>
        <w:keepLines w:val="0"/>
        <w:pageBreakBefore w:val="0"/>
        <w:numPr>
          <w:ilvl w:val="0"/>
          <w:numId w:val="0"/>
        </w:numPr>
        <w:kinsoku/>
        <w:wordWrap/>
        <w:overflowPunct/>
        <w:topLinePunct w:val="0"/>
        <w:bidi w:val="0"/>
        <w:snapToGrid/>
        <w:spacing w:beforeAutospacing="0" w:afterAutospacing="0" w:line="600" w:lineRule="exact"/>
        <w:ind w:firstLine="640" w:firstLineChars="200"/>
        <w:textAlignment w:val="auto"/>
        <w:outlineLvl w:val="1"/>
        <w:rPr>
          <w:rFonts w:hint="eastAsia" w:ascii="Times New Roman" w:hAnsi="Times New Roman" w:eastAsia="仿宋_GB2312" w:cs="Times New Roman"/>
          <w:color w:val="auto"/>
          <w:sz w:val="32"/>
          <w:szCs w:val="32"/>
          <w:u w:val="none"/>
          <w:lang w:eastAsia="zh-CN"/>
        </w:rPr>
      </w:pPr>
      <w:r>
        <w:rPr>
          <w:rFonts w:ascii="Times New Roman" w:hAnsi="Times New Roman" w:eastAsia="仿宋_GB2312" w:cs="Times New Roman"/>
          <w:color w:val="auto"/>
          <w:sz w:val="32"/>
          <w:szCs w:val="32"/>
          <w:u w:val="none"/>
        </w:rPr>
        <w:t>本单位无</w:t>
      </w:r>
      <w:r>
        <w:rPr>
          <w:rFonts w:hint="eastAsia" w:ascii="Times New Roman" w:hAnsi="Times New Roman" w:eastAsia="仿宋_GB2312" w:cs="Times New Roman"/>
          <w:color w:val="auto"/>
          <w:sz w:val="32"/>
          <w:szCs w:val="32"/>
          <w:u w:val="none"/>
          <w:lang w:eastAsia="zh-CN"/>
        </w:rPr>
        <w:t>国有资本经营预算支出。</w:t>
      </w:r>
    </w:p>
    <w:p>
      <w:pPr>
        <w:pStyle w:val="10"/>
        <w:keepNext w:val="0"/>
        <w:keepLines w:val="0"/>
        <w:pageBreakBefore w:val="0"/>
        <w:numPr>
          <w:ilvl w:val="0"/>
          <w:numId w:val="0"/>
        </w:numPr>
        <w:kinsoku/>
        <w:wordWrap/>
        <w:overflowPunct/>
        <w:topLinePunct w:val="0"/>
        <w:bidi w:val="0"/>
        <w:snapToGrid/>
        <w:spacing w:beforeAutospacing="0" w:afterAutospacing="0" w:line="600" w:lineRule="exact"/>
        <w:ind w:firstLine="640" w:firstLineChars="200"/>
        <w:textAlignment w:val="auto"/>
        <w:outlineLvl w:val="1"/>
        <w:rPr>
          <w:rFonts w:hint="default" w:ascii="黑体" w:hAnsi="黑体" w:eastAsia="黑体" w:cs="Times New Roman"/>
          <w:b w:val="0"/>
          <w:bCs w:val="0"/>
          <w:color w:val="auto"/>
          <w:sz w:val="32"/>
          <w:szCs w:val="32"/>
          <w:u w:val="none"/>
        </w:rPr>
      </w:pPr>
      <w:r>
        <w:rPr>
          <w:rFonts w:hint="eastAsia" w:hAnsi="黑体" w:cs="Times New Roman"/>
          <w:b w:val="0"/>
          <w:bCs w:val="0"/>
          <w:color w:val="auto"/>
          <w:sz w:val="32"/>
          <w:szCs w:val="32"/>
          <w:u w:val="none"/>
          <w:lang w:val="en-US" w:eastAsia="zh-CN"/>
        </w:rPr>
        <w:t>十</w:t>
      </w:r>
      <w:r>
        <w:rPr>
          <w:rFonts w:hint="default" w:ascii="黑体" w:hAnsi="黑体" w:eastAsia="黑体" w:cs="Times New Roman"/>
          <w:b w:val="0"/>
          <w:bCs w:val="0"/>
          <w:color w:val="auto"/>
          <w:sz w:val="32"/>
          <w:szCs w:val="32"/>
          <w:u w:val="none"/>
          <w:lang w:val="en-US" w:eastAsia="zh-CN"/>
        </w:rPr>
        <w:t>、</w:t>
      </w:r>
      <w:r>
        <w:rPr>
          <w:rFonts w:hint="default" w:ascii="黑体" w:hAnsi="黑体" w:eastAsia="黑体" w:cs="Times New Roman"/>
          <w:b w:val="0"/>
          <w:bCs w:val="0"/>
          <w:color w:val="auto"/>
          <w:sz w:val="32"/>
          <w:szCs w:val="32"/>
          <w:u w:val="none"/>
        </w:rPr>
        <w:t>关于20</w:t>
      </w:r>
      <w:r>
        <w:rPr>
          <w:rFonts w:hint="default" w:ascii="黑体" w:hAnsi="黑体" w:eastAsia="黑体" w:cs="Times New Roman"/>
          <w:b w:val="0"/>
          <w:bCs w:val="0"/>
          <w:color w:val="auto"/>
          <w:sz w:val="32"/>
          <w:szCs w:val="32"/>
          <w:u w:val="none"/>
          <w:lang w:val="en-US" w:eastAsia="zh-CN"/>
        </w:rPr>
        <w:t>21</w:t>
      </w:r>
      <w:r>
        <w:rPr>
          <w:rFonts w:hint="default" w:ascii="黑体" w:hAnsi="黑体" w:eastAsia="黑体" w:cs="Times New Roman"/>
          <w:b w:val="0"/>
          <w:bCs w:val="0"/>
          <w:color w:val="auto"/>
          <w:sz w:val="32"/>
          <w:szCs w:val="32"/>
          <w:u w:val="none"/>
        </w:rPr>
        <w:t>年度预算绩效情况说明</w:t>
      </w:r>
    </w:p>
    <w:p>
      <w:pPr>
        <w:keepNext w:val="0"/>
        <w:keepLines w:val="0"/>
        <w:pageBreakBefore w:val="0"/>
        <w:widowControl/>
        <w:kinsoku/>
        <w:wordWrap/>
        <w:overflowPunct/>
        <w:topLinePunct w:val="0"/>
        <w:bidi w:val="0"/>
        <w:snapToGrid/>
        <w:spacing w:beforeAutospacing="0" w:afterAutospacing="0" w:line="600" w:lineRule="exact"/>
        <w:ind w:firstLine="645"/>
        <w:textAlignment w:val="auto"/>
        <w:rPr>
          <w:rFonts w:hint="eastAsia" w:ascii="仿宋_GB2312" w:eastAsia="仿宋_GB2312"/>
          <w:b/>
          <w:bCs/>
          <w:sz w:val="32"/>
          <w:szCs w:val="32"/>
          <w:u w:val="none"/>
        </w:rPr>
      </w:pPr>
      <w:r>
        <w:rPr>
          <w:rFonts w:hint="eastAsia" w:ascii="仿宋_GB2312" w:eastAsia="仿宋_GB2312"/>
          <w:b/>
          <w:bCs/>
          <w:sz w:val="32"/>
          <w:szCs w:val="32"/>
          <w:u w:val="none"/>
        </w:rPr>
        <w:t>（一）绩效管理工作开展情况。</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left="0" w:right="0" w:firstLine="640" w:firstLineChars="200"/>
        <w:rPr>
          <w:rFonts w:hint="default" w:ascii="Times New Roman" w:hAnsi="Times New Roman" w:eastAsia="仿宋_GB2312" w:cs="Times New Roman"/>
          <w:i w:val="0"/>
          <w:iCs w:val="0"/>
          <w:caps w:val="0"/>
          <w:color w:val="auto"/>
          <w:spacing w:val="0"/>
          <w:sz w:val="32"/>
          <w:szCs w:val="32"/>
          <w:u w:val="none"/>
        </w:rPr>
      </w:pPr>
      <w:r>
        <w:rPr>
          <w:rFonts w:hint="default" w:ascii="Times New Roman" w:hAnsi="Times New Roman" w:eastAsia="仿宋_GB2312" w:cs="Times New Roman"/>
          <w:i w:val="0"/>
          <w:iCs w:val="0"/>
          <w:caps w:val="0"/>
          <w:color w:val="auto"/>
          <w:spacing w:val="0"/>
          <w:sz w:val="32"/>
          <w:szCs w:val="32"/>
          <w:u w:val="none"/>
          <w:shd w:val="clear" w:color="auto" w:fill="auto"/>
        </w:rPr>
        <w:t>202</w:t>
      </w:r>
      <w:r>
        <w:rPr>
          <w:rFonts w:hint="default" w:ascii="Times New Roman" w:hAnsi="Times New Roman" w:eastAsia="仿宋_GB2312" w:cs="Times New Roman"/>
          <w:i w:val="0"/>
          <w:iCs w:val="0"/>
          <w:caps w:val="0"/>
          <w:color w:val="auto"/>
          <w:spacing w:val="0"/>
          <w:sz w:val="32"/>
          <w:szCs w:val="32"/>
          <w:u w:val="none"/>
          <w:shd w:val="clear" w:color="auto" w:fill="auto"/>
          <w:lang w:val="en-US" w:eastAsia="zh-CN"/>
        </w:rPr>
        <w:t>1</w:t>
      </w:r>
      <w:r>
        <w:rPr>
          <w:rFonts w:hint="default" w:ascii="Times New Roman" w:hAnsi="Times New Roman" w:eastAsia="仿宋_GB2312" w:cs="Times New Roman"/>
          <w:i w:val="0"/>
          <w:iCs w:val="0"/>
          <w:caps w:val="0"/>
          <w:color w:val="auto"/>
          <w:spacing w:val="0"/>
          <w:sz w:val="32"/>
          <w:szCs w:val="32"/>
          <w:u w:val="none"/>
          <w:shd w:val="clear" w:color="auto" w:fill="auto"/>
        </w:rPr>
        <w:t>年度我单位实际支出</w:t>
      </w:r>
      <w:r>
        <w:rPr>
          <w:rFonts w:hint="eastAsia" w:eastAsia="仿宋_GB2312" w:cs="Times New Roman"/>
          <w:color w:val="auto"/>
          <w:sz w:val="32"/>
          <w:szCs w:val="32"/>
          <w:u w:val="none"/>
          <w:lang w:val="en-US" w:eastAsia="zh-CN"/>
        </w:rPr>
        <w:t>366.00</w:t>
      </w:r>
      <w:r>
        <w:rPr>
          <w:rFonts w:hint="default" w:ascii="Times New Roman" w:hAnsi="Times New Roman" w:eastAsia="仿宋_GB2312" w:cs="Times New Roman"/>
          <w:i w:val="0"/>
          <w:iCs w:val="0"/>
          <w:caps w:val="0"/>
          <w:color w:val="auto"/>
          <w:spacing w:val="0"/>
          <w:sz w:val="32"/>
          <w:szCs w:val="32"/>
          <w:u w:val="none"/>
          <w:shd w:val="clear" w:color="auto" w:fill="auto"/>
        </w:rPr>
        <w:t>万元。其中，基本支出</w:t>
      </w:r>
      <w:r>
        <w:rPr>
          <w:rFonts w:hint="eastAsia" w:eastAsia="仿宋_GB2312" w:cs="Times New Roman"/>
          <w:color w:val="auto"/>
          <w:sz w:val="32"/>
          <w:szCs w:val="32"/>
          <w:u w:val="none"/>
          <w:lang w:val="en-US" w:eastAsia="zh-CN"/>
        </w:rPr>
        <w:t>366.00</w:t>
      </w:r>
      <w:r>
        <w:rPr>
          <w:rFonts w:hint="default" w:ascii="Times New Roman" w:hAnsi="Times New Roman" w:eastAsia="仿宋_GB2312" w:cs="Times New Roman"/>
          <w:i w:val="0"/>
          <w:iCs w:val="0"/>
          <w:caps w:val="0"/>
          <w:color w:val="auto"/>
          <w:spacing w:val="0"/>
          <w:sz w:val="32"/>
          <w:szCs w:val="32"/>
          <w:u w:val="none"/>
          <w:shd w:val="clear" w:color="auto" w:fill="auto"/>
        </w:rPr>
        <w:t>万元，项目支出</w:t>
      </w:r>
      <w:r>
        <w:rPr>
          <w:rFonts w:hint="default" w:ascii="Times New Roman" w:hAnsi="Times New Roman" w:eastAsia="仿宋_GB2312" w:cs="Times New Roman"/>
          <w:i w:val="0"/>
          <w:iCs w:val="0"/>
          <w:caps w:val="0"/>
          <w:color w:val="auto"/>
          <w:spacing w:val="0"/>
          <w:sz w:val="32"/>
          <w:szCs w:val="32"/>
          <w:u w:val="none"/>
          <w:shd w:val="clear" w:color="auto" w:fill="auto"/>
          <w:lang w:val="en-US" w:eastAsia="zh-CN"/>
        </w:rPr>
        <w:t>0</w:t>
      </w:r>
      <w:r>
        <w:rPr>
          <w:rFonts w:hint="default" w:ascii="Times New Roman" w:hAnsi="Times New Roman" w:eastAsia="仿宋_GB2312" w:cs="Times New Roman"/>
          <w:i w:val="0"/>
          <w:iCs w:val="0"/>
          <w:caps w:val="0"/>
          <w:color w:val="auto"/>
          <w:spacing w:val="0"/>
          <w:sz w:val="32"/>
          <w:szCs w:val="32"/>
          <w:u w:val="none"/>
          <w:shd w:val="clear" w:color="auto" w:fill="auto"/>
        </w:rPr>
        <w:t>万元。其中：基本支出主要列支人员工资福利和</w:t>
      </w:r>
      <w:r>
        <w:rPr>
          <w:rFonts w:hint="eastAsia" w:eastAsia="仿宋_GB2312" w:cs="Times New Roman"/>
          <w:i w:val="0"/>
          <w:iCs w:val="0"/>
          <w:caps w:val="0"/>
          <w:color w:val="auto"/>
          <w:spacing w:val="0"/>
          <w:sz w:val="32"/>
          <w:szCs w:val="32"/>
          <w:u w:val="none"/>
          <w:shd w:val="clear" w:color="auto" w:fill="auto"/>
          <w:lang w:eastAsia="zh-CN"/>
        </w:rPr>
        <w:t>教师培训</w:t>
      </w:r>
      <w:r>
        <w:rPr>
          <w:rFonts w:hint="default" w:ascii="Times New Roman" w:hAnsi="Times New Roman" w:eastAsia="仿宋_GB2312" w:cs="Times New Roman"/>
          <w:i w:val="0"/>
          <w:iCs w:val="0"/>
          <w:caps w:val="0"/>
          <w:color w:val="auto"/>
          <w:spacing w:val="0"/>
          <w:sz w:val="32"/>
          <w:szCs w:val="32"/>
          <w:u w:val="none"/>
          <w:shd w:val="clear" w:color="auto" w:fill="auto"/>
        </w:rPr>
        <w:t>经费。</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left="0" w:right="0" w:firstLine="640" w:firstLineChars="200"/>
        <w:rPr>
          <w:rFonts w:hint="default" w:ascii="Times New Roman" w:hAnsi="Times New Roman" w:eastAsia="仿宋_GB2312" w:cs="Times New Roman"/>
          <w:i w:val="0"/>
          <w:iCs w:val="0"/>
          <w:caps w:val="0"/>
          <w:color w:val="auto"/>
          <w:spacing w:val="0"/>
          <w:sz w:val="32"/>
          <w:szCs w:val="32"/>
          <w:u w:val="none"/>
        </w:rPr>
      </w:pPr>
      <w:r>
        <w:rPr>
          <w:rFonts w:hint="default" w:ascii="Times New Roman" w:hAnsi="Times New Roman" w:eastAsia="仿宋_GB2312" w:cs="Times New Roman"/>
          <w:i w:val="0"/>
          <w:iCs w:val="0"/>
          <w:caps w:val="0"/>
          <w:color w:val="auto"/>
          <w:spacing w:val="0"/>
          <w:sz w:val="32"/>
          <w:szCs w:val="32"/>
          <w:u w:val="none"/>
          <w:shd w:val="clear" w:color="auto" w:fill="auto"/>
        </w:rPr>
        <w:t>我单位按照</w:t>
      </w:r>
      <w:r>
        <w:rPr>
          <w:rFonts w:hint="default" w:ascii="Times New Roman" w:hAnsi="Times New Roman" w:eastAsia="仿宋_GB2312" w:cs="Times New Roman"/>
          <w:i w:val="0"/>
          <w:iCs w:val="0"/>
          <w:caps w:val="0"/>
          <w:color w:val="auto"/>
          <w:spacing w:val="0"/>
          <w:sz w:val="32"/>
          <w:szCs w:val="32"/>
          <w:u w:val="none"/>
          <w:shd w:val="clear" w:color="auto" w:fill="auto"/>
          <w:lang w:val="en-US" w:eastAsia="zh-CN"/>
        </w:rPr>
        <w:t>县</w:t>
      </w:r>
      <w:r>
        <w:rPr>
          <w:rFonts w:hint="default" w:ascii="Times New Roman" w:hAnsi="Times New Roman" w:eastAsia="仿宋_GB2312" w:cs="Times New Roman"/>
          <w:i w:val="0"/>
          <w:iCs w:val="0"/>
          <w:caps w:val="0"/>
          <w:color w:val="auto"/>
          <w:spacing w:val="0"/>
          <w:sz w:val="32"/>
          <w:szCs w:val="32"/>
          <w:u w:val="none"/>
          <w:shd w:val="clear" w:color="auto" w:fill="auto"/>
        </w:rPr>
        <w:t>财政局绩效管理股的要求，从预算的执行、控制与调整，决算与绩效评价等方面对专项资金进行管理，做到了专项资金预算编制有目标、预算执行有监控、预算完成有评价、评价结果有反馈、反馈结果有应用。</w:t>
      </w:r>
    </w:p>
    <w:p>
      <w:pPr>
        <w:pStyle w:val="10"/>
        <w:keepNext w:val="0"/>
        <w:keepLines w:val="0"/>
        <w:pageBreakBefore w:val="0"/>
        <w:numPr>
          <w:ilvl w:val="0"/>
          <w:numId w:val="0"/>
        </w:numPr>
        <w:kinsoku/>
        <w:wordWrap/>
        <w:overflowPunct/>
        <w:topLinePunct w:val="0"/>
        <w:bidi w:val="0"/>
        <w:snapToGrid/>
        <w:spacing w:beforeAutospacing="0" w:afterAutospacing="0" w:line="600" w:lineRule="exact"/>
        <w:ind w:firstLine="640" w:firstLineChars="200"/>
        <w:textAlignment w:val="auto"/>
        <w:outlineLvl w:val="1"/>
        <w:rPr>
          <w:rFonts w:hint="default" w:ascii="黑体" w:hAnsi="黑体" w:eastAsia="黑体" w:cs="Times New Roman"/>
          <w:b w:val="0"/>
          <w:bCs w:val="0"/>
          <w:color w:val="auto"/>
          <w:sz w:val="32"/>
          <w:szCs w:val="32"/>
          <w:u w:val="none"/>
        </w:rPr>
      </w:pPr>
      <w:r>
        <w:rPr>
          <w:rFonts w:hint="default" w:ascii="黑体" w:hAnsi="黑体" w:eastAsia="黑体" w:cs="Times New Roman"/>
          <w:b w:val="0"/>
          <w:bCs w:val="0"/>
          <w:color w:val="auto"/>
          <w:sz w:val="32"/>
          <w:szCs w:val="32"/>
          <w:u w:val="none"/>
        </w:rPr>
        <w:t>十</w:t>
      </w:r>
      <w:r>
        <w:rPr>
          <w:rFonts w:hint="eastAsia" w:hAnsi="黑体" w:cs="Times New Roman"/>
          <w:b w:val="0"/>
          <w:bCs w:val="0"/>
          <w:color w:val="auto"/>
          <w:sz w:val="32"/>
          <w:szCs w:val="32"/>
          <w:u w:val="none"/>
          <w:lang w:val="en-US" w:eastAsia="zh-CN"/>
        </w:rPr>
        <w:t>一</w:t>
      </w:r>
      <w:r>
        <w:rPr>
          <w:rFonts w:hint="default" w:ascii="黑体" w:hAnsi="黑体" w:eastAsia="黑体" w:cs="Times New Roman"/>
          <w:b w:val="0"/>
          <w:bCs w:val="0"/>
          <w:color w:val="auto"/>
          <w:sz w:val="32"/>
          <w:szCs w:val="32"/>
          <w:u w:val="none"/>
        </w:rPr>
        <w:t>、其他重要事项情况说明</w:t>
      </w:r>
    </w:p>
    <w:p>
      <w:pPr>
        <w:spacing w:line="600" w:lineRule="exact"/>
        <w:ind w:firstLine="643" w:firstLineChars="200"/>
        <w:outlineLvl w:val="2"/>
        <w:rPr>
          <w:rFonts w:hint="eastAsia" w:ascii="楷体_GB2312" w:eastAsia="楷体_GB2312"/>
          <w:b/>
          <w:kern w:val="0"/>
          <w:sz w:val="32"/>
          <w:szCs w:val="32"/>
        </w:rPr>
      </w:pPr>
      <w:r>
        <w:rPr>
          <w:rFonts w:hint="eastAsia" w:ascii="楷体_GB2312" w:eastAsia="楷体_GB2312"/>
          <w:b/>
          <w:kern w:val="0"/>
          <w:sz w:val="32"/>
          <w:szCs w:val="32"/>
        </w:rPr>
        <w:t>（一）机关运行经费支出情况</w:t>
      </w:r>
    </w:p>
    <w:p>
      <w:pPr>
        <w:spacing w:line="560" w:lineRule="atLeast"/>
        <w:ind w:firstLine="480" w:firstLineChars="150"/>
        <w:rPr>
          <w:rFonts w:hint="eastAsia" w:ascii="仿宋_GB2312" w:hAnsi="仿宋_GB2312" w:eastAsia="宋体"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本部门</w:t>
      </w:r>
      <w:r>
        <w:rPr>
          <w:rFonts w:hint="eastAsia" w:ascii="仿宋_GB2312" w:hAnsi="仿宋_GB2312" w:eastAsia="仿宋_GB2312" w:cs="仿宋_GB2312"/>
          <w:b w:val="0"/>
          <w:bCs w:val="0"/>
          <w:color w:val="000000"/>
          <w:kern w:val="0"/>
          <w:sz w:val="32"/>
          <w:szCs w:val="32"/>
          <w:highlight w:val="none"/>
          <w:lang w:eastAsia="zh-CN"/>
        </w:rPr>
        <w:t>2</w:t>
      </w:r>
      <w:r>
        <w:rPr>
          <w:rFonts w:hint="eastAsia" w:ascii="仿宋_GB2312" w:hAnsi="仿宋_GB2312" w:eastAsia="仿宋_GB2312" w:cs="仿宋_GB2312"/>
          <w:b w:val="0"/>
          <w:bCs w:val="0"/>
          <w:color w:val="000000"/>
          <w:kern w:val="0"/>
          <w:sz w:val="32"/>
          <w:szCs w:val="32"/>
          <w:highlight w:val="none"/>
          <w:lang w:val="en-US" w:eastAsia="zh-CN"/>
        </w:rPr>
        <w:t>021</w:t>
      </w:r>
      <w:r>
        <w:rPr>
          <w:rFonts w:hint="eastAsia" w:ascii="仿宋_GB2312" w:hAnsi="仿宋_GB2312" w:eastAsia="仿宋_GB2312" w:cs="仿宋_GB2312"/>
          <w:color w:val="000000"/>
          <w:kern w:val="0"/>
          <w:sz w:val="32"/>
          <w:szCs w:val="32"/>
          <w:highlight w:val="none"/>
        </w:rPr>
        <w:t>年度机关运行经费支出</w:t>
      </w:r>
      <w:r>
        <w:rPr>
          <w:rFonts w:hint="eastAsia" w:ascii="仿宋_GB2312" w:hAnsi="仿宋_GB2312" w:eastAsia="仿宋_GB2312" w:cs="仿宋_GB2312"/>
          <w:color w:val="000000"/>
          <w:kern w:val="0"/>
          <w:sz w:val="32"/>
          <w:szCs w:val="32"/>
          <w:highlight w:val="none"/>
          <w:lang w:val="en-US" w:eastAsia="zh-CN"/>
        </w:rPr>
        <w:t>68.99</w:t>
      </w:r>
      <w:r>
        <w:rPr>
          <w:rFonts w:hint="eastAsia" w:ascii="仿宋_GB2312" w:hAnsi="仿宋_GB2312" w:eastAsia="仿宋_GB2312" w:cs="仿宋_GB2312"/>
          <w:color w:val="000000"/>
          <w:kern w:val="0"/>
          <w:sz w:val="32"/>
          <w:szCs w:val="32"/>
          <w:highlight w:val="none"/>
        </w:rPr>
        <w:t>万元，比年初预算数减少</w:t>
      </w:r>
      <w:r>
        <w:rPr>
          <w:rFonts w:hint="eastAsia" w:ascii="仿宋_GB2312" w:hAnsi="仿宋_GB2312" w:eastAsia="仿宋_GB2312" w:cs="仿宋_GB2312"/>
          <w:color w:val="000000"/>
          <w:kern w:val="0"/>
          <w:sz w:val="32"/>
          <w:szCs w:val="32"/>
          <w:highlight w:val="none"/>
          <w:lang w:eastAsia="zh-CN"/>
        </w:rPr>
        <w:t>0</w:t>
      </w:r>
      <w:r>
        <w:rPr>
          <w:rFonts w:hint="eastAsia" w:ascii="仿宋_GB2312" w:hAnsi="仿宋_GB2312" w:eastAsia="仿宋_GB2312" w:cs="仿宋_GB2312"/>
          <w:color w:val="000000"/>
          <w:kern w:val="0"/>
          <w:sz w:val="32"/>
          <w:szCs w:val="32"/>
          <w:highlight w:val="none"/>
          <w:lang w:val="en-US" w:eastAsia="zh-CN"/>
        </w:rPr>
        <w:t>.5</w:t>
      </w:r>
      <w:r>
        <w:rPr>
          <w:rFonts w:hint="eastAsia" w:ascii="仿宋_GB2312" w:hAnsi="仿宋_GB2312" w:eastAsia="仿宋_GB2312" w:cs="仿宋_GB2312"/>
          <w:color w:val="000000"/>
          <w:kern w:val="0"/>
          <w:sz w:val="32"/>
          <w:szCs w:val="32"/>
          <w:highlight w:val="none"/>
        </w:rPr>
        <w:t>万元，降低</w:t>
      </w:r>
      <w:r>
        <w:rPr>
          <w:rFonts w:hint="eastAsia" w:ascii="仿宋_GB2312" w:hAnsi="仿宋_GB2312" w:eastAsia="仿宋_GB2312" w:cs="仿宋_GB2312"/>
          <w:color w:val="000000"/>
          <w:kern w:val="0"/>
          <w:sz w:val="32"/>
          <w:szCs w:val="32"/>
          <w:highlight w:val="none"/>
          <w:lang w:val="en-US" w:eastAsia="zh-CN"/>
        </w:rPr>
        <w:t>0.73</w:t>
      </w:r>
      <w:r>
        <w:rPr>
          <w:rFonts w:hint="eastAsia" w:ascii="仿宋_GB2312" w:hAnsi="仿宋_GB2312" w:eastAsia="仿宋_GB2312" w:cs="仿宋_GB2312"/>
          <w:color w:val="000000"/>
          <w:kern w:val="0"/>
          <w:sz w:val="32"/>
          <w:szCs w:val="32"/>
          <w:highlight w:val="none"/>
        </w:rPr>
        <w:t>%。主要原因是：</w:t>
      </w:r>
      <w:r>
        <w:rPr>
          <w:rFonts w:hint="eastAsia" w:ascii="仿宋_GB2312" w:hAnsi="仿宋_GB2312" w:eastAsia="仿宋_GB2312" w:cs="仿宋_GB2312"/>
          <w:color w:val="000000"/>
          <w:kern w:val="0"/>
          <w:sz w:val="32"/>
          <w:szCs w:val="32"/>
          <w:highlight w:val="none"/>
          <w:lang w:eastAsia="zh-CN"/>
        </w:rPr>
        <w:t>本年度培训人数比上年度减少，相关公用经费也减少</w:t>
      </w:r>
      <w:r>
        <w:rPr>
          <w:rFonts w:hint="eastAsia" w:ascii="仿宋_GB2312" w:hAnsi="仿宋_GB2312" w:eastAsia="仿宋_GB2312" w:cs="仿宋_GB2312"/>
          <w:color w:val="000000"/>
          <w:kern w:val="0"/>
          <w:sz w:val="32"/>
          <w:szCs w:val="32"/>
          <w:highlight w:val="none"/>
          <w:lang w:val="en-US" w:eastAsia="zh-CN"/>
        </w:rPr>
        <w:t>。</w:t>
      </w:r>
    </w:p>
    <w:p>
      <w:pPr>
        <w:keepNext w:val="0"/>
        <w:keepLines w:val="0"/>
        <w:pageBreakBefore w:val="0"/>
        <w:kinsoku/>
        <w:wordWrap/>
        <w:overflowPunct/>
        <w:topLinePunct w:val="0"/>
        <w:bidi w:val="0"/>
        <w:snapToGrid/>
        <w:spacing w:beforeAutospacing="0" w:afterAutospacing="0" w:line="560" w:lineRule="atLeast"/>
        <w:ind w:firstLine="643" w:firstLineChars="200"/>
        <w:textAlignment w:val="auto"/>
        <w:rPr>
          <w:rFonts w:hint="eastAsia" w:ascii="仿宋_GB2312" w:hAnsi="仿宋_GB2312" w:eastAsia="仿宋_GB2312" w:cs="仿宋_GB2312"/>
          <w:b/>
          <w:color w:val="000000"/>
          <w:kern w:val="0"/>
          <w:sz w:val="32"/>
          <w:szCs w:val="32"/>
          <w:u w:val="none"/>
        </w:rPr>
      </w:pPr>
      <w:r>
        <w:rPr>
          <w:rFonts w:hint="eastAsia" w:ascii="仿宋_GB2312" w:hAnsi="仿宋_GB2312" w:eastAsia="仿宋_GB2312" w:cs="仿宋_GB2312"/>
          <w:b/>
          <w:color w:val="000000"/>
          <w:kern w:val="0"/>
          <w:sz w:val="32"/>
          <w:szCs w:val="32"/>
          <w:u w:val="none"/>
        </w:rPr>
        <w:t>（二）一般性支出情况</w:t>
      </w:r>
    </w:p>
    <w:p>
      <w:pPr>
        <w:spacing w:line="560" w:lineRule="atLeast"/>
        <w:ind w:firstLine="480" w:firstLineChars="150"/>
        <w:rPr>
          <w:rFonts w:hint="eastAsia" w:ascii="仿宋_GB2312" w:hAnsi="仿宋_GB2312" w:eastAsia="仿宋_GB2312" w:cs="仿宋_GB2312"/>
          <w:b/>
          <w:color w:val="000000"/>
          <w:kern w:val="0"/>
          <w:sz w:val="32"/>
          <w:szCs w:val="32"/>
          <w:u w:val="none"/>
          <w:lang w:val="en-US" w:eastAsia="zh-CN"/>
        </w:rPr>
      </w:pPr>
      <w:r>
        <w:rPr>
          <w:rFonts w:hint="eastAsia" w:ascii="仿宋_GB2312" w:hAnsi="仿宋_GB2312" w:eastAsia="仿宋_GB2312" w:cs="仿宋_GB2312"/>
          <w:color w:val="000000"/>
          <w:kern w:val="0"/>
          <w:sz w:val="32"/>
          <w:szCs w:val="32"/>
          <w:highlight w:val="none"/>
          <w:u w:val="none"/>
        </w:rPr>
        <w:t>1、会议费支出情况：20</w:t>
      </w:r>
      <w:r>
        <w:rPr>
          <w:rFonts w:hint="eastAsia" w:ascii="仿宋_GB2312" w:hAnsi="仿宋_GB2312" w:eastAsia="仿宋_GB2312" w:cs="仿宋_GB2312"/>
          <w:color w:val="000000"/>
          <w:kern w:val="0"/>
          <w:sz w:val="32"/>
          <w:szCs w:val="32"/>
          <w:highlight w:val="none"/>
          <w:u w:val="none"/>
          <w:lang w:val="en-US" w:eastAsia="zh-CN"/>
        </w:rPr>
        <w:t>21</w:t>
      </w:r>
      <w:r>
        <w:rPr>
          <w:rFonts w:hint="eastAsia" w:ascii="仿宋_GB2312" w:hAnsi="仿宋_GB2312" w:eastAsia="仿宋_GB2312" w:cs="仿宋_GB2312"/>
          <w:color w:val="000000"/>
          <w:kern w:val="0"/>
          <w:sz w:val="32"/>
          <w:szCs w:val="32"/>
          <w:highlight w:val="none"/>
          <w:u w:val="none"/>
        </w:rPr>
        <w:t>年本校开支会议费</w:t>
      </w:r>
      <w:r>
        <w:rPr>
          <w:rFonts w:hint="eastAsia" w:ascii="仿宋_GB2312" w:hAnsi="仿宋_GB2312" w:eastAsia="仿宋_GB2312" w:cs="仿宋_GB2312"/>
          <w:color w:val="000000"/>
          <w:kern w:val="0"/>
          <w:sz w:val="32"/>
          <w:szCs w:val="32"/>
          <w:highlight w:val="none"/>
          <w:u w:val="none"/>
          <w:lang w:val="en-US" w:eastAsia="zh-CN"/>
        </w:rPr>
        <w:t>0.27</w:t>
      </w:r>
      <w:r>
        <w:rPr>
          <w:rFonts w:hint="eastAsia" w:ascii="仿宋_GB2312" w:hAnsi="仿宋_GB2312" w:eastAsia="仿宋_GB2312" w:cs="仿宋_GB2312"/>
          <w:color w:val="000000"/>
          <w:kern w:val="0"/>
          <w:sz w:val="32"/>
          <w:szCs w:val="32"/>
          <w:highlight w:val="none"/>
          <w:u w:val="none"/>
        </w:rPr>
        <w:t>万元，用于</w:t>
      </w:r>
      <w:r>
        <w:rPr>
          <w:rFonts w:hint="eastAsia" w:ascii="仿宋_GB2312" w:hAnsi="仿宋_GB2312" w:eastAsia="仿宋_GB2312" w:cs="仿宋_GB2312"/>
          <w:color w:val="000000"/>
          <w:kern w:val="0"/>
          <w:sz w:val="32"/>
          <w:szCs w:val="32"/>
          <w:highlight w:val="none"/>
          <w:u w:val="none"/>
          <w:lang w:eastAsia="zh-CN"/>
        </w:rPr>
        <w:t>召开工作会议伙食费</w:t>
      </w:r>
      <w:r>
        <w:rPr>
          <w:rFonts w:hint="eastAsia" w:ascii="仿宋_GB2312" w:hAnsi="仿宋_GB2312" w:eastAsia="仿宋_GB2312" w:cs="仿宋_GB2312"/>
          <w:color w:val="000000"/>
          <w:kern w:val="0"/>
          <w:sz w:val="32"/>
          <w:szCs w:val="32"/>
          <w:highlight w:val="none"/>
          <w:u w:val="none"/>
        </w:rPr>
        <w:t>等支出</w:t>
      </w:r>
      <w:r>
        <w:rPr>
          <w:rFonts w:hint="eastAsia" w:ascii="仿宋_GB2312" w:hAnsi="仿宋_GB2312" w:eastAsia="仿宋_GB2312" w:cs="仿宋_GB2312"/>
          <w:color w:val="000000"/>
          <w:kern w:val="0"/>
          <w:sz w:val="32"/>
          <w:szCs w:val="32"/>
          <w:highlight w:val="none"/>
          <w:u w:val="none"/>
          <w:lang w:eastAsia="zh-CN"/>
        </w:rPr>
        <w:t>，</w:t>
      </w:r>
      <w:r>
        <w:rPr>
          <w:rFonts w:eastAsia="仿宋_GB2312"/>
          <w:kern w:val="0"/>
          <w:sz w:val="32"/>
          <w:szCs w:val="32"/>
        </w:rPr>
        <w:t>人数</w:t>
      </w:r>
      <w:r>
        <w:rPr>
          <w:rFonts w:hint="eastAsia" w:eastAsia="仿宋_GB2312"/>
          <w:sz w:val="32"/>
          <w:szCs w:val="32"/>
          <w:u w:val="none"/>
          <w:lang w:val="en-US" w:eastAsia="zh-CN"/>
        </w:rPr>
        <w:t>40</w:t>
      </w:r>
      <w:r>
        <w:rPr>
          <w:rFonts w:eastAsia="仿宋_GB2312"/>
          <w:kern w:val="0"/>
          <w:sz w:val="32"/>
          <w:szCs w:val="32"/>
        </w:rPr>
        <w:t>人，内容</w:t>
      </w:r>
      <w:r>
        <w:rPr>
          <w:rFonts w:hint="eastAsia" w:eastAsia="仿宋_GB2312"/>
          <w:kern w:val="0"/>
          <w:sz w:val="32"/>
          <w:szCs w:val="32"/>
          <w:lang w:eastAsia="zh-CN"/>
        </w:rPr>
        <w:t>召开工作会议等伙食支出；</w:t>
      </w:r>
      <w:r>
        <w:rPr>
          <w:rFonts w:hint="eastAsia" w:ascii="仿宋_GB2312" w:hAnsi="仿宋_GB2312" w:eastAsia="仿宋_GB2312" w:cs="仿宋_GB2312"/>
          <w:color w:val="000000"/>
          <w:kern w:val="0"/>
          <w:sz w:val="32"/>
          <w:szCs w:val="32"/>
          <w:highlight w:val="none"/>
          <w:u w:val="none"/>
        </w:rPr>
        <w:t>培训费开支</w:t>
      </w:r>
      <w:r>
        <w:rPr>
          <w:rFonts w:hint="eastAsia" w:ascii="仿宋_GB2312" w:hAnsi="仿宋_GB2312" w:eastAsia="仿宋_GB2312" w:cs="仿宋_GB2312"/>
          <w:color w:val="000000"/>
          <w:kern w:val="0"/>
          <w:sz w:val="32"/>
          <w:szCs w:val="32"/>
          <w:highlight w:val="none"/>
          <w:u w:val="none"/>
          <w:lang w:val="en-US" w:eastAsia="zh-CN"/>
        </w:rPr>
        <w:t>29.95</w:t>
      </w:r>
      <w:r>
        <w:rPr>
          <w:rFonts w:hint="eastAsia" w:ascii="仿宋_GB2312" w:hAnsi="仿宋_GB2312" w:eastAsia="仿宋_GB2312" w:cs="仿宋_GB2312"/>
          <w:color w:val="000000"/>
          <w:kern w:val="0"/>
          <w:sz w:val="32"/>
          <w:szCs w:val="32"/>
          <w:highlight w:val="none"/>
          <w:u w:val="none"/>
        </w:rPr>
        <w:t>万元，用于开展</w:t>
      </w:r>
      <w:r>
        <w:rPr>
          <w:rFonts w:hint="eastAsia" w:ascii="仿宋_GB2312" w:hAnsi="仿宋_GB2312" w:eastAsia="仿宋_GB2312" w:cs="仿宋_GB2312"/>
          <w:color w:val="000000"/>
          <w:kern w:val="0"/>
          <w:sz w:val="32"/>
          <w:szCs w:val="32"/>
          <w:highlight w:val="none"/>
          <w:u w:val="none"/>
          <w:lang w:eastAsia="zh-CN"/>
        </w:rPr>
        <w:t>全县</w:t>
      </w:r>
      <w:r>
        <w:rPr>
          <w:rFonts w:hint="eastAsia" w:ascii="仿宋_GB2312" w:hAnsi="仿宋_GB2312" w:eastAsia="仿宋_GB2312" w:cs="仿宋_GB2312"/>
          <w:color w:val="000000"/>
          <w:kern w:val="0"/>
          <w:sz w:val="32"/>
          <w:szCs w:val="32"/>
          <w:highlight w:val="none"/>
          <w:u w:val="none"/>
        </w:rPr>
        <w:t>教师“国培”等各类培训，参培教师达</w:t>
      </w:r>
      <w:r>
        <w:rPr>
          <w:rFonts w:hint="eastAsia" w:ascii="仿宋_GB2312" w:hAnsi="仿宋_GB2312" w:eastAsia="仿宋_GB2312" w:cs="仿宋_GB2312"/>
          <w:color w:val="000000"/>
          <w:kern w:val="0"/>
          <w:sz w:val="32"/>
          <w:szCs w:val="32"/>
          <w:highlight w:val="none"/>
          <w:u w:val="none"/>
          <w:lang w:val="en-US" w:eastAsia="zh-CN"/>
        </w:rPr>
        <w:t>2100</w:t>
      </w:r>
      <w:r>
        <w:rPr>
          <w:rFonts w:hint="eastAsia" w:ascii="仿宋_GB2312" w:hAnsi="仿宋_GB2312" w:eastAsia="仿宋_GB2312" w:cs="仿宋_GB2312"/>
          <w:color w:val="000000"/>
          <w:kern w:val="0"/>
          <w:sz w:val="32"/>
          <w:szCs w:val="32"/>
          <w:highlight w:val="none"/>
          <w:u w:val="none"/>
        </w:rPr>
        <w:t>人次</w:t>
      </w:r>
      <w:r>
        <w:rPr>
          <w:rFonts w:hint="eastAsia" w:ascii="仿宋_GB2312" w:hAnsi="仿宋_GB2312" w:eastAsia="仿宋_GB2312" w:cs="仿宋_GB2312"/>
          <w:color w:val="000000"/>
          <w:kern w:val="0"/>
          <w:sz w:val="32"/>
          <w:szCs w:val="32"/>
          <w:highlight w:val="none"/>
          <w:u w:val="none"/>
          <w:lang w:eastAsia="zh-CN"/>
        </w:rPr>
        <w:t>，</w:t>
      </w:r>
      <w:r>
        <w:rPr>
          <w:rFonts w:hint="eastAsia" w:ascii="仿宋_GB2312" w:hAnsi="仿宋_GB2312" w:eastAsia="仿宋_GB2312" w:cs="仿宋_GB2312"/>
          <w:color w:val="000000"/>
          <w:kern w:val="0"/>
          <w:sz w:val="32"/>
          <w:szCs w:val="32"/>
          <w:highlight w:val="none"/>
          <w:u w:val="none"/>
          <w:lang w:val="en-US" w:eastAsia="zh-CN"/>
        </w:rPr>
        <w:t>内容为</w:t>
      </w:r>
      <w:r>
        <w:rPr>
          <w:rFonts w:hint="eastAsia" w:ascii="仿宋_GB2312" w:hAnsi="仿宋_GB2312" w:eastAsia="仿宋_GB2312" w:cs="仿宋_GB2312"/>
          <w:color w:val="000000"/>
          <w:kern w:val="0"/>
          <w:sz w:val="32"/>
          <w:szCs w:val="32"/>
          <w:highlight w:val="none"/>
          <w:u w:val="none"/>
        </w:rPr>
        <w:t>开展</w:t>
      </w:r>
      <w:r>
        <w:rPr>
          <w:rFonts w:hint="eastAsia" w:ascii="仿宋_GB2312" w:hAnsi="仿宋_GB2312" w:eastAsia="仿宋_GB2312" w:cs="仿宋_GB2312"/>
          <w:color w:val="000000"/>
          <w:kern w:val="0"/>
          <w:sz w:val="32"/>
          <w:szCs w:val="32"/>
          <w:highlight w:val="none"/>
          <w:u w:val="none"/>
          <w:lang w:eastAsia="zh-CN"/>
        </w:rPr>
        <w:t>全县</w:t>
      </w:r>
      <w:r>
        <w:rPr>
          <w:rFonts w:hint="eastAsia" w:ascii="仿宋_GB2312" w:hAnsi="仿宋_GB2312" w:eastAsia="仿宋_GB2312" w:cs="仿宋_GB2312"/>
          <w:color w:val="000000"/>
          <w:kern w:val="0"/>
          <w:sz w:val="32"/>
          <w:szCs w:val="32"/>
          <w:highlight w:val="none"/>
          <w:u w:val="none"/>
        </w:rPr>
        <w:t>教师“国培”等各类培训</w:t>
      </w:r>
      <w:r>
        <w:rPr>
          <w:rFonts w:hint="eastAsia" w:ascii="仿宋_GB2312" w:hAnsi="仿宋_GB2312" w:eastAsia="仿宋_GB2312" w:cs="仿宋_GB2312"/>
          <w:color w:val="000000"/>
          <w:kern w:val="0"/>
          <w:sz w:val="32"/>
          <w:szCs w:val="32"/>
          <w:highlight w:val="none"/>
          <w:u w:val="none"/>
          <w:lang w:eastAsia="zh-CN"/>
        </w:rPr>
        <w:t>；</w:t>
      </w:r>
      <w:r>
        <w:rPr>
          <w:rFonts w:eastAsia="仿宋_GB2312"/>
          <w:kern w:val="0"/>
          <w:sz w:val="32"/>
          <w:szCs w:val="32"/>
        </w:rPr>
        <w:t>举办</w:t>
      </w:r>
      <w:r>
        <w:rPr>
          <w:rFonts w:hint="eastAsia" w:eastAsia="仿宋_GB2312"/>
          <w:kern w:val="0"/>
          <w:sz w:val="32"/>
          <w:szCs w:val="32"/>
          <w:lang w:val="en-US" w:eastAsia="zh-CN"/>
        </w:rPr>
        <w:t>0次</w:t>
      </w:r>
      <w:r>
        <w:rPr>
          <w:rFonts w:eastAsia="仿宋_GB2312"/>
          <w:kern w:val="0"/>
          <w:sz w:val="32"/>
          <w:szCs w:val="32"/>
        </w:rPr>
        <w:t>节庆、晚会、论坛、赛事活动，开支</w:t>
      </w:r>
      <w:r>
        <w:rPr>
          <w:rFonts w:hint="eastAsia" w:eastAsia="仿宋_GB2312"/>
          <w:sz w:val="32"/>
          <w:szCs w:val="32"/>
          <w:u w:val="none"/>
          <w:lang w:val="en-US" w:eastAsia="zh-CN"/>
        </w:rPr>
        <w:t>0</w:t>
      </w:r>
      <w:r>
        <w:rPr>
          <w:rFonts w:eastAsia="仿宋_GB2312"/>
          <w:kern w:val="0"/>
          <w:sz w:val="32"/>
          <w:szCs w:val="32"/>
        </w:rPr>
        <w:t>万元</w:t>
      </w:r>
      <w:r>
        <w:rPr>
          <w:rFonts w:hint="eastAsia" w:eastAsia="仿宋_GB2312"/>
          <w:kern w:val="0"/>
          <w:sz w:val="32"/>
          <w:szCs w:val="32"/>
          <w:lang w:eastAsia="zh-CN"/>
        </w:rPr>
        <w:t>。</w:t>
      </w:r>
    </w:p>
    <w:p>
      <w:pPr>
        <w:spacing w:line="560" w:lineRule="atLeast"/>
        <w:ind w:firstLine="482" w:firstLineChars="150"/>
        <w:rPr>
          <w:rFonts w:hint="eastAsia" w:ascii="仿宋_GB2312" w:hAnsi="仿宋_GB2312" w:eastAsia="仿宋_GB2312" w:cs="仿宋_GB2312"/>
          <w:b/>
          <w:color w:val="000000"/>
          <w:kern w:val="0"/>
          <w:sz w:val="32"/>
          <w:szCs w:val="32"/>
          <w:u w:val="none"/>
        </w:rPr>
      </w:pPr>
      <w:r>
        <w:rPr>
          <w:rFonts w:hint="eastAsia" w:ascii="仿宋_GB2312" w:hAnsi="仿宋_GB2312" w:eastAsia="仿宋_GB2312" w:cs="仿宋_GB2312"/>
          <w:b/>
          <w:color w:val="000000"/>
          <w:kern w:val="0"/>
          <w:sz w:val="32"/>
          <w:szCs w:val="32"/>
          <w:u w:val="none"/>
        </w:rPr>
        <w:t>（三）政府采购支出情况</w:t>
      </w:r>
    </w:p>
    <w:p>
      <w:pPr>
        <w:spacing w:line="600" w:lineRule="exact"/>
        <w:ind w:firstLine="640" w:firstLineChars="200"/>
        <w:rPr>
          <w:rFonts w:eastAsia="仿宋_GB2312"/>
          <w:kern w:val="0"/>
          <w:sz w:val="32"/>
          <w:szCs w:val="32"/>
        </w:rPr>
      </w:pPr>
      <w:r>
        <w:rPr>
          <w:rFonts w:eastAsia="仿宋_GB2312"/>
          <w:kern w:val="0"/>
          <w:sz w:val="32"/>
          <w:szCs w:val="32"/>
        </w:rPr>
        <w:t>本部门</w:t>
      </w:r>
      <w:r>
        <w:rPr>
          <w:rFonts w:hint="eastAsia" w:eastAsia="仿宋_GB2312"/>
          <w:kern w:val="0"/>
          <w:sz w:val="32"/>
          <w:szCs w:val="32"/>
        </w:rPr>
        <w:t>2021</w:t>
      </w:r>
      <w:r>
        <w:rPr>
          <w:rFonts w:eastAsia="仿宋_GB2312"/>
          <w:kern w:val="0"/>
          <w:sz w:val="32"/>
          <w:szCs w:val="32"/>
        </w:rPr>
        <w:t>年度政府采购支出总额</w:t>
      </w:r>
      <w:r>
        <w:rPr>
          <w:rFonts w:hint="eastAsia" w:eastAsia="仿宋_GB2312"/>
          <w:sz w:val="32"/>
          <w:szCs w:val="32"/>
        </w:rPr>
        <w:t>0</w:t>
      </w:r>
      <w:r>
        <w:rPr>
          <w:rFonts w:eastAsia="仿宋_GB2312"/>
          <w:kern w:val="0"/>
          <w:sz w:val="32"/>
          <w:szCs w:val="32"/>
        </w:rPr>
        <w:t>万元，其中：政府采购货物支出</w:t>
      </w:r>
      <w:r>
        <w:rPr>
          <w:rFonts w:hint="eastAsia" w:eastAsia="仿宋_GB2312"/>
          <w:sz w:val="32"/>
          <w:szCs w:val="32"/>
        </w:rPr>
        <w:t>0</w:t>
      </w:r>
      <w:r>
        <w:rPr>
          <w:rFonts w:eastAsia="仿宋_GB2312"/>
          <w:kern w:val="0"/>
          <w:sz w:val="32"/>
          <w:szCs w:val="32"/>
        </w:rPr>
        <w:t>万元、政府采购工程支出</w:t>
      </w:r>
      <w:r>
        <w:rPr>
          <w:rFonts w:hint="eastAsia" w:eastAsia="仿宋_GB2312"/>
          <w:sz w:val="32"/>
          <w:szCs w:val="32"/>
        </w:rPr>
        <w:t>0</w:t>
      </w:r>
      <w:r>
        <w:rPr>
          <w:rFonts w:eastAsia="仿宋_GB2312"/>
          <w:kern w:val="0"/>
          <w:sz w:val="32"/>
          <w:szCs w:val="32"/>
        </w:rPr>
        <w:t>万元、政府采购服务支出</w:t>
      </w:r>
      <w:r>
        <w:rPr>
          <w:rFonts w:hint="eastAsia" w:eastAsia="仿宋_GB2312"/>
          <w:sz w:val="32"/>
          <w:szCs w:val="32"/>
        </w:rPr>
        <w:t>0</w:t>
      </w:r>
      <w:r>
        <w:rPr>
          <w:rFonts w:eastAsia="仿宋_GB2312"/>
          <w:kern w:val="0"/>
          <w:sz w:val="32"/>
          <w:szCs w:val="32"/>
        </w:rPr>
        <w:t>万元。授予中小企业合同金额</w:t>
      </w:r>
      <w:r>
        <w:rPr>
          <w:rFonts w:hint="eastAsia" w:eastAsia="仿宋_GB2312"/>
          <w:sz w:val="32"/>
          <w:szCs w:val="32"/>
        </w:rPr>
        <w:t>0</w:t>
      </w:r>
      <w:r>
        <w:rPr>
          <w:rFonts w:eastAsia="仿宋_GB2312"/>
          <w:kern w:val="0"/>
          <w:sz w:val="32"/>
          <w:szCs w:val="32"/>
        </w:rPr>
        <w:t>万元，</w:t>
      </w:r>
      <w:r>
        <w:rPr>
          <w:rFonts w:hint="eastAsia" w:ascii="Times New Roman" w:hAnsi="Times New Roman" w:eastAsia="仿宋_GB2312" w:cs="Times New Roman"/>
          <w:color w:val="auto"/>
          <w:sz w:val="32"/>
          <w:szCs w:val="32"/>
          <w:lang w:val="en-US" w:eastAsia="zh-CN"/>
        </w:rPr>
        <w:t>由于</w:t>
      </w:r>
      <w:r>
        <w:rPr>
          <w:rFonts w:eastAsia="仿宋_GB2312"/>
          <w:kern w:val="0"/>
          <w:sz w:val="32"/>
          <w:szCs w:val="32"/>
        </w:rPr>
        <w:t>政府采购支出总额</w:t>
      </w:r>
      <w:r>
        <w:rPr>
          <w:rFonts w:hint="eastAsia" w:ascii="Times New Roman" w:hAnsi="Times New Roman" w:eastAsia="仿宋_GB2312" w:cs="Times New Roman"/>
          <w:color w:val="auto"/>
          <w:sz w:val="32"/>
          <w:szCs w:val="32"/>
          <w:lang w:val="en-US" w:eastAsia="zh-CN"/>
        </w:rPr>
        <w:t>决算数为0，无法计算占</w:t>
      </w:r>
      <w:r>
        <w:rPr>
          <w:rFonts w:eastAsia="仿宋_GB2312"/>
          <w:kern w:val="0"/>
          <w:sz w:val="32"/>
          <w:szCs w:val="32"/>
        </w:rPr>
        <w:t>政府采购支出总额的</w:t>
      </w:r>
      <w:r>
        <w:rPr>
          <w:rFonts w:hint="eastAsia" w:ascii="Times New Roman" w:hAnsi="Times New Roman" w:eastAsia="仿宋_GB2312" w:cs="Times New Roman"/>
          <w:color w:val="auto"/>
          <w:sz w:val="32"/>
          <w:szCs w:val="32"/>
          <w:lang w:val="en-US" w:eastAsia="zh-CN"/>
        </w:rPr>
        <w:t>百分比</w:t>
      </w:r>
      <w:r>
        <w:rPr>
          <w:rFonts w:eastAsia="仿宋_GB2312"/>
          <w:kern w:val="0"/>
          <w:sz w:val="32"/>
          <w:szCs w:val="32"/>
        </w:rPr>
        <w:t>，其中：授予小微企业合同金额</w:t>
      </w:r>
      <w:r>
        <w:rPr>
          <w:rFonts w:hint="eastAsia" w:eastAsia="仿宋_GB2312"/>
          <w:sz w:val="32"/>
          <w:szCs w:val="32"/>
        </w:rPr>
        <w:t>0</w:t>
      </w:r>
      <w:r>
        <w:rPr>
          <w:rFonts w:eastAsia="仿宋_GB2312"/>
          <w:kern w:val="0"/>
          <w:sz w:val="32"/>
          <w:szCs w:val="32"/>
        </w:rPr>
        <w:t>万元，</w:t>
      </w:r>
      <w:r>
        <w:rPr>
          <w:rFonts w:hint="eastAsia" w:ascii="Times New Roman" w:hAnsi="Times New Roman" w:eastAsia="仿宋_GB2312" w:cs="Times New Roman"/>
          <w:color w:val="auto"/>
          <w:sz w:val="32"/>
          <w:szCs w:val="32"/>
          <w:lang w:val="en-US" w:eastAsia="zh-CN"/>
        </w:rPr>
        <w:t>由于</w:t>
      </w:r>
      <w:r>
        <w:rPr>
          <w:rFonts w:eastAsia="仿宋_GB2312"/>
          <w:kern w:val="0"/>
          <w:sz w:val="32"/>
          <w:szCs w:val="32"/>
        </w:rPr>
        <w:t>政府采购支出总额</w:t>
      </w:r>
      <w:r>
        <w:rPr>
          <w:rFonts w:hint="eastAsia" w:ascii="Times New Roman" w:hAnsi="Times New Roman" w:eastAsia="仿宋_GB2312" w:cs="Times New Roman"/>
          <w:color w:val="auto"/>
          <w:sz w:val="32"/>
          <w:szCs w:val="32"/>
          <w:lang w:val="en-US" w:eastAsia="zh-CN"/>
        </w:rPr>
        <w:t>决算数为0，无法计算占</w:t>
      </w:r>
      <w:r>
        <w:rPr>
          <w:rFonts w:eastAsia="仿宋_GB2312"/>
          <w:kern w:val="0"/>
          <w:sz w:val="32"/>
          <w:szCs w:val="32"/>
        </w:rPr>
        <w:t>政府采购支出总额的</w:t>
      </w:r>
      <w:r>
        <w:rPr>
          <w:rFonts w:hint="eastAsia" w:ascii="Times New Roman" w:hAnsi="Times New Roman" w:eastAsia="仿宋_GB2312" w:cs="Times New Roman"/>
          <w:color w:val="auto"/>
          <w:sz w:val="32"/>
          <w:szCs w:val="32"/>
          <w:lang w:val="en-US" w:eastAsia="zh-CN"/>
        </w:rPr>
        <w:t>百分比</w:t>
      </w:r>
      <w:r>
        <w:rPr>
          <w:rFonts w:eastAsia="仿宋_GB2312"/>
          <w:kern w:val="0"/>
          <w:sz w:val="32"/>
          <w:szCs w:val="32"/>
        </w:rPr>
        <w:t>。</w:t>
      </w:r>
    </w:p>
    <w:p>
      <w:pPr>
        <w:keepNext w:val="0"/>
        <w:keepLines w:val="0"/>
        <w:pageBreakBefore w:val="0"/>
        <w:kinsoku/>
        <w:wordWrap/>
        <w:overflowPunct/>
        <w:topLinePunct w:val="0"/>
        <w:bidi w:val="0"/>
        <w:snapToGrid/>
        <w:spacing w:beforeAutospacing="0" w:afterAutospacing="0" w:line="560" w:lineRule="atLeast"/>
        <w:ind w:firstLine="643" w:firstLineChars="200"/>
        <w:textAlignment w:val="auto"/>
        <w:rPr>
          <w:rFonts w:hint="eastAsia" w:ascii="仿宋_GB2312" w:hAnsi="仿宋_GB2312" w:eastAsia="仿宋_GB2312" w:cs="仿宋_GB2312"/>
          <w:b/>
          <w:color w:val="000000"/>
          <w:kern w:val="0"/>
          <w:sz w:val="32"/>
          <w:szCs w:val="32"/>
          <w:u w:val="none"/>
        </w:rPr>
      </w:pPr>
      <w:r>
        <w:rPr>
          <w:rFonts w:hint="eastAsia" w:ascii="仿宋_GB2312" w:hAnsi="仿宋_GB2312" w:eastAsia="仿宋_GB2312" w:cs="仿宋_GB2312"/>
          <w:b/>
          <w:color w:val="000000"/>
          <w:kern w:val="0"/>
          <w:sz w:val="32"/>
          <w:szCs w:val="32"/>
          <w:u w:val="none"/>
        </w:rPr>
        <w:t>（四）国有资产占用情况</w:t>
      </w:r>
    </w:p>
    <w:p>
      <w:pPr>
        <w:spacing w:line="560" w:lineRule="atLeast"/>
        <w:ind w:firstLine="480" w:firstLineChars="150"/>
        <w:outlineLvl w:val="1"/>
        <w:rPr>
          <w:rFonts w:hint="eastAsia" w:ascii="仿宋_GB2312" w:hAnsi="仿宋_GB2312" w:eastAsia="仿宋_GB2312" w:cs="仿宋_GB2312"/>
          <w:color w:val="000000"/>
          <w:kern w:val="0"/>
          <w:sz w:val="32"/>
          <w:szCs w:val="32"/>
          <w:highlight w:val="none"/>
          <w:u w:val="none"/>
        </w:rPr>
      </w:pPr>
      <w:r>
        <w:rPr>
          <w:rFonts w:hint="eastAsia" w:ascii="仿宋_GB2312" w:hAnsi="仿宋_GB2312" w:eastAsia="仿宋_GB2312" w:cs="仿宋_GB2312"/>
          <w:color w:val="000000"/>
          <w:kern w:val="0"/>
          <w:sz w:val="32"/>
          <w:szCs w:val="32"/>
          <w:highlight w:val="none"/>
          <w:u w:val="none"/>
        </w:rPr>
        <w:t>截至</w:t>
      </w:r>
      <w:r>
        <w:rPr>
          <w:rFonts w:hint="eastAsia" w:ascii="仿宋_GB2312" w:hAnsi="仿宋_GB2312" w:eastAsia="仿宋_GB2312" w:cs="仿宋_GB2312"/>
          <w:color w:val="000000"/>
          <w:kern w:val="0"/>
          <w:sz w:val="32"/>
          <w:szCs w:val="32"/>
          <w:highlight w:val="none"/>
          <w:u w:val="none"/>
          <w:lang w:eastAsia="zh-CN"/>
        </w:rPr>
        <w:t>2</w:t>
      </w:r>
      <w:r>
        <w:rPr>
          <w:rFonts w:hint="eastAsia" w:ascii="仿宋_GB2312" w:hAnsi="仿宋_GB2312" w:eastAsia="仿宋_GB2312" w:cs="仿宋_GB2312"/>
          <w:color w:val="000000"/>
          <w:kern w:val="0"/>
          <w:sz w:val="32"/>
          <w:szCs w:val="32"/>
          <w:highlight w:val="none"/>
          <w:u w:val="none"/>
          <w:lang w:val="en-US" w:eastAsia="zh-CN"/>
        </w:rPr>
        <w:t>021</w:t>
      </w:r>
      <w:r>
        <w:rPr>
          <w:rFonts w:hint="eastAsia" w:ascii="仿宋_GB2312" w:hAnsi="仿宋_GB2312" w:eastAsia="仿宋_GB2312" w:cs="仿宋_GB2312"/>
          <w:color w:val="000000"/>
          <w:kern w:val="0"/>
          <w:sz w:val="32"/>
          <w:szCs w:val="32"/>
          <w:highlight w:val="none"/>
          <w:u w:val="none"/>
        </w:rPr>
        <w:t>年12月31日，本单位共有车辆</w:t>
      </w:r>
      <w:r>
        <w:rPr>
          <w:rFonts w:hint="eastAsia" w:ascii="仿宋_GB2312" w:hAnsi="仿宋_GB2312" w:eastAsia="仿宋_GB2312" w:cs="仿宋_GB2312"/>
          <w:color w:val="000000"/>
          <w:kern w:val="0"/>
          <w:sz w:val="32"/>
          <w:szCs w:val="32"/>
          <w:highlight w:val="none"/>
          <w:u w:val="none"/>
          <w:lang w:val="en-US" w:eastAsia="zh-CN"/>
        </w:rPr>
        <w:t>0</w:t>
      </w:r>
      <w:r>
        <w:rPr>
          <w:rFonts w:hint="eastAsia" w:ascii="仿宋_GB2312" w:hAnsi="仿宋_GB2312" w:eastAsia="仿宋_GB2312" w:cs="仿宋_GB2312"/>
          <w:color w:val="000000"/>
          <w:kern w:val="0"/>
          <w:sz w:val="32"/>
          <w:szCs w:val="32"/>
          <w:highlight w:val="none"/>
          <w:u w:val="none"/>
        </w:rPr>
        <w:t>辆，其中，领导干部用车</w:t>
      </w:r>
      <w:r>
        <w:rPr>
          <w:rFonts w:hint="eastAsia" w:ascii="仿宋_GB2312" w:hAnsi="仿宋_GB2312" w:eastAsia="仿宋_GB2312" w:cs="仿宋_GB2312"/>
          <w:color w:val="000000"/>
          <w:kern w:val="0"/>
          <w:sz w:val="32"/>
          <w:szCs w:val="32"/>
          <w:highlight w:val="none"/>
          <w:u w:val="none"/>
          <w:lang w:val="en-US" w:eastAsia="zh-CN"/>
        </w:rPr>
        <w:t>0</w:t>
      </w:r>
      <w:r>
        <w:rPr>
          <w:rFonts w:hint="eastAsia" w:ascii="仿宋_GB2312" w:hAnsi="仿宋_GB2312" w:eastAsia="仿宋_GB2312" w:cs="仿宋_GB2312"/>
          <w:color w:val="000000"/>
          <w:kern w:val="0"/>
          <w:sz w:val="32"/>
          <w:szCs w:val="32"/>
          <w:highlight w:val="none"/>
          <w:u w:val="none"/>
        </w:rPr>
        <w:t>辆、机要通信用车</w:t>
      </w:r>
      <w:r>
        <w:rPr>
          <w:rFonts w:hint="eastAsia" w:ascii="仿宋_GB2312" w:hAnsi="仿宋_GB2312" w:eastAsia="仿宋_GB2312" w:cs="仿宋_GB2312"/>
          <w:color w:val="000000"/>
          <w:kern w:val="0"/>
          <w:sz w:val="32"/>
          <w:szCs w:val="32"/>
          <w:highlight w:val="none"/>
          <w:u w:val="none"/>
          <w:lang w:val="en-US" w:eastAsia="zh-CN"/>
        </w:rPr>
        <w:t>0</w:t>
      </w:r>
      <w:r>
        <w:rPr>
          <w:rFonts w:hint="eastAsia" w:ascii="仿宋_GB2312" w:hAnsi="仿宋_GB2312" w:eastAsia="仿宋_GB2312" w:cs="仿宋_GB2312"/>
          <w:color w:val="000000"/>
          <w:kern w:val="0"/>
          <w:sz w:val="32"/>
          <w:szCs w:val="32"/>
          <w:highlight w:val="none"/>
          <w:u w:val="none"/>
        </w:rPr>
        <w:t>辆、应急保障用车</w:t>
      </w:r>
      <w:r>
        <w:rPr>
          <w:rFonts w:hint="eastAsia" w:ascii="仿宋_GB2312" w:hAnsi="仿宋_GB2312" w:eastAsia="仿宋_GB2312" w:cs="仿宋_GB2312"/>
          <w:color w:val="000000"/>
          <w:kern w:val="0"/>
          <w:sz w:val="32"/>
          <w:szCs w:val="32"/>
          <w:highlight w:val="none"/>
          <w:u w:val="none"/>
          <w:lang w:val="en-US" w:eastAsia="zh-CN"/>
        </w:rPr>
        <w:t>0</w:t>
      </w:r>
      <w:r>
        <w:rPr>
          <w:rFonts w:hint="eastAsia" w:ascii="仿宋_GB2312" w:hAnsi="仿宋_GB2312" w:eastAsia="仿宋_GB2312" w:cs="仿宋_GB2312"/>
          <w:color w:val="000000"/>
          <w:kern w:val="0"/>
          <w:sz w:val="32"/>
          <w:szCs w:val="32"/>
          <w:highlight w:val="none"/>
          <w:u w:val="none"/>
        </w:rPr>
        <w:t>辆、执法执勤用车</w:t>
      </w:r>
      <w:r>
        <w:rPr>
          <w:rFonts w:hint="eastAsia" w:ascii="仿宋_GB2312" w:hAnsi="仿宋_GB2312" w:eastAsia="仿宋_GB2312" w:cs="仿宋_GB2312"/>
          <w:color w:val="000000"/>
          <w:kern w:val="0"/>
          <w:sz w:val="32"/>
          <w:szCs w:val="32"/>
          <w:highlight w:val="none"/>
          <w:u w:val="none"/>
          <w:lang w:val="en-US" w:eastAsia="zh-CN"/>
        </w:rPr>
        <w:t>0</w:t>
      </w:r>
      <w:r>
        <w:rPr>
          <w:rFonts w:hint="eastAsia" w:ascii="仿宋_GB2312" w:hAnsi="仿宋_GB2312" w:eastAsia="仿宋_GB2312" w:cs="仿宋_GB2312"/>
          <w:color w:val="000000"/>
          <w:kern w:val="0"/>
          <w:sz w:val="32"/>
          <w:szCs w:val="32"/>
          <w:highlight w:val="none"/>
          <w:u w:val="none"/>
        </w:rPr>
        <w:t>辆、特种专业技术用车</w:t>
      </w:r>
      <w:r>
        <w:rPr>
          <w:rFonts w:hint="eastAsia" w:ascii="仿宋_GB2312" w:hAnsi="仿宋_GB2312" w:eastAsia="仿宋_GB2312" w:cs="仿宋_GB2312"/>
          <w:color w:val="000000"/>
          <w:kern w:val="0"/>
          <w:sz w:val="32"/>
          <w:szCs w:val="32"/>
          <w:highlight w:val="none"/>
          <w:u w:val="none"/>
          <w:lang w:val="en-US" w:eastAsia="zh-CN"/>
        </w:rPr>
        <w:t>0</w:t>
      </w:r>
      <w:r>
        <w:rPr>
          <w:rFonts w:hint="eastAsia" w:ascii="仿宋_GB2312" w:hAnsi="仿宋_GB2312" w:eastAsia="仿宋_GB2312" w:cs="仿宋_GB2312"/>
          <w:color w:val="000000"/>
          <w:kern w:val="0"/>
          <w:sz w:val="32"/>
          <w:szCs w:val="32"/>
          <w:highlight w:val="none"/>
          <w:u w:val="none"/>
        </w:rPr>
        <w:t>辆、其他用车</w:t>
      </w:r>
      <w:r>
        <w:rPr>
          <w:rFonts w:hint="eastAsia" w:ascii="仿宋_GB2312" w:hAnsi="仿宋_GB2312" w:eastAsia="仿宋_GB2312" w:cs="仿宋_GB2312"/>
          <w:color w:val="000000"/>
          <w:kern w:val="0"/>
          <w:sz w:val="32"/>
          <w:szCs w:val="32"/>
          <w:highlight w:val="none"/>
          <w:u w:val="none"/>
          <w:lang w:val="en-US" w:eastAsia="zh-CN"/>
        </w:rPr>
        <w:t>0</w:t>
      </w:r>
      <w:r>
        <w:rPr>
          <w:rFonts w:hint="eastAsia" w:ascii="仿宋_GB2312" w:hAnsi="仿宋_GB2312" w:eastAsia="仿宋_GB2312" w:cs="仿宋_GB2312"/>
          <w:color w:val="000000"/>
          <w:kern w:val="0"/>
          <w:sz w:val="32"/>
          <w:szCs w:val="32"/>
          <w:highlight w:val="none"/>
          <w:u w:val="none"/>
        </w:rPr>
        <w:t>辆；单位价值50万元以上通用设备</w:t>
      </w:r>
      <w:r>
        <w:rPr>
          <w:rFonts w:hint="eastAsia" w:ascii="仿宋_GB2312" w:hAnsi="仿宋_GB2312" w:eastAsia="仿宋_GB2312" w:cs="仿宋_GB2312"/>
          <w:color w:val="000000"/>
          <w:kern w:val="0"/>
          <w:sz w:val="32"/>
          <w:szCs w:val="32"/>
          <w:highlight w:val="none"/>
          <w:u w:val="none"/>
          <w:lang w:val="en-US" w:eastAsia="zh-CN"/>
        </w:rPr>
        <w:t>0</w:t>
      </w:r>
      <w:r>
        <w:rPr>
          <w:rFonts w:hint="eastAsia" w:ascii="仿宋_GB2312" w:hAnsi="仿宋_GB2312" w:eastAsia="仿宋_GB2312" w:cs="仿宋_GB2312"/>
          <w:color w:val="000000"/>
          <w:kern w:val="0"/>
          <w:sz w:val="32"/>
          <w:szCs w:val="32"/>
          <w:highlight w:val="none"/>
          <w:u w:val="none"/>
        </w:rPr>
        <w:t>台（套</w:t>
      </w:r>
      <w:bookmarkStart w:id="2" w:name="_GoBack"/>
      <w:bookmarkEnd w:id="2"/>
      <w:r>
        <w:rPr>
          <w:rFonts w:hint="eastAsia" w:ascii="仿宋_GB2312" w:hAnsi="仿宋_GB2312" w:eastAsia="仿宋_GB2312" w:cs="仿宋_GB2312"/>
          <w:color w:val="000000"/>
          <w:kern w:val="0"/>
          <w:sz w:val="32"/>
          <w:szCs w:val="32"/>
          <w:highlight w:val="none"/>
          <w:u w:val="none"/>
        </w:rPr>
        <w:t>）；单位价值100万元以上专用设备</w:t>
      </w:r>
      <w:r>
        <w:rPr>
          <w:rFonts w:hint="eastAsia" w:ascii="仿宋_GB2312" w:hAnsi="仿宋_GB2312" w:eastAsia="仿宋_GB2312" w:cs="仿宋_GB2312"/>
          <w:color w:val="000000"/>
          <w:kern w:val="0"/>
          <w:sz w:val="32"/>
          <w:szCs w:val="32"/>
          <w:highlight w:val="none"/>
          <w:u w:val="none"/>
          <w:lang w:val="en-US" w:eastAsia="zh-CN"/>
        </w:rPr>
        <w:t>0</w:t>
      </w:r>
      <w:r>
        <w:rPr>
          <w:rFonts w:hint="eastAsia" w:ascii="仿宋_GB2312" w:hAnsi="仿宋_GB2312" w:eastAsia="仿宋_GB2312" w:cs="仿宋_GB2312"/>
          <w:color w:val="000000"/>
          <w:kern w:val="0"/>
          <w:sz w:val="32"/>
          <w:szCs w:val="32"/>
          <w:highlight w:val="none"/>
          <w:u w:val="none"/>
        </w:rPr>
        <w:t>台（套）。</w:t>
      </w:r>
    </w:p>
    <w:p>
      <w:pPr>
        <w:widowControl/>
        <w:spacing w:line="600" w:lineRule="exact"/>
        <w:jc w:val="center"/>
        <w:outlineLvl w:val="0"/>
        <w:rPr>
          <w:rFonts w:hint="eastAsia" w:ascii="黑体" w:hAnsi="黑体" w:eastAsia="黑体" w:cs="黑体"/>
          <w:b/>
          <w:bCs w:val="0"/>
          <w:kern w:val="0"/>
          <w:sz w:val="44"/>
          <w:szCs w:val="44"/>
          <w:u w:val="none"/>
        </w:rPr>
      </w:pPr>
    </w:p>
    <w:p>
      <w:pPr>
        <w:widowControl/>
        <w:spacing w:line="600" w:lineRule="exact"/>
        <w:jc w:val="center"/>
        <w:outlineLvl w:val="0"/>
        <w:rPr>
          <w:rFonts w:hint="eastAsia" w:ascii="黑体" w:hAnsi="黑体" w:eastAsia="黑体" w:cs="黑体"/>
          <w:b/>
          <w:bCs w:val="0"/>
          <w:kern w:val="0"/>
          <w:sz w:val="44"/>
          <w:szCs w:val="44"/>
          <w:u w:val="none"/>
        </w:rPr>
      </w:pPr>
    </w:p>
    <w:p>
      <w:pPr>
        <w:widowControl/>
        <w:spacing w:line="600" w:lineRule="exact"/>
        <w:jc w:val="center"/>
        <w:outlineLvl w:val="0"/>
        <w:rPr>
          <w:rFonts w:hint="eastAsia" w:ascii="黑体" w:hAnsi="黑体" w:eastAsia="黑体" w:cs="黑体"/>
          <w:b/>
          <w:bCs w:val="0"/>
          <w:kern w:val="0"/>
          <w:sz w:val="44"/>
          <w:szCs w:val="44"/>
          <w:u w:val="none"/>
        </w:rPr>
      </w:pPr>
    </w:p>
    <w:p>
      <w:pPr>
        <w:pStyle w:val="10"/>
        <w:keepNext w:val="0"/>
        <w:keepLines w:val="0"/>
        <w:pageBreakBefore w:val="0"/>
        <w:kinsoku/>
        <w:wordWrap/>
        <w:overflowPunct/>
        <w:topLinePunct w:val="0"/>
        <w:bidi w:val="0"/>
        <w:snapToGrid/>
        <w:spacing w:beforeAutospacing="0" w:afterAutospacing="0" w:line="560" w:lineRule="atLeast"/>
        <w:jc w:val="center"/>
        <w:textAlignment w:val="auto"/>
        <w:rPr>
          <w:rFonts w:hint="eastAsia" w:ascii="仿宋_GB2312" w:hAnsi="仿宋_GB2312" w:eastAsia="仿宋_GB2312" w:cs="仿宋_GB2312"/>
          <w:b/>
          <w:bCs/>
          <w:color w:val="000000"/>
          <w:kern w:val="0"/>
          <w:sz w:val="36"/>
          <w:szCs w:val="36"/>
          <w:u w:val="none"/>
        </w:rPr>
      </w:pPr>
      <w:r>
        <w:rPr>
          <w:rFonts w:hint="eastAsia" w:ascii="仿宋_GB2312" w:hAnsi="仿宋_GB2312" w:eastAsia="仿宋_GB2312" w:cs="仿宋_GB2312"/>
          <w:b/>
          <w:bCs/>
          <w:sz w:val="36"/>
          <w:szCs w:val="36"/>
          <w:u w:val="none"/>
        </w:rPr>
        <w:t>第四部分</w:t>
      </w:r>
      <w:r>
        <w:rPr>
          <w:rFonts w:hint="eastAsia" w:ascii="仿宋_GB2312" w:hAnsi="仿宋_GB2312" w:eastAsia="仿宋_GB2312" w:cs="仿宋_GB2312"/>
          <w:b/>
          <w:bCs/>
          <w:sz w:val="36"/>
          <w:szCs w:val="36"/>
          <w:u w:val="none"/>
          <w:lang w:val="en-US" w:eastAsia="zh-CN"/>
        </w:rPr>
        <w:t xml:space="preserve"> </w:t>
      </w:r>
      <w:r>
        <w:rPr>
          <w:rFonts w:hint="eastAsia" w:ascii="仿宋_GB2312" w:hAnsi="仿宋_GB2312" w:eastAsia="仿宋_GB2312" w:cs="仿宋_GB2312"/>
          <w:b/>
          <w:bCs/>
          <w:color w:val="000000"/>
          <w:kern w:val="0"/>
          <w:sz w:val="36"/>
          <w:szCs w:val="36"/>
          <w:u w:val="none"/>
        </w:rPr>
        <w:t>名词解释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3" w:firstLineChars="200"/>
        <w:textAlignment w:val="auto"/>
        <w:rPr>
          <w:rFonts w:hint="eastAsia" w:ascii="仿宋_GB2312" w:hAnsi="仿宋_GB2312" w:eastAsia="仿宋_GB2312" w:cs="仿宋_GB2312"/>
          <w:i w:val="0"/>
          <w:caps w:val="0"/>
          <w:color w:val="000000"/>
          <w:spacing w:val="0"/>
          <w:sz w:val="32"/>
          <w:szCs w:val="32"/>
          <w:u w:val="none"/>
          <w:shd w:val="clear" w:color="auto" w:fill="FFFFFF"/>
        </w:rPr>
      </w:pPr>
      <w:r>
        <w:rPr>
          <w:rFonts w:hint="eastAsia" w:ascii="楷体_GB2312" w:hAnsi="楷体_GB2312" w:eastAsia="楷体_GB2312" w:cs="楷体_GB2312"/>
          <w:b/>
          <w:bCs/>
          <w:i w:val="0"/>
          <w:caps w:val="0"/>
          <w:color w:val="000000"/>
          <w:spacing w:val="0"/>
          <w:sz w:val="32"/>
          <w:szCs w:val="32"/>
          <w:u w:val="none"/>
          <w:shd w:val="clear" w:color="auto" w:fill="FFFFFF"/>
          <w:lang w:eastAsia="zh-CN"/>
        </w:rPr>
        <w:t>（一）</w:t>
      </w:r>
      <w:r>
        <w:rPr>
          <w:rFonts w:hint="eastAsia" w:ascii="楷体_GB2312" w:hAnsi="楷体_GB2312" w:eastAsia="楷体_GB2312" w:cs="楷体_GB2312"/>
          <w:b/>
          <w:bCs/>
          <w:i w:val="0"/>
          <w:caps w:val="0"/>
          <w:color w:val="000000"/>
          <w:spacing w:val="0"/>
          <w:sz w:val="32"/>
          <w:szCs w:val="32"/>
          <w:u w:val="none"/>
          <w:shd w:val="clear" w:color="auto" w:fill="FFFFFF"/>
        </w:rPr>
        <w:t>机关运行经费</w:t>
      </w:r>
      <w:r>
        <w:rPr>
          <w:rFonts w:hint="eastAsia" w:ascii="仿宋_GB2312" w:hAnsi="仿宋_GB2312" w:eastAsia="仿宋_GB2312" w:cs="仿宋_GB2312"/>
          <w:i w:val="0"/>
          <w:caps w:val="0"/>
          <w:color w:val="000000"/>
          <w:spacing w:val="0"/>
          <w:sz w:val="32"/>
          <w:szCs w:val="32"/>
          <w:u w:val="none"/>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3" w:firstLineChars="200"/>
        <w:textAlignment w:val="auto"/>
        <w:rPr>
          <w:rFonts w:hint="eastAsia" w:ascii="仿宋_GB2312" w:hAnsi="仿宋_GB2312" w:eastAsia="仿宋_GB2312" w:cs="仿宋_GB2312"/>
          <w:i w:val="0"/>
          <w:caps w:val="0"/>
          <w:color w:val="000000"/>
          <w:spacing w:val="0"/>
          <w:sz w:val="32"/>
          <w:szCs w:val="32"/>
          <w:u w:val="none"/>
          <w:shd w:val="clear" w:color="auto" w:fill="FFFFFF"/>
        </w:rPr>
      </w:pPr>
      <w:r>
        <w:rPr>
          <w:rFonts w:hint="eastAsia" w:ascii="楷体_GB2312" w:hAnsi="楷体_GB2312" w:eastAsia="楷体_GB2312" w:cs="楷体_GB2312"/>
          <w:b/>
          <w:bCs/>
          <w:i w:val="0"/>
          <w:caps w:val="0"/>
          <w:color w:val="000000"/>
          <w:spacing w:val="0"/>
          <w:sz w:val="32"/>
          <w:szCs w:val="32"/>
          <w:u w:val="none"/>
          <w:shd w:val="clear" w:color="auto" w:fill="FFFFFF"/>
          <w:lang w:eastAsia="zh-CN"/>
        </w:rPr>
        <w:t>（二）</w:t>
      </w:r>
      <w:r>
        <w:rPr>
          <w:rFonts w:hint="eastAsia" w:ascii="楷体_GB2312" w:hAnsi="楷体_GB2312" w:eastAsia="楷体_GB2312" w:cs="楷体_GB2312"/>
          <w:b/>
          <w:bCs/>
          <w:i w:val="0"/>
          <w:caps w:val="0"/>
          <w:color w:val="000000"/>
          <w:spacing w:val="0"/>
          <w:sz w:val="32"/>
          <w:szCs w:val="32"/>
          <w:u w:val="none"/>
          <w:shd w:val="clear" w:color="auto" w:fill="FFFFFF"/>
        </w:rPr>
        <w:t>“三公”经费。</w:t>
      </w:r>
      <w:r>
        <w:rPr>
          <w:rFonts w:hint="eastAsia" w:ascii="仿宋_GB2312" w:hAnsi="仿宋_GB2312" w:eastAsia="仿宋_GB2312" w:cs="仿宋_GB2312"/>
          <w:i w:val="0"/>
          <w:caps w:val="0"/>
          <w:color w:val="000000"/>
          <w:spacing w:val="0"/>
          <w:sz w:val="32"/>
          <w:szCs w:val="32"/>
          <w:u w:val="none"/>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3" w:firstLineChars="200"/>
        <w:textAlignment w:val="auto"/>
        <w:rPr>
          <w:rFonts w:hint="eastAsia" w:ascii="仿宋_GB2312" w:hAnsi="仿宋_GB2312" w:eastAsia="仿宋_GB2312" w:cs="仿宋_GB2312"/>
          <w:i w:val="0"/>
          <w:caps w:val="0"/>
          <w:color w:val="000000"/>
          <w:spacing w:val="0"/>
          <w:sz w:val="32"/>
          <w:szCs w:val="32"/>
          <w:u w:val="none"/>
          <w:shd w:val="clear" w:color="auto" w:fill="FFFFFF"/>
        </w:rPr>
      </w:pPr>
      <w:r>
        <w:rPr>
          <w:rFonts w:hint="eastAsia" w:ascii="楷体_GB2312" w:hAnsi="楷体_GB2312" w:eastAsia="楷体_GB2312" w:cs="楷体_GB2312"/>
          <w:b/>
          <w:bCs/>
          <w:i w:val="0"/>
          <w:caps w:val="0"/>
          <w:color w:val="000000"/>
          <w:spacing w:val="0"/>
          <w:sz w:val="32"/>
          <w:szCs w:val="32"/>
          <w:u w:val="none"/>
          <w:shd w:val="clear" w:color="auto" w:fill="FFFFFF"/>
          <w:lang w:eastAsia="zh-CN"/>
        </w:rPr>
        <w:t>（三）</w:t>
      </w:r>
      <w:r>
        <w:rPr>
          <w:rFonts w:hint="eastAsia" w:ascii="楷体_GB2312" w:hAnsi="楷体_GB2312" w:eastAsia="楷体_GB2312" w:cs="楷体_GB2312"/>
          <w:b/>
          <w:bCs/>
          <w:i w:val="0"/>
          <w:caps w:val="0"/>
          <w:color w:val="000000"/>
          <w:spacing w:val="0"/>
          <w:sz w:val="32"/>
          <w:szCs w:val="32"/>
          <w:u w:val="none"/>
          <w:shd w:val="clear" w:color="auto" w:fill="FFFFFF"/>
        </w:rPr>
        <w:t>基本支出。</w:t>
      </w:r>
      <w:r>
        <w:rPr>
          <w:rFonts w:hint="eastAsia" w:ascii="仿宋_GB2312" w:hAnsi="仿宋_GB2312" w:eastAsia="仿宋_GB2312" w:cs="仿宋_GB2312"/>
          <w:i w:val="0"/>
          <w:caps w:val="0"/>
          <w:color w:val="000000"/>
          <w:spacing w:val="0"/>
          <w:sz w:val="32"/>
          <w:szCs w:val="32"/>
          <w:u w:val="none"/>
          <w:shd w:val="clear" w:color="auto" w:fill="FFFFFF"/>
        </w:rPr>
        <w:t>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3" w:firstLineChars="200"/>
        <w:textAlignment w:val="auto"/>
        <w:rPr>
          <w:rFonts w:hint="eastAsia" w:ascii="仿宋_GB2312" w:hAnsi="仿宋_GB2312" w:eastAsia="仿宋_GB2312" w:cs="仿宋_GB2312"/>
          <w:i w:val="0"/>
          <w:caps w:val="0"/>
          <w:color w:val="000000"/>
          <w:spacing w:val="0"/>
          <w:sz w:val="32"/>
          <w:szCs w:val="32"/>
          <w:u w:val="none"/>
          <w:shd w:val="clear" w:color="auto" w:fill="FFFFFF"/>
        </w:rPr>
      </w:pPr>
      <w:r>
        <w:rPr>
          <w:rFonts w:hint="eastAsia" w:ascii="楷体_GB2312" w:hAnsi="楷体_GB2312" w:eastAsia="楷体_GB2312" w:cs="楷体_GB2312"/>
          <w:b/>
          <w:bCs/>
          <w:i w:val="0"/>
          <w:caps w:val="0"/>
          <w:color w:val="000000"/>
          <w:spacing w:val="0"/>
          <w:sz w:val="32"/>
          <w:szCs w:val="32"/>
          <w:u w:val="none"/>
          <w:shd w:val="clear" w:color="auto" w:fill="FFFFFF"/>
          <w:lang w:eastAsia="zh-CN"/>
        </w:rPr>
        <w:t>（四）</w:t>
      </w:r>
      <w:r>
        <w:rPr>
          <w:rFonts w:hint="eastAsia" w:ascii="楷体_GB2312" w:hAnsi="楷体_GB2312" w:eastAsia="楷体_GB2312" w:cs="楷体_GB2312"/>
          <w:b/>
          <w:bCs/>
          <w:i w:val="0"/>
          <w:caps w:val="0"/>
          <w:color w:val="000000"/>
          <w:spacing w:val="0"/>
          <w:sz w:val="32"/>
          <w:szCs w:val="32"/>
          <w:u w:val="none"/>
          <w:shd w:val="clear" w:color="auto" w:fill="FFFFFF"/>
        </w:rPr>
        <w:t>项目支出。</w:t>
      </w:r>
      <w:r>
        <w:rPr>
          <w:rFonts w:hint="eastAsia" w:ascii="仿宋_GB2312" w:hAnsi="仿宋_GB2312" w:eastAsia="仿宋_GB2312" w:cs="仿宋_GB2312"/>
          <w:i w:val="0"/>
          <w:caps w:val="0"/>
          <w:color w:val="000000"/>
          <w:spacing w:val="0"/>
          <w:sz w:val="32"/>
          <w:szCs w:val="32"/>
          <w:u w:val="none"/>
          <w:shd w:val="clear" w:color="auto" w:fill="FFFFFF"/>
        </w:rPr>
        <w:t>指在基本支出之外为完成特定行政任务和事业发展目标所发生的支出。</w:t>
      </w:r>
    </w:p>
    <w:p>
      <w:pPr>
        <w:pStyle w:val="7"/>
        <w:rPr>
          <w:rFonts w:hint="eastAsia"/>
        </w:rPr>
      </w:pPr>
    </w:p>
    <w:p>
      <w:pPr>
        <w:pStyle w:val="7"/>
        <w:rPr>
          <w:rFonts w:hint="eastAsia" w:ascii="仿宋_GB2312" w:hAnsi="仿宋_GB2312" w:eastAsia="仿宋_GB2312" w:cs="仿宋_GB2312"/>
          <w:i w:val="0"/>
          <w:caps w:val="0"/>
          <w:color w:val="000000"/>
          <w:spacing w:val="0"/>
          <w:sz w:val="32"/>
          <w:szCs w:val="32"/>
          <w:u w:val="none"/>
          <w:shd w:val="clear" w:color="auto" w:fill="FFFFFF"/>
        </w:rPr>
      </w:pPr>
    </w:p>
    <w:p>
      <w:pPr>
        <w:pStyle w:val="10"/>
        <w:keepNext w:val="0"/>
        <w:keepLines w:val="0"/>
        <w:pageBreakBefore w:val="0"/>
        <w:numPr>
          <w:ilvl w:val="-1"/>
          <w:numId w:val="0"/>
        </w:numPr>
        <w:kinsoku/>
        <w:wordWrap/>
        <w:overflowPunct/>
        <w:topLinePunct w:val="0"/>
        <w:bidi w:val="0"/>
        <w:snapToGrid/>
        <w:spacing w:beforeAutospacing="0" w:afterAutospacing="0" w:line="560" w:lineRule="atLeast"/>
        <w:jc w:val="both"/>
        <w:textAlignment w:val="auto"/>
        <w:rPr>
          <w:rFonts w:hint="eastAsia" w:ascii="仿宋_GB2312" w:hAnsi="仿宋_GB2312" w:eastAsia="仿宋_GB2312" w:cs="仿宋_GB2312"/>
          <w:b/>
          <w:bCs/>
          <w:color w:val="000000"/>
          <w:kern w:val="0"/>
          <w:sz w:val="36"/>
          <w:szCs w:val="36"/>
          <w:u w:val="none"/>
          <w:lang w:eastAsia="zh-CN"/>
        </w:rPr>
      </w:pPr>
    </w:p>
    <w:p>
      <w:pPr>
        <w:pStyle w:val="10"/>
        <w:keepNext w:val="0"/>
        <w:keepLines w:val="0"/>
        <w:pageBreakBefore w:val="0"/>
        <w:numPr>
          <w:ilvl w:val="-1"/>
          <w:numId w:val="0"/>
        </w:numPr>
        <w:kinsoku/>
        <w:wordWrap/>
        <w:overflowPunct/>
        <w:topLinePunct w:val="0"/>
        <w:bidi w:val="0"/>
        <w:snapToGrid/>
        <w:spacing w:beforeAutospacing="0" w:afterAutospacing="0" w:line="560" w:lineRule="atLeast"/>
        <w:jc w:val="both"/>
        <w:textAlignment w:val="auto"/>
        <w:rPr>
          <w:rFonts w:hint="eastAsia" w:ascii="仿宋_GB2312" w:hAnsi="仿宋_GB2312" w:eastAsia="仿宋_GB2312" w:cs="仿宋_GB2312"/>
          <w:b/>
          <w:bCs/>
          <w:sz w:val="36"/>
          <w:szCs w:val="36"/>
          <w:u w:val="none"/>
        </w:rPr>
      </w:pPr>
    </w:p>
    <w:p>
      <w:pPr>
        <w:pStyle w:val="10"/>
        <w:keepNext w:val="0"/>
        <w:keepLines w:val="0"/>
        <w:pageBreakBefore w:val="0"/>
        <w:numPr>
          <w:ilvl w:val="0"/>
          <w:numId w:val="2"/>
        </w:numPr>
        <w:kinsoku/>
        <w:wordWrap/>
        <w:overflowPunct/>
        <w:topLinePunct w:val="0"/>
        <w:bidi w:val="0"/>
        <w:snapToGrid/>
        <w:spacing w:beforeAutospacing="0" w:afterAutospacing="0" w:line="560" w:lineRule="atLeast"/>
        <w:jc w:val="center"/>
        <w:textAlignment w:val="auto"/>
        <w:rPr>
          <w:rFonts w:hint="eastAsia" w:ascii="仿宋_GB2312" w:hAnsi="仿宋_GB2312" w:eastAsia="仿宋_GB2312" w:cs="仿宋_GB2312"/>
          <w:b/>
          <w:bCs/>
          <w:color w:val="000000"/>
          <w:kern w:val="0"/>
          <w:sz w:val="36"/>
          <w:szCs w:val="36"/>
          <w:u w:val="none"/>
          <w:lang w:eastAsia="zh-CN"/>
        </w:rPr>
      </w:pPr>
      <w:r>
        <w:rPr>
          <w:rFonts w:hint="eastAsia" w:ascii="仿宋_GB2312" w:hAnsi="仿宋_GB2312" w:eastAsia="仿宋_GB2312" w:cs="仿宋_GB2312"/>
          <w:b/>
          <w:bCs/>
          <w:color w:val="000000"/>
          <w:kern w:val="0"/>
          <w:sz w:val="36"/>
          <w:szCs w:val="36"/>
          <w:u w:val="none"/>
          <w:lang w:eastAsia="zh-CN"/>
        </w:rPr>
        <w:t>附件</w:t>
      </w:r>
    </w:p>
    <w:p>
      <w:pPr>
        <w:pStyle w:val="10"/>
        <w:keepNext w:val="0"/>
        <w:keepLines w:val="0"/>
        <w:pageBreakBefore w:val="0"/>
        <w:numPr>
          <w:ilvl w:val="-1"/>
          <w:numId w:val="0"/>
        </w:numPr>
        <w:kinsoku/>
        <w:wordWrap/>
        <w:overflowPunct/>
        <w:topLinePunct w:val="0"/>
        <w:bidi w:val="0"/>
        <w:snapToGrid/>
        <w:spacing w:beforeAutospacing="0" w:afterAutospacing="0" w:line="560" w:lineRule="atLeast"/>
        <w:jc w:val="both"/>
        <w:textAlignment w:val="auto"/>
        <w:rPr>
          <w:rFonts w:hint="eastAsia" w:ascii="仿宋_GB2312" w:hAnsi="仿宋_GB2312" w:eastAsia="仿宋_GB2312" w:cs="仿宋_GB2312"/>
          <w:b/>
          <w:bCs/>
          <w:color w:val="000000"/>
          <w:kern w:val="0"/>
          <w:sz w:val="36"/>
          <w:szCs w:val="36"/>
          <w:u w:val="none"/>
          <w:lang w:eastAsia="zh-CN"/>
        </w:rPr>
      </w:pPr>
    </w:p>
    <w:p>
      <w:pPr>
        <w:shd w:val="clear" w:color="auto" w:fill="FFFFFF"/>
        <w:spacing w:line="560" w:lineRule="exact"/>
        <w:jc w:val="center"/>
        <w:rPr>
          <w:rFonts w:ascii="仿宋_GB2312" w:hAnsi="仿宋_GB2312" w:eastAsia="仿宋_GB2312" w:cs="仿宋_GB2312"/>
          <w:b/>
          <w:bCs/>
          <w:color w:val="3F3F3F"/>
          <w:sz w:val="32"/>
          <w:szCs w:val="32"/>
        </w:rPr>
      </w:pPr>
      <w:r>
        <w:rPr>
          <w:rFonts w:hint="eastAsia" w:ascii="仿宋_GB2312" w:hAnsi="仿宋_GB2312" w:eastAsia="仿宋_GB2312" w:cs="仿宋_GB2312"/>
          <w:b/>
          <w:bCs/>
          <w:color w:val="3F3F3F"/>
          <w:sz w:val="32"/>
          <w:szCs w:val="32"/>
        </w:rPr>
        <w:t>蓝山县教师进修学校2021年度部门整体支出</w:t>
      </w:r>
    </w:p>
    <w:p>
      <w:pPr>
        <w:shd w:val="clear" w:color="auto" w:fill="FFFFFF"/>
        <w:spacing w:line="560" w:lineRule="exact"/>
        <w:jc w:val="center"/>
        <w:rPr>
          <w:rFonts w:ascii="仿宋_GB2312" w:hAnsi="仿宋_GB2312" w:eastAsia="仿宋_GB2312" w:cs="仿宋_GB2312"/>
          <w:b/>
          <w:bCs/>
          <w:color w:val="3F3F3F"/>
          <w:sz w:val="32"/>
          <w:szCs w:val="32"/>
        </w:rPr>
      </w:pPr>
      <w:r>
        <w:rPr>
          <w:rFonts w:hint="eastAsia" w:ascii="仿宋_GB2312" w:hAnsi="仿宋_GB2312" w:eastAsia="仿宋_GB2312" w:cs="仿宋_GB2312"/>
          <w:b/>
          <w:bCs/>
          <w:color w:val="3F3F3F"/>
          <w:sz w:val="32"/>
          <w:szCs w:val="32"/>
        </w:rPr>
        <w:t>绩效评价情况报告</w:t>
      </w:r>
    </w:p>
    <w:p>
      <w:pPr>
        <w:shd w:val="clear" w:color="auto" w:fill="FFFFFF"/>
        <w:spacing w:line="560" w:lineRule="exact"/>
        <w:rPr>
          <w:rFonts w:ascii="仿宋_GB2312" w:hAnsi="仿宋_GB2312" w:eastAsia="仿宋_GB2312" w:cs="仿宋_GB2312"/>
          <w:b/>
          <w:bCs/>
          <w:color w:val="3F3F3F"/>
          <w:sz w:val="32"/>
          <w:szCs w:val="32"/>
        </w:rPr>
      </w:pPr>
    </w:p>
    <w:p>
      <w:pPr>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规范财政资金管理，牢固树立预算绩效理念，强化支出责任，提高财政资金使用效益，我们根据《蓝山县关于全面推进预算绩效管理的实施意见》，结合我单位的具体情况，认真组织开展了2021年度部门绩效自评工作，现将我部门2021年度部门整体支出绩效评价情况报告如下：</w:t>
      </w:r>
    </w:p>
    <w:p>
      <w:pPr>
        <w:pStyle w:val="11"/>
        <w:numPr>
          <w:ilvl w:val="0"/>
          <w:numId w:val="0"/>
        </w:numPr>
        <w:shd w:val="clear" w:color="auto" w:fill="FFFFFF"/>
        <w:spacing w:line="560" w:lineRule="exact"/>
        <w:ind w:left="640" w:leftChars="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单位概况</w:t>
      </w:r>
    </w:p>
    <w:p>
      <w:pPr>
        <w:pStyle w:val="11"/>
        <w:shd w:val="clear" w:color="auto" w:fill="FFFFFF"/>
        <w:spacing w:line="560" w:lineRule="exact"/>
        <w:ind w:left="640" w:firstLine="0" w:firstLineChars="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（一）基本情况</w:t>
      </w:r>
    </w:p>
    <w:p>
      <w:pPr>
        <w:keepNext w:val="0"/>
        <w:keepLines w:val="0"/>
        <w:pageBreakBefore w:val="0"/>
        <w:widowControl/>
        <w:kinsoku/>
        <w:wordWrap/>
        <w:overflowPunct/>
        <w:topLinePunct w:val="0"/>
        <w:autoSpaceDE/>
        <w:autoSpaceDN/>
        <w:bidi w:val="0"/>
        <w:adjustRightInd/>
        <w:snapToGrid/>
        <w:spacing w:line="600" w:lineRule="exact"/>
        <w:ind w:firstLine="627" w:firstLineChars="196"/>
        <w:jc w:val="both"/>
        <w:textAlignment w:val="auto"/>
        <w:rPr>
          <w:rFonts w:ascii="仿宋_GB2312" w:eastAsia="仿宋_GB2312"/>
          <w:sz w:val="32"/>
          <w:szCs w:val="32"/>
        </w:rPr>
      </w:pPr>
      <w:r>
        <w:rPr>
          <w:rFonts w:hint="eastAsia" w:ascii="仿宋_GB2312" w:eastAsia="仿宋_GB2312"/>
          <w:sz w:val="32"/>
          <w:szCs w:val="32"/>
        </w:rPr>
        <w:t>学校是一个财政全额拨款的正科级事业单位。单位现有校长一名，副校长二名，现有下设机构五个：学校办公室一个，设办公室主任一名，工会委员会一个，设有工会主席一名，工会委员二名；培训部一个，设有培训部主任一名；函授部一个，设有函授部主任一名，总务处一个；财务室一个，设有会计一名，出纳一名。</w:t>
      </w:r>
    </w:p>
    <w:p>
      <w:pPr>
        <w:keepNext w:val="0"/>
        <w:keepLines w:val="0"/>
        <w:pageBreakBefore w:val="0"/>
        <w:widowControl/>
        <w:kinsoku/>
        <w:wordWrap/>
        <w:overflowPunct/>
        <w:topLinePunct w:val="0"/>
        <w:autoSpaceDE/>
        <w:autoSpaceDN/>
        <w:bidi w:val="0"/>
        <w:adjustRightInd/>
        <w:snapToGrid/>
        <w:spacing w:line="600" w:lineRule="exact"/>
        <w:ind w:firstLine="627" w:firstLineChars="196"/>
        <w:jc w:val="both"/>
        <w:textAlignment w:val="auto"/>
        <w:rPr>
          <w:rFonts w:ascii="仿宋_GB2312" w:hAnsi="仿宋_GB2312" w:eastAsia="仿宋_GB2312" w:cs="仿宋_GB2312"/>
          <w:sz w:val="32"/>
          <w:szCs w:val="32"/>
        </w:rPr>
      </w:pPr>
      <w:r>
        <w:rPr>
          <w:rFonts w:hint="eastAsia" w:ascii="仿宋_GB2312" w:eastAsia="仿宋_GB2312"/>
          <w:sz w:val="32"/>
          <w:szCs w:val="32"/>
        </w:rPr>
        <w:t>2、学校人员情况：本学校现事业编制人数为27人。具体人员成份为：本校在职人员26人，其中中小学教师24人，工人2人，借调县教育局1人。单位现有退休人员26人。</w:t>
      </w:r>
    </w:p>
    <w:p>
      <w:pPr>
        <w:pStyle w:val="11"/>
        <w:shd w:val="clear" w:color="auto" w:fill="FFFFFF"/>
        <w:spacing w:line="560" w:lineRule="exact"/>
        <w:ind w:left="640" w:firstLine="0" w:firstLineChars="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（二）当年取得的主要事业成效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湖南省网络研修项目培训中，我县运用国培管理经验，按国培标准做县培，开设教师“幸福人生”培训（100人）、中小学生心理健康教育培训（50人）、中小学法治安全教育培训（100人）三个项目5个班级，对250名学员进行培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2.10个国培项目，其中包括8个骨干教师整校推进工作坊研修项目（初中物理、生物化学、初中道德与法治、小学道德与法治、初中班主任、小学班主任、小学科学以及幼儿园骨干教师园本研修）、1个集中学习（信息技术骨干教师）、1个送教下乡（小学语文），参训学员共计600人，为圆满完成国培任务，实现“千培、万培、根在校培”的国培核心目标，我们在做实做细方面做文章，确定了“五步融合促校研”（示范教学、学员个人自磨、学校小组互磨、片区研磨、成果展示）模式，每个环节都与学校校本研修相融合，使学校教研教改走向了常态化、规范化，也凸显了国培的示范引领作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积极参加永州市教师发展中心组织的各种培训的骨干教师人数达100余人，包括心理健康网络直播、“双减背景下的课堂改革”网络直播、学科工作坊研修、“红色教育在永州”校长园长培训、“师训促课改”等培训，辐射带动了各学校的教研教改，成效优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其中包括利用继续教育网络平台组织的“蓝山县融合教育骨干教师和管理人员培训”（191人）、利用研修网平台组织的“双减”背景下的教育能力提升和师德师风建设网络培训（598人）。极大提高了学校老师教研水平、教研效果，教师教育教学能力明显提升，促进了教师专业化成长</w:t>
      </w:r>
      <w:r>
        <w:rPr>
          <w:rFonts w:hint="eastAsia" w:ascii="仿宋_GB2312" w:hAnsi="仿宋_GB2312" w:eastAsia="仿宋_GB2312" w:cs="仿宋_GB2312"/>
          <w:sz w:val="32"/>
          <w:szCs w:val="32"/>
          <w:lang w:eastAsia="zh-CN"/>
        </w:rPr>
        <w:t>。</w:t>
      </w:r>
    </w:p>
    <w:p>
      <w:pPr>
        <w:numPr>
          <w:ilvl w:val="0"/>
          <w:numId w:val="3"/>
        </w:numPr>
        <w:shd w:val="clear" w:color="auto" w:fill="FFFFFF"/>
        <w:spacing w:line="560" w:lineRule="exact"/>
        <w:ind w:firstLine="48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部门整体收支出概况</w:t>
      </w:r>
    </w:p>
    <w:p>
      <w:pPr>
        <w:numPr>
          <w:ilvl w:val="0"/>
          <w:numId w:val="0"/>
        </w:numPr>
        <w:shd w:val="clear" w:color="auto" w:fill="FFFFFF"/>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2021年部门收支完成情况：2021年度本部门安排预算收入366万元，安排预算支出366万元；</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1、收入：决算总收入366万元，其中财政拨款收入366万元，其他收入0万元；</w:t>
      </w:r>
    </w:p>
    <w:p>
      <w:pPr>
        <w:shd w:val="clear" w:color="auto" w:fill="FFFFFF"/>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2、支出：决算总支出366万元，其中财政拨款支出366万元，非财政拨款支出0万元；项目支</w:t>
      </w:r>
      <w:r>
        <w:rPr>
          <w:rFonts w:hint="eastAsia" w:ascii="仿宋_GB2312" w:hAnsi="仿宋_GB2312" w:eastAsia="仿宋_GB2312" w:cs="仿宋_GB2312"/>
          <w:sz w:val="32"/>
          <w:szCs w:val="32"/>
          <w:u w:val="none"/>
        </w:rPr>
        <w:t>出0万元。</w:t>
      </w:r>
    </w:p>
    <w:p>
      <w:pPr>
        <w:shd w:val="clear" w:color="auto" w:fill="FFFFFF"/>
        <w:spacing w:line="560" w:lineRule="exact"/>
        <w:ind w:firstLine="800" w:firstLineChars="250"/>
        <w:rPr>
          <w:rFonts w:hint="eastAsia" w:ascii="黑体" w:hAnsi="黑体" w:eastAsia="黑体" w:cs="黑体"/>
          <w:sz w:val="32"/>
          <w:szCs w:val="32"/>
        </w:rPr>
      </w:pPr>
      <w:r>
        <w:rPr>
          <w:rFonts w:hint="eastAsia" w:ascii="黑体" w:hAnsi="黑体" w:eastAsia="黑体" w:cs="黑体"/>
          <w:sz w:val="32"/>
          <w:szCs w:val="32"/>
        </w:rPr>
        <w:t>二、整体支出管理及使用情况</w:t>
      </w:r>
    </w:p>
    <w:p>
      <w:pPr>
        <w:shd w:val="clear" w:color="auto" w:fill="FFFFFF"/>
        <w:spacing w:line="560" w:lineRule="exact"/>
        <w:ind w:firstLine="800" w:firstLineChars="25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（一）基本支出管理情况</w:t>
      </w:r>
    </w:p>
    <w:p>
      <w:pPr>
        <w:shd w:val="clear" w:color="auto" w:fill="FFFFFF"/>
        <w:spacing w:line="56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1、根据上级文件批复，2021年我部门预算支出366万元，其中：工资福利支出282.73万元，商品和服务支出68.99万元，对个人和家庭的补助支出14.28万元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“三公”经费支出控制数.0.6万元，其中：公务接待费0.</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万元，公务用车经费（公车运行维护费）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shd w:val="clear" w:color="auto" w:fill="FFFFFF"/>
        <w:spacing w:line="560" w:lineRule="exact"/>
        <w:ind w:left="319" w:leftChars="152"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2、基本支出决算执行情况：2021年我部门预算支出366万元，其中：工资福利支出282.73万元，商品和服务支出68.99万元，对个人和家庭的补助支出14.28万元，“三公”经费支出控制数.0.6万元，其中：公务接待费0.</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万元，公务用车经费（公车运行维护费）0万元。</w:t>
      </w:r>
    </w:p>
    <w:p>
      <w:pPr>
        <w:shd w:val="clear" w:color="auto" w:fill="FFFFFF"/>
        <w:spacing w:line="560" w:lineRule="exact"/>
        <w:ind w:left="319" w:leftChars="152"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（二）“三公经费”支出和使用情况</w:t>
      </w:r>
    </w:p>
    <w:p>
      <w:pPr>
        <w:shd w:val="clear" w:color="auto" w:fill="FFFFFF"/>
        <w:spacing w:line="560" w:lineRule="exact"/>
        <w:ind w:firstLine="800" w:firstLineChars="250"/>
        <w:rPr>
          <w:rFonts w:hint="eastAsia" w:ascii="仿宋_GB2312" w:hAnsi="仿宋_GB2312" w:eastAsia="仿宋_GB2312" w:cs="仿宋_GB2312"/>
          <w:sz w:val="32"/>
          <w:szCs w:val="32"/>
          <w:highlight w:val="red"/>
        </w:rPr>
      </w:pPr>
      <w:r>
        <w:rPr>
          <w:rFonts w:hint="eastAsia" w:ascii="仿宋_GB2312" w:hAnsi="仿宋_GB2312" w:eastAsia="仿宋_GB2312" w:cs="仿宋_GB2312"/>
          <w:sz w:val="32"/>
          <w:szCs w:val="32"/>
        </w:rPr>
        <w:t>1、2021年“三公经费”预算数0.6万元，其中：公务接待费0.</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万元，公务用车运行费0万元，公务用车购置费0万元，因公出国（境）费0万元。</w:t>
      </w:r>
    </w:p>
    <w:p>
      <w:pPr>
        <w:shd w:val="clear" w:color="auto" w:fill="FFFFFF"/>
        <w:spacing w:line="56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2、2021年“三公经费”执行情况：2021年“三公经费”决算数</w:t>
      </w:r>
      <w:r>
        <w:rPr>
          <w:rFonts w:hint="eastAsia" w:ascii="仿宋_GB2312" w:hAnsi="仿宋_GB2312" w:eastAsia="仿宋_GB2312" w:cs="仿宋_GB2312"/>
          <w:sz w:val="32"/>
          <w:szCs w:val="32"/>
          <w:lang w:val="en-US" w:eastAsia="zh-CN"/>
        </w:rPr>
        <w:t>0.51</w:t>
      </w:r>
      <w:r>
        <w:rPr>
          <w:rFonts w:hint="eastAsia" w:ascii="仿宋_GB2312" w:hAnsi="仿宋_GB2312" w:eastAsia="仿宋_GB2312" w:cs="仿宋_GB2312"/>
          <w:sz w:val="32"/>
          <w:szCs w:val="32"/>
        </w:rPr>
        <w:t>万元，其中：其中：公务接待费0.5</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万元，公务用车运行费0.1万元，公务用车购置费0万元，因公出国（境）费0万元。</w:t>
      </w:r>
    </w:p>
    <w:p>
      <w:pPr>
        <w:shd w:val="clear" w:color="auto" w:fill="FFFFFF"/>
        <w:spacing w:line="56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3、2021年我部门严格控制“三公经费”支出，比上年度“三公”经费支出数明显下降，厉行节约取得了良好效果。</w:t>
      </w:r>
    </w:p>
    <w:p>
      <w:pPr>
        <w:shd w:val="clear" w:color="auto" w:fill="FFFFFF"/>
        <w:spacing w:line="560" w:lineRule="exact"/>
        <w:ind w:firstLine="48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（三）项目支出管理和使用情况</w:t>
      </w:r>
    </w:p>
    <w:p>
      <w:pPr>
        <w:shd w:val="clear" w:color="auto" w:fill="FFFFFF"/>
        <w:spacing w:line="56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2021年我部门项目绩效目标为</w:t>
      </w:r>
      <w:r>
        <w:rPr>
          <w:rFonts w:hint="eastAsia" w:eastAsia="仿宋_GB2312"/>
          <w:sz w:val="32"/>
          <w:szCs w:val="32"/>
        </w:rPr>
        <w:t>366</w:t>
      </w:r>
      <w:r>
        <w:rPr>
          <w:rFonts w:hint="eastAsia" w:ascii="仿宋_GB2312" w:hAnsi="仿宋_GB2312" w:eastAsia="仿宋_GB2312" w:cs="仿宋_GB2312"/>
          <w:sz w:val="32"/>
          <w:szCs w:val="32"/>
        </w:rPr>
        <w:t>万元，实际执行</w:t>
      </w:r>
      <w:r>
        <w:rPr>
          <w:rFonts w:hint="eastAsia" w:eastAsia="仿宋_GB2312"/>
          <w:sz w:val="32"/>
          <w:szCs w:val="32"/>
        </w:rPr>
        <w:t>366</w:t>
      </w:r>
      <w:r>
        <w:rPr>
          <w:rFonts w:hint="eastAsia" w:ascii="仿宋_GB2312" w:hAnsi="仿宋_GB2312" w:eastAsia="仿宋_GB2312" w:cs="仿宋_GB2312"/>
          <w:sz w:val="32"/>
          <w:szCs w:val="32"/>
        </w:rPr>
        <w:t xml:space="preserve"> 万元，主要用于教师工资、教师各类培训及日常办公等。</w:t>
      </w:r>
    </w:p>
    <w:p>
      <w:pPr>
        <w:shd w:val="clear" w:color="auto" w:fill="FFFFFF"/>
        <w:spacing w:line="560" w:lineRule="exact"/>
        <w:ind w:firstLine="480" w:firstLineChars="150"/>
        <w:rPr>
          <w:rFonts w:hint="eastAsia" w:ascii="黑体" w:hAnsi="黑体" w:eastAsia="黑体" w:cs="黑体"/>
          <w:sz w:val="32"/>
          <w:szCs w:val="32"/>
        </w:rPr>
      </w:pPr>
      <w:r>
        <w:rPr>
          <w:rFonts w:hint="eastAsia" w:ascii="黑体" w:hAnsi="黑体" w:eastAsia="黑体" w:cs="黑体"/>
          <w:sz w:val="32"/>
          <w:szCs w:val="32"/>
        </w:rPr>
        <w:t>三、绩效评价工作组织实施情况</w:t>
      </w:r>
    </w:p>
    <w:p>
      <w:pPr>
        <w:shd w:val="clear" w:color="auto" w:fill="FFFFFF"/>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根据绩效评价的要求，我们成立了自评工作领导小组，对照自评方案进行研究和布署，按照自评方案的要求，对照各实施项目的内容逐条逐项自评。在自评过程发现问题，查找原因，及时纠正偏差，为下一步工作夯实基础。</w:t>
      </w:r>
    </w:p>
    <w:p>
      <w:pPr>
        <w:shd w:val="clear" w:color="auto" w:fill="FFFFFF"/>
        <w:spacing w:line="560" w:lineRule="exact"/>
        <w:ind w:firstLine="480"/>
        <w:rPr>
          <w:rFonts w:hint="eastAsia" w:ascii="黑体" w:hAnsi="黑体" w:eastAsia="黑体" w:cs="黑体"/>
          <w:sz w:val="32"/>
          <w:szCs w:val="32"/>
        </w:rPr>
      </w:pPr>
      <w:r>
        <w:rPr>
          <w:rFonts w:hint="eastAsia" w:ascii="黑体" w:hAnsi="黑体" w:eastAsia="黑体" w:cs="黑体"/>
          <w:sz w:val="32"/>
          <w:szCs w:val="32"/>
        </w:rPr>
        <w:t>四、整体支出绩效情况</w:t>
      </w:r>
    </w:p>
    <w:p>
      <w:pPr>
        <w:shd w:val="clear" w:color="auto" w:fill="FFFFFF"/>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从整体情况来看，我部门严格按照年初预算进行部门整体支出。在支出过程中，能严格遵守各项规章制度，“三公经费”明显下降。实行了先有预算、后有执行、“用钱必问效、无效必问责”的新常态。社会和公众满意度较高。根据对我单位2021年部门整体支出项目绩效评价指标体系和绩效情况的检查，2021年我单位部门整体绩效自评分90分，为“优”等级。</w:t>
      </w:r>
    </w:p>
    <w:p>
      <w:pPr>
        <w:shd w:val="clear" w:color="auto" w:fill="FFFFFF"/>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五、存在的主要问题</w:t>
      </w:r>
    </w:p>
    <w:p>
      <w:pPr>
        <w:shd w:val="clear" w:color="auto" w:fill="FFFFFF"/>
        <w:spacing w:line="560" w:lineRule="exact"/>
        <w:ind w:firstLine="480"/>
        <w:rPr>
          <w:rFonts w:hint="eastAsia" w:eastAsia="仿宋_GB2312"/>
          <w:sz w:val="32"/>
        </w:rPr>
      </w:pPr>
      <w:r>
        <w:rPr>
          <w:rFonts w:hint="eastAsia" w:ascii="仿宋_GB2312" w:hAnsi="仿宋_GB2312" w:eastAsia="仿宋_GB2312" w:cs="仿宋_GB2312"/>
          <w:sz w:val="32"/>
          <w:szCs w:val="32"/>
        </w:rPr>
        <w:t>1、</w:t>
      </w:r>
      <w:r>
        <w:rPr>
          <w:rFonts w:hint="eastAsia" w:eastAsia="仿宋_GB2312"/>
          <w:sz w:val="32"/>
        </w:rPr>
        <w:t>已下达的专项资金未能及时推进项目的实施，要加强预算管理，跟踪项目进度，及时审核和拨付项目资金，提高资金使用效率，以使专项资金发挥最大的效益。对年末结余的资金进行核实，确属不需要支付的应收回财政。</w:t>
      </w:r>
    </w:p>
    <w:p>
      <w:pPr>
        <w:shd w:val="clear" w:color="auto" w:fill="FFFFFF"/>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eastAsia="仿宋_GB2312"/>
          <w:sz w:val="32"/>
        </w:rPr>
        <w:t>未及时处理已发生的当期费用，确保财务入账的及时性。加强对经济业务合法性、合规性和真实性的审核。</w:t>
      </w:r>
    </w:p>
    <w:p>
      <w:pPr>
        <w:pStyle w:val="10"/>
        <w:keepNext w:val="0"/>
        <w:keepLines w:val="0"/>
        <w:pageBreakBefore w:val="0"/>
        <w:numPr>
          <w:ilvl w:val="-1"/>
          <w:numId w:val="0"/>
        </w:numPr>
        <w:kinsoku/>
        <w:wordWrap/>
        <w:overflowPunct/>
        <w:topLinePunct w:val="0"/>
        <w:bidi w:val="0"/>
        <w:snapToGrid/>
        <w:spacing w:beforeAutospacing="0" w:afterAutospacing="0" w:line="560" w:lineRule="atLeast"/>
        <w:jc w:val="both"/>
        <w:textAlignment w:val="auto"/>
        <w:rPr>
          <w:rFonts w:hint="eastAsia" w:ascii="仿宋_GB2312" w:hAnsi="仿宋_GB2312" w:eastAsia="仿宋_GB2312" w:cs="仿宋_GB2312"/>
          <w:b/>
          <w:bCs/>
          <w:color w:val="000000"/>
          <w:kern w:val="0"/>
          <w:sz w:val="36"/>
          <w:szCs w:val="36"/>
          <w:u w:val="none"/>
          <w:lang w:eastAsia="zh-CN"/>
        </w:rPr>
      </w:pPr>
    </w:p>
    <w:p>
      <w:pPr>
        <w:pStyle w:val="7"/>
        <w:rPr>
          <w:rFonts w:hint="eastAsia" w:ascii="仿宋_GB2312" w:hAnsi="仿宋_GB2312" w:eastAsia="仿宋_GB2312" w:cs="仿宋_GB2312"/>
          <w:i w:val="0"/>
          <w:caps w:val="0"/>
          <w:color w:val="000000"/>
          <w:spacing w:val="0"/>
          <w:sz w:val="32"/>
          <w:szCs w:val="32"/>
          <w:u w:val="none"/>
          <w:shd w:val="clear" w:color="auto" w:fill="FFFFFF"/>
        </w:rPr>
      </w:pPr>
    </w:p>
    <w:p>
      <w:pPr>
        <w:pStyle w:val="7"/>
        <w:rPr>
          <w:rFonts w:hint="eastAsia" w:ascii="仿宋_GB2312" w:hAnsi="仿宋_GB2312" w:eastAsia="仿宋_GB2312" w:cs="仿宋_GB2312"/>
          <w:i w:val="0"/>
          <w:caps w:val="0"/>
          <w:color w:val="000000"/>
          <w:spacing w:val="0"/>
          <w:sz w:val="32"/>
          <w:szCs w:val="32"/>
          <w:u w:val="none"/>
          <w:shd w:val="clear" w:color="auto" w:fill="FFFFFF"/>
        </w:rPr>
      </w:pPr>
    </w:p>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098A7C"/>
    <w:multiLevelType w:val="singleLevel"/>
    <w:tmpl w:val="E1098A7C"/>
    <w:lvl w:ilvl="0" w:tentative="0">
      <w:start w:val="5"/>
      <w:numFmt w:val="chineseCounting"/>
      <w:suff w:val="space"/>
      <w:lvlText w:val="第%1部分"/>
      <w:lvlJc w:val="left"/>
      <w:rPr>
        <w:rFonts w:hint="eastAsia"/>
      </w:rPr>
    </w:lvl>
  </w:abstractNum>
  <w:abstractNum w:abstractNumId="1">
    <w:nsid w:val="22835AA2"/>
    <w:multiLevelType w:val="singleLevel"/>
    <w:tmpl w:val="22835AA2"/>
    <w:lvl w:ilvl="0" w:tentative="0">
      <w:start w:val="1"/>
      <w:numFmt w:val="decimal"/>
      <w:suff w:val="nothing"/>
      <w:lvlText w:val="%1、"/>
      <w:lvlJc w:val="left"/>
    </w:lvl>
  </w:abstractNum>
  <w:abstractNum w:abstractNumId="2">
    <w:nsid w:val="65F09C25"/>
    <w:multiLevelType w:val="singleLevel"/>
    <w:tmpl w:val="65F09C25"/>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zMmEyNjIxMTZkMTZiMjExMGVlZmNhM2M2MDE3MTkifQ=="/>
  </w:docVars>
  <w:rsids>
    <w:rsidRoot w:val="5C3B2C62"/>
    <w:rsid w:val="01C87302"/>
    <w:rsid w:val="1B1B558F"/>
    <w:rsid w:val="2AD92180"/>
    <w:rsid w:val="2CF15860"/>
    <w:rsid w:val="3D3C455D"/>
    <w:rsid w:val="4C317FC7"/>
    <w:rsid w:val="4D233BB9"/>
    <w:rsid w:val="4E6A5A5D"/>
    <w:rsid w:val="51AC2120"/>
    <w:rsid w:val="5C3B2C62"/>
    <w:rsid w:val="74E22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uiPriority w:val="0"/>
    <w:pPr>
      <w:spacing w:after="120"/>
    </w:pPr>
  </w:style>
  <w:style w:type="paragraph" w:styleId="3">
    <w:name w:val="index 5"/>
    <w:basedOn w:val="1"/>
    <w:next w:val="1"/>
    <w:unhideWhenUsed/>
    <w:qFormat/>
    <w:uiPriority w:val="99"/>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240" w:lineRule="auto"/>
      <w:ind w:left="1680" w:right="0" w:firstLine="0"/>
      <w:textAlignment w:val="auto"/>
      <w:outlineLvl w:val="9"/>
    </w:pPr>
    <w:rPr>
      <w:snapToGrid/>
      <w:spacing w:val="0"/>
      <w:w w:val="100"/>
      <w:position w:val="0"/>
      <w:szCs w:val="20"/>
      <w:u w:val="none"/>
      <w:vertAlign w:val="baseline"/>
    </w:rPr>
  </w:style>
  <w:style w:type="paragraph" w:styleId="4">
    <w:name w:val="annotation text"/>
    <w:basedOn w:val="1"/>
    <w:unhideWhenUsed/>
    <w:qFormat/>
    <w:uiPriority w:val="99"/>
    <w:pPr>
      <w:jc w:val="left"/>
    </w:pPr>
  </w:style>
  <w:style w:type="paragraph" w:styleId="5">
    <w:name w:val="Body Text Indent"/>
    <w:basedOn w:val="1"/>
    <w:unhideWhenUsed/>
    <w:qFormat/>
    <w:uiPriority w:val="99"/>
    <w:pPr>
      <w:spacing w:after="120" w:afterLines="0" w:afterAutospacing="0"/>
      <w:ind w:left="420" w:leftChars="200"/>
    </w:p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2"/>
    <w:basedOn w:val="5"/>
    <w:unhideWhenUsed/>
    <w:qFormat/>
    <w:uiPriority w:val="99"/>
    <w:pPr>
      <w:ind w:firstLine="420" w:firstLineChars="200"/>
    </w:pPr>
  </w:style>
  <w:style w:type="paragraph" w:customStyle="1" w:styleId="10">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1">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7517</Words>
  <Characters>8644</Characters>
  <Lines>0</Lines>
  <Paragraphs>0</Paragraphs>
  <TotalTime>1</TotalTime>
  <ScaleCrop>false</ScaleCrop>
  <LinksUpToDate>false</LinksUpToDate>
  <CharactersWithSpaces>9124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2022-05-18T02:15:00Z</dcterms:created>
  <dc:creator>Administrator</dc:creator>
  <cp:lastModifiedBy>XR</cp:lastModifiedBy>
  <dcterms:modified xsi:type="dcterms:W3CDTF">2023-10-08T00:59:13Z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AB88B72D239F462CB2F27EC88F5D6A13_13</vt:lpwstr>
  </property>
</Properties>
</file>