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蓝山县第一中学2021年</w:t>
      </w:r>
      <w:r>
        <w:rPr>
          <w:rFonts w:hint="eastAsia" w:ascii="黑体" w:hAnsi="黑体" w:eastAsia="黑体" w:cs="黑体"/>
          <w:b/>
          <w:bCs/>
          <w:sz w:val="44"/>
          <w:szCs w:val="44"/>
        </w:rPr>
        <w:t>度部门决算</w:t>
      </w:r>
      <w:r>
        <w:rPr>
          <w:rFonts w:hint="eastAsia" w:ascii="黑体" w:hAnsi="黑体" w:eastAsia="黑体" w:cs="黑体"/>
          <w:b/>
          <w:bCs/>
          <w:sz w:val="44"/>
          <w:szCs w:val="44"/>
          <w:lang w:val="en-US" w:eastAsia="zh-CN"/>
        </w:rPr>
        <w:t>公开</w:t>
      </w:r>
    </w:p>
    <w:p>
      <w:pPr>
        <w:pStyle w:val="10"/>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方正小标宋简体" w:hAnsi="方正小标宋简体" w:eastAsia="方正小标宋简体" w:cs="方正小标宋简体"/>
          <w:sz w:val="44"/>
          <w:szCs w:val="44"/>
          <w:lang w:val="en-US" w:eastAsia="zh-CN"/>
        </w:rPr>
      </w:pPr>
    </w:p>
    <w:p>
      <w:pPr>
        <w:pStyle w:val="10"/>
        <w:spacing w:line="52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pPr>
        <w:pStyle w:val="10"/>
        <w:spacing w:line="520" w:lineRule="exact"/>
        <w:jc w:val="center"/>
        <w:rPr>
          <w:rFonts w:hint="eastAsia" w:ascii="仿宋_GB2312" w:hAnsi="仿宋_GB2312" w:eastAsia="仿宋_GB2312" w:cs="仿宋_GB2312"/>
          <w:b/>
          <w:bCs/>
          <w:sz w:val="44"/>
          <w:szCs w:val="44"/>
        </w:rPr>
      </w:pPr>
    </w:p>
    <w:p>
      <w:pPr>
        <w:widowControl/>
        <w:spacing w:line="600" w:lineRule="exac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第一中学部门</w:t>
      </w:r>
      <w:r>
        <w:rPr>
          <w:rFonts w:hint="eastAsia" w:ascii="黑体" w:hAnsi="黑体" w:eastAsia="黑体" w:cs="黑体"/>
          <w:b/>
          <w:bCs/>
          <w:kern w:val="0"/>
          <w:sz w:val="32"/>
          <w:szCs w:val="32"/>
        </w:rPr>
        <w:t>概况</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一、部门职责</w:t>
      </w:r>
    </w:p>
    <w:p>
      <w:pPr>
        <w:pStyle w:val="10"/>
        <w:spacing w:line="600" w:lineRule="exact"/>
        <w:ind w:firstLine="800" w:firstLineChars="25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二、机构设置</w:t>
      </w:r>
      <w:r>
        <w:rPr>
          <w:rFonts w:hint="eastAsia" w:ascii="Times New Roman" w:hAnsi="Times New Roman" w:eastAsia="仿宋_GB2312" w:cs="Times New Roman"/>
          <w:kern w:val="0"/>
          <w:sz w:val="32"/>
          <w:szCs w:val="32"/>
          <w:lang w:val="en-US" w:eastAsia="zh-CN"/>
        </w:rPr>
        <w:t>及决算单位构成</w:t>
      </w:r>
    </w:p>
    <w:p>
      <w:pPr>
        <w:pStyle w:val="10"/>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第二部分2021年度部门决算表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七、一般公共预算财政拨款“三公”经费支出决算表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八、政府性基金预算财政拨款收入支出决算表</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九、国有资本经营预算财政拨款支出决算表</w:t>
      </w:r>
    </w:p>
    <w:p>
      <w:pPr>
        <w:pStyle w:val="10"/>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第三部分2021年度部门决算情况说明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一、收入支出决算总体情况说明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四、财政拨款收入支出决算总体情况说明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七、一般公共预算财政拨款三公经费支出决算情况说明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八、政府性基金预算收入支出决算情况</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九、国有资本经营预算财政拨款支出决算情况</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十</w:t>
      </w:r>
      <w:r>
        <w:rPr>
          <w:rFonts w:hint="eastAsia" w:ascii="Times New Roman" w:hAnsi="Times New Roman" w:eastAsia="仿宋_GB2312" w:cs="Times New Roman"/>
          <w:kern w:val="0"/>
          <w:sz w:val="32"/>
          <w:szCs w:val="32"/>
          <w:lang w:eastAsia="zh-CN"/>
        </w:rPr>
        <w:t>、预算绩效情况说明</w:t>
      </w:r>
    </w:p>
    <w:p>
      <w:pPr>
        <w:pStyle w:val="10"/>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十</w:t>
      </w:r>
      <w:r>
        <w:rPr>
          <w:rFonts w:hint="eastAsia" w:ascii="Times New Roman" w:hAnsi="Times New Roman" w:eastAsia="仿宋_GB2312" w:cs="Times New Roman"/>
          <w:kern w:val="0"/>
          <w:sz w:val="32"/>
          <w:szCs w:val="32"/>
          <w:lang w:val="en-US" w:eastAsia="zh-CN"/>
        </w:rPr>
        <w:t>一</w:t>
      </w:r>
      <w:r>
        <w:rPr>
          <w:rFonts w:hint="eastAsia" w:ascii="Times New Roman" w:hAnsi="Times New Roman" w:eastAsia="仿宋_GB2312" w:cs="Times New Roman"/>
          <w:kern w:val="0"/>
          <w:sz w:val="32"/>
          <w:szCs w:val="32"/>
          <w:lang w:eastAsia="zh-CN"/>
        </w:rPr>
        <w:t>、其他重要事项情况说明</w:t>
      </w:r>
    </w:p>
    <w:p>
      <w:pPr>
        <w:pStyle w:val="10"/>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第四部分</w:t>
      </w:r>
      <w:r>
        <w:rPr>
          <w:rFonts w:hint="eastAsia" w:hAnsi="黑体" w:cs="黑体"/>
          <w:b/>
          <w:bCs/>
          <w:kern w:val="0"/>
          <w:sz w:val="32"/>
          <w:szCs w:val="32"/>
          <w:lang w:val="en-US" w:eastAsia="zh-CN"/>
        </w:rPr>
        <w:t xml:space="preserve"> </w:t>
      </w:r>
      <w:r>
        <w:rPr>
          <w:rFonts w:hint="eastAsia" w:ascii="黑体" w:hAnsi="黑体" w:eastAsia="黑体" w:cs="黑体"/>
          <w:b/>
          <w:bCs/>
          <w:kern w:val="0"/>
          <w:sz w:val="32"/>
          <w:szCs w:val="32"/>
          <w:lang w:val="en-US" w:eastAsia="zh-CN"/>
        </w:rPr>
        <w:t>名词解释</w:t>
      </w:r>
    </w:p>
    <w:p>
      <w:pPr>
        <w:pStyle w:val="10"/>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第五部分</w:t>
      </w:r>
      <w:r>
        <w:rPr>
          <w:rFonts w:hint="eastAsia" w:hAnsi="黑体" w:cs="黑体"/>
          <w:b/>
          <w:bCs/>
          <w:kern w:val="0"/>
          <w:sz w:val="32"/>
          <w:szCs w:val="32"/>
          <w:lang w:val="en-US" w:eastAsia="zh-CN"/>
        </w:rPr>
        <w:t xml:space="preserve"> </w:t>
      </w:r>
      <w:r>
        <w:rPr>
          <w:rFonts w:hint="eastAsia" w:ascii="黑体" w:hAnsi="黑体" w:eastAsia="黑体" w:cs="黑体"/>
          <w:b/>
          <w:bCs/>
          <w:kern w:val="0"/>
          <w:sz w:val="32"/>
          <w:szCs w:val="32"/>
          <w:lang w:val="en-US" w:eastAsia="zh-CN"/>
        </w:rPr>
        <w:t>附件</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_GB2312" w:eastAsia="仿宋_GB2312" w:cs="仿宋_GB2312"/>
          <w:b/>
          <w:color w:val="000000"/>
          <w:kern w:val="0"/>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pStyle w:val="10"/>
        <w:spacing w:line="600" w:lineRule="exact"/>
        <w:jc w:val="both"/>
        <w:rPr>
          <w:rFonts w:hint="eastAsia" w:ascii="黑体" w:hAnsi="黑体" w:eastAsia="黑体" w:cs="黑体"/>
          <w:b/>
          <w:bCs/>
          <w:kern w:val="0"/>
          <w:sz w:val="32"/>
          <w:szCs w:val="32"/>
          <w:lang w:val="en-US" w:eastAsia="zh-CN"/>
        </w:rPr>
      </w:pPr>
    </w:p>
    <w:p>
      <w:pPr>
        <w:pStyle w:val="10"/>
        <w:spacing w:line="600" w:lineRule="exact"/>
        <w:jc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第一部分</w:t>
      </w:r>
      <w:r>
        <w:rPr>
          <w:rFonts w:hint="eastAsia" w:hAnsi="黑体" w:cs="黑体"/>
          <w:b/>
          <w:bCs/>
          <w:kern w:val="0"/>
          <w:sz w:val="44"/>
          <w:szCs w:val="44"/>
          <w:lang w:val="en-US" w:eastAsia="zh-CN"/>
        </w:rPr>
        <w:t xml:space="preserve"> </w:t>
      </w:r>
      <w:r>
        <w:rPr>
          <w:rFonts w:hint="eastAsia" w:ascii="黑体" w:hAnsi="黑体" w:eastAsia="黑体" w:cs="黑体"/>
          <w:b/>
          <w:bCs/>
          <w:kern w:val="0"/>
          <w:sz w:val="44"/>
          <w:szCs w:val="44"/>
          <w:lang w:val="en-US" w:eastAsia="zh-CN"/>
        </w:rPr>
        <w:t>蓝山县第一中学</w:t>
      </w:r>
      <w:r>
        <w:rPr>
          <w:rFonts w:hint="eastAsia" w:hAnsi="黑体" w:cs="黑体"/>
          <w:b/>
          <w:bCs/>
          <w:kern w:val="0"/>
          <w:sz w:val="44"/>
          <w:szCs w:val="44"/>
          <w:lang w:val="en-US" w:eastAsia="zh-CN"/>
        </w:rPr>
        <w:t>部门</w:t>
      </w:r>
      <w:r>
        <w:rPr>
          <w:rFonts w:hint="eastAsia" w:ascii="黑体" w:hAnsi="黑体" w:eastAsia="黑体" w:cs="黑体"/>
          <w:b/>
          <w:bCs/>
          <w:kern w:val="0"/>
          <w:sz w:val="44"/>
          <w:szCs w:val="44"/>
          <w:lang w:val="en-US" w:eastAsia="zh-CN"/>
        </w:rPr>
        <w:t>概况</w:t>
      </w:r>
    </w:p>
    <w:p>
      <w:pPr>
        <w:pStyle w:val="9"/>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（一）学校业务范围为：实施九年义务教育，促进基础教育发展。初中学历教育相关社会服务。 </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rPr>
          <w:rFonts w:ascii="黑体" w:hAnsi="黑体" w:eastAsia="黑体"/>
          <w:b w:val="0"/>
          <w:bCs/>
          <w:kern w:val="0"/>
          <w:sz w:val="32"/>
          <w:szCs w:val="32"/>
        </w:rPr>
      </w:pPr>
      <w:r>
        <w:rPr>
          <w:rFonts w:hint="eastAsia" w:ascii="黑体" w:hAnsi="黑体" w:eastAsia="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0"/>
          <w:szCs w:val="30"/>
          <w:lang w:val="en-US" w:eastAsia="zh-CN" w:bidi="ar-SA"/>
        </w:rPr>
      </w:pPr>
      <w:r>
        <w:rPr>
          <w:rFonts w:hint="eastAsia" w:ascii="楷体_GB2312" w:hAnsi="宋体" w:eastAsia="楷体_GB2312"/>
          <w:b/>
          <w:bCs/>
          <w:kern w:val="0"/>
          <w:sz w:val="32"/>
          <w:szCs w:val="32"/>
          <w:lang w:val="en-US" w:eastAsia="zh-CN"/>
        </w:rPr>
        <w:t>（一）</w:t>
      </w:r>
      <w:r>
        <w:rPr>
          <w:rFonts w:hint="eastAsia" w:ascii="楷体_GB2312" w:hAnsi="宋体" w:eastAsia="楷体_GB2312"/>
          <w:b/>
          <w:bCs/>
          <w:kern w:val="0"/>
          <w:sz w:val="32"/>
          <w:szCs w:val="32"/>
        </w:rPr>
        <w:t>机构设置。</w:t>
      </w:r>
      <w:r>
        <w:rPr>
          <w:rFonts w:hint="eastAsia" w:ascii="仿宋" w:hAnsi="仿宋" w:eastAsia="仿宋" w:cs="仿宋"/>
          <w:color w:val="000000"/>
          <w:kern w:val="0"/>
          <w:sz w:val="30"/>
          <w:szCs w:val="30"/>
          <w:lang w:val="en-US" w:eastAsia="zh-CN" w:bidi="ar-SA"/>
        </w:rPr>
        <w:t>学校是一个财政全额拨款的事业单位。单位现有校长一名，副校长三名，现有下设机构七个：学校办公室一个，设办公室主任一名，办公室副主任一名；工会委员会一个，设有工会主席一名，工会委员二名；教务处一个，设有教务主任一名，教务副主任两名，教科主任一名；政教处一个，设有政教主任一名，政教副主任两名，政教干事一名；学校团支部一个，设有团支部书记一名；总务处一个，总务主任一名，总务副主任一名；财务室一个，设有会计一名，出纳一名。</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lang w:val="en-US" w:eastAsia="zh-CN"/>
        </w:rPr>
      </w:pP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）学生情况：20</w:t>
      </w:r>
      <w:r>
        <w:rPr>
          <w:rFonts w:hint="eastAsia" w:ascii="仿宋" w:hAnsi="仿宋" w:eastAsia="仿宋" w:cs="仿宋"/>
          <w:bCs/>
          <w:kern w:val="0"/>
          <w:sz w:val="30"/>
          <w:szCs w:val="30"/>
          <w:lang w:val="en-US" w:eastAsia="zh-CN"/>
        </w:rPr>
        <w:t>21</w:t>
      </w:r>
      <w:r>
        <w:rPr>
          <w:rFonts w:hint="eastAsia" w:ascii="仿宋" w:hAnsi="仿宋" w:eastAsia="仿宋" w:cs="仿宋"/>
          <w:bCs/>
          <w:kern w:val="0"/>
          <w:sz w:val="30"/>
          <w:szCs w:val="30"/>
        </w:rPr>
        <w:t>年上期有教学班</w:t>
      </w:r>
      <w:r>
        <w:rPr>
          <w:rFonts w:hint="eastAsia" w:ascii="仿宋" w:hAnsi="仿宋" w:eastAsia="仿宋" w:cs="仿宋"/>
          <w:bCs/>
          <w:kern w:val="0"/>
          <w:sz w:val="30"/>
          <w:szCs w:val="30"/>
          <w:lang w:val="en-US" w:eastAsia="zh-CN"/>
        </w:rPr>
        <w:t>50</w:t>
      </w:r>
      <w:r>
        <w:rPr>
          <w:rFonts w:hint="eastAsia" w:ascii="仿宋" w:hAnsi="仿宋" w:eastAsia="仿宋" w:cs="仿宋"/>
          <w:bCs/>
          <w:kern w:val="0"/>
          <w:sz w:val="30"/>
          <w:szCs w:val="30"/>
        </w:rPr>
        <w:t>个，学生</w:t>
      </w:r>
      <w:r>
        <w:rPr>
          <w:rFonts w:hint="eastAsia" w:ascii="仿宋" w:hAnsi="仿宋" w:eastAsia="仿宋" w:cs="仿宋"/>
          <w:bCs/>
          <w:kern w:val="0"/>
          <w:sz w:val="30"/>
          <w:szCs w:val="30"/>
          <w:lang w:val="en-US" w:eastAsia="zh-CN"/>
        </w:rPr>
        <w:t>2426</w:t>
      </w:r>
      <w:r>
        <w:rPr>
          <w:rFonts w:hint="eastAsia" w:ascii="仿宋" w:hAnsi="仿宋" w:eastAsia="仿宋" w:cs="仿宋"/>
          <w:bCs/>
          <w:kern w:val="0"/>
          <w:sz w:val="30"/>
          <w:szCs w:val="30"/>
        </w:rPr>
        <w:t>人；20</w:t>
      </w:r>
      <w:r>
        <w:rPr>
          <w:rFonts w:hint="eastAsia" w:ascii="仿宋" w:hAnsi="仿宋" w:eastAsia="仿宋" w:cs="仿宋"/>
          <w:bCs/>
          <w:kern w:val="0"/>
          <w:sz w:val="30"/>
          <w:szCs w:val="30"/>
          <w:lang w:val="en-US" w:eastAsia="zh-CN"/>
        </w:rPr>
        <w:t>21</w:t>
      </w:r>
      <w:r>
        <w:rPr>
          <w:rFonts w:hint="eastAsia" w:ascii="仿宋" w:hAnsi="仿宋" w:eastAsia="仿宋" w:cs="仿宋"/>
          <w:bCs/>
          <w:kern w:val="0"/>
          <w:sz w:val="30"/>
          <w:szCs w:val="30"/>
        </w:rPr>
        <w:t>年下期有教学班</w:t>
      </w:r>
      <w:r>
        <w:rPr>
          <w:rFonts w:hint="eastAsia" w:ascii="仿宋" w:hAnsi="仿宋" w:eastAsia="仿宋" w:cs="仿宋"/>
          <w:bCs/>
          <w:kern w:val="0"/>
          <w:sz w:val="30"/>
          <w:szCs w:val="30"/>
          <w:lang w:val="en-US" w:eastAsia="zh-CN"/>
        </w:rPr>
        <w:t>50</w:t>
      </w:r>
      <w:r>
        <w:rPr>
          <w:rFonts w:hint="eastAsia" w:ascii="仿宋" w:hAnsi="仿宋" w:eastAsia="仿宋" w:cs="仿宋"/>
          <w:bCs/>
          <w:kern w:val="0"/>
          <w:sz w:val="30"/>
          <w:szCs w:val="30"/>
        </w:rPr>
        <w:t>个，学生</w:t>
      </w:r>
      <w:r>
        <w:rPr>
          <w:rFonts w:hint="eastAsia" w:ascii="仿宋" w:hAnsi="仿宋" w:eastAsia="仿宋" w:cs="仿宋"/>
          <w:bCs/>
          <w:kern w:val="0"/>
          <w:sz w:val="30"/>
          <w:szCs w:val="30"/>
          <w:lang w:val="en-US" w:eastAsia="zh-CN"/>
        </w:rPr>
        <w:t>2395</w:t>
      </w:r>
      <w:r>
        <w:rPr>
          <w:rFonts w:hint="eastAsia" w:ascii="仿宋" w:hAnsi="仿宋" w:eastAsia="仿宋" w:cs="仿宋"/>
          <w:bCs/>
          <w:kern w:val="0"/>
          <w:sz w:val="30"/>
          <w:szCs w:val="30"/>
        </w:rPr>
        <w:t>人。</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3</w:t>
      </w:r>
      <w:r>
        <w:rPr>
          <w:rFonts w:hint="eastAsia" w:ascii="仿宋" w:hAnsi="仿宋" w:eastAsia="仿宋" w:cs="仿宋"/>
          <w:bCs/>
          <w:kern w:val="0"/>
          <w:sz w:val="30"/>
          <w:szCs w:val="30"/>
        </w:rPr>
        <w:t>）</w:t>
      </w:r>
      <w:r>
        <w:rPr>
          <w:rFonts w:hint="eastAsia" w:ascii="仿宋" w:hAnsi="仿宋" w:eastAsia="仿宋" w:cs="仿宋"/>
          <w:bCs/>
          <w:kern w:val="0"/>
          <w:sz w:val="30"/>
          <w:szCs w:val="30"/>
          <w:lang w:eastAsia="zh-CN"/>
        </w:rPr>
        <w:t>学校</w:t>
      </w:r>
      <w:r>
        <w:rPr>
          <w:rFonts w:hint="eastAsia" w:ascii="仿宋" w:hAnsi="仿宋" w:eastAsia="仿宋" w:cs="仿宋"/>
          <w:bCs/>
          <w:kern w:val="0"/>
          <w:sz w:val="30"/>
          <w:szCs w:val="30"/>
        </w:rPr>
        <w:t>人员情况</w:t>
      </w:r>
      <w:r>
        <w:rPr>
          <w:rFonts w:hint="eastAsia" w:ascii="仿宋" w:hAnsi="仿宋" w:eastAsia="仿宋" w:cs="仿宋"/>
          <w:bCs/>
          <w:kern w:val="0"/>
          <w:sz w:val="30"/>
          <w:szCs w:val="30"/>
          <w:lang w:eastAsia="zh-CN"/>
        </w:rPr>
        <w:t>：本学校现事业编制人数为14</w:t>
      </w:r>
      <w:r>
        <w:rPr>
          <w:rFonts w:hint="eastAsia" w:ascii="仿宋" w:hAnsi="仿宋" w:eastAsia="仿宋" w:cs="仿宋"/>
          <w:bCs/>
          <w:kern w:val="0"/>
          <w:sz w:val="30"/>
          <w:szCs w:val="30"/>
          <w:lang w:val="en-US" w:eastAsia="zh-CN"/>
        </w:rPr>
        <w:t>4</w:t>
      </w:r>
      <w:r>
        <w:rPr>
          <w:rFonts w:hint="eastAsia" w:ascii="仿宋" w:hAnsi="仿宋" w:eastAsia="仿宋" w:cs="仿宋"/>
          <w:bCs/>
          <w:kern w:val="0"/>
          <w:sz w:val="30"/>
          <w:szCs w:val="30"/>
          <w:lang w:eastAsia="zh-CN"/>
        </w:rPr>
        <w:t>人。具体人员成份为：本校在职人员1</w:t>
      </w:r>
      <w:r>
        <w:rPr>
          <w:rFonts w:hint="eastAsia" w:ascii="仿宋" w:hAnsi="仿宋" w:eastAsia="仿宋" w:cs="仿宋"/>
          <w:bCs/>
          <w:kern w:val="0"/>
          <w:sz w:val="30"/>
          <w:szCs w:val="30"/>
          <w:lang w:val="en-US" w:eastAsia="zh-CN"/>
        </w:rPr>
        <w:t>40</w:t>
      </w:r>
      <w:r>
        <w:rPr>
          <w:rFonts w:hint="eastAsia" w:ascii="仿宋" w:hAnsi="仿宋" w:eastAsia="仿宋" w:cs="仿宋"/>
          <w:bCs/>
          <w:kern w:val="0"/>
          <w:sz w:val="30"/>
          <w:szCs w:val="30"/>
          <w:lang w:eastAsia="zh-CN"/>
        </w:rPr>
        <w:t>人，其中中小学教师13</w:t>
      </w:r>
      <w:r>
        <w:rPr>
          <w:rFonts w:hint="eastAsia" w:ascii="仿宋" w:hAnsi="仿宋" w:eastAsia="仿宋" w:cs="仿宋"/>
          <w:bCs/>
          <w:kern w:val="0"/>
          <w:sz w:val="30"/>
          <w:szCs w:val="30"/>
          <w:lang w:val="en-US" w:eastAsia="zh-CN"/>
        </w:rPr>
        <w:t>6</w:t>
      </w:r>
      <w:r>
        <w:rPr>
          <w:rFonts w:hint="eastAsia" w:ascii="仿宋" w:hAnsi="仿宋" w:eastAsia="仿宋" w:cs="仿宋"/>
          <w:bCs/>
          <w:kern w:val="0"/>
          <w:sz w:val="30"/>
          <w:szCs w:val="30"/>
          <w:lang w:eastAsia="zh-CN"/>
        </w:rPr>
        <w:t>人，工人4人，借调县教育局</w:t>
      </w:r>
      <w:r>
        <w:rPr>
          <w:rFonts w:hint="eastAsia" w:ascii="仿宋" w:hAnsi="仿宋" w:eastAsia="仿宋" w:cs="仿宋"/>
          <w:bCs/>
          <w:kern w:val="0"/>
          <w:sz w:val="30"/>
          <w:szCs w:val="30"/>
          <w:lang w:val="en-US" w:eastAsia="zh-CN"/>
        </w:rPr>
        <w:t>4</w:t>
      </w:r>
      <w:r>
        <w:rPr>
          <w:rFonts w:hint="eastAsia" w:ascii="仿宋" w:hAnsi="仿宋" w:eastAsia="仿宋" w:cs="仿宋"/>
          <w:bCs/>
          <w:kern w:val="0"/>
          <w:sz w:val="30"/>
          <w:szCs w:val="30"/>
          <w:lang w:eastAsia="zh-CN"/>
        </w:rPr>
        <w:t>人。单位现有退休人员9</w:t>
      </w:r>
      <w:r>
        <w:rPr>
          <w:rFonts w:hint="eastAsia" w:ascii="仿宋" w:hAnsi="仿宋" w:eastAsia="仿宋" w:cs="仿宋"/>
          <w:bCs/>
          <w:kern w:val="0"/>
          <w:sz w:val="30"/>
          <w:szCs w:val="30"/>
          <w:lang w:val="en-US" w:eastAsia="zh-CN"/>
        </w:rPr>
        <w:t>9</w:t>
      </w:r>
      <w:r>
        <w:rPr>
          <w:rFonts w:hint="eastAsia" w:ascii="仿宋" w:hAnsi="仿宋" w:eastAsia="仿宋" w:cs="仿宋"/>
          <w:bCs/>
          <w:kern w:val="0"/>
          <w:sz w:val="30"/>
          <w:szCs w:val="30"/>
          <w:lang w:eastAsia="zh-CN"/>
        </w:rPr>
        <w:t>人。学校聘用临时工作人员</w:t>
      </w:r>
      <w:r>
        <w:rPr>
          <w:rFonts w:hint="eastAsia" w:ascii="仿宋" w:hAnsi="仿宋" w:eastAsia="仿宋" w:cs="仿宋"/>
          <w:bCs/>
          <w:kern w:val="0"/>
          <w:sz w:val="30"/>
          <w:szCs w:val="30"/>
          <w:lang w:val="en-US" w:eastAsia="zh-CN"/>
        </w:rPr>
        <w:t>17</w:t>
      </w:r>
      <w:r>
        <w:rPr>
          <w:rFonts w:hint="eastAsia" w:ascii="仿宋" w:hAnsi="仿宋" w:eastAsia="仿宋" w:cs="仿宋"/>
          <w:bCs/>
          <w:kern w:val="0"/>
          <w:sz w:val="30"/>
          <w:szCs w:val="30"/>
          <w:lang w:eastAsia="zh-CN"/>
        </w:rPr>
        <w:t>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p>
    <w:p>
      <w:pPr>
        <w:numPr>
          <w:ilvl w:val="0"/>
          <w:numId w:val="1"/>
        </w:numPr>
        <w:jc w:val="both"/>
        <w:rPr>
          <w:rFonts w:hint="eastAsia" w:ascii="楷体_GB2312" w:hAnsi="宋体" w:eastAsia="楷体_GB2312"/>
          <w:b/>
          <w:bCs/>
          <w:kern w:val="0"/>
          <w:sz w:val="32"/>
          <w:szCs w:val="32"/>
        </w:rPr>
      </w:pPr>
      <w:r>
        <w:rPr>
          <w:rFonts w:hint="eastAsia" w:ascii="楷体_GB2312" w:hAnsi="宋体" w:eastAsia="楷体_GB2312"/>
          <w:b/>
          <w:bCs/>
          <w:kern w:val="0"/>
          <w:sz w:val="32"/>
          <w:szCs w:val="32"/>
        </w:rPr>
        <w:t>决算单位构成。</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lang w:eastAsia="zh-CN"/>
        </w:rPr>
      </w:pPr>
      <w:r>
        <w:rPr>
          <w:rFonts w:hint="eastAsia" w:ascii="仿宋" w:hAnsi="仿宋" w:eastAsia="仿宋" w:cs="仿宋"/>
          <w:bCs/>
          <w:kern w:val="0"/>
          <w:sz w:val="30"/>
          <w:szCs w:val="30"/>
          <w:lang w:eastAsia="zh-CN"/>
        </w:rPr>
        <w:t>蓝山县第一中学</w:t>
      </w:r>
      <w:r>
        <w:rPr>
          <w:rFonts w:hint="eastAsia" w:ascii="仿宋" w:hAnsi="仿宋" w:eastAsia="仿宋" w:cs="仿宋"/>
          <w:bCs/>
          <w:kern w:val="0"/>
          <w:sz w:val="30"/>
          <w:szCs w:val="30"/>
          <w:lang w:val="en-US" w:eastAsia="zh-CN"/>
        </w:rPr>
        <w:t>2021</w:t>
      </w:r>
      <w:r>
        <w:rPr>
          <w:rFonts w:hint="eastAsia" w:ascii="仿宋" w:hAnsi="仿宋" w:eastAsia="仿宋" w:cs="仿宋"/>
          <w:bCs/>
          <w:kern w:val="0"/>
          <w:sz w:val="30"/>
          <w:szCs w:val="30"/>
          <w:lang w:eastAsia="zh-CN"/>
        </w:rPr>
        <w:t>年部门决算汇总公开单位构成包括</w:t>
      </w:r>
      <w:r>
        <w:rPr>
          <w:rFonts w:eastAsia="仿宋_GB2312"/>
          <w:bCs/>
          <w:kern w:val="0"/>
          <w:sz w:val="32"/>
          <w:szCs w:val="32"/>
        </w:rPr>
        <w:t>：</w:t>
      </w:r>
      <w:r>
        <w:rPr>
          <w:rFonts w:hint="eastAsia" w:ascii="仿宋" w:hAnsi="仿宋" w:eastAsia="仿宋" w:cs="仿宋"/>
          <w:bCs/>
          <w:kern w:val="0"/>
          <w:sz w:val="30"/>
          <w:szCs w:val="30"/>
          <w:lang w:eastAsia="zh-CN"/>
        </w:rPr>
        <w:t>蓝山县第一中学本级，没有其他决算单位，因此本部门决算仅含本级决算。</w:t>
      </w:r>
    </w:p>
    <w:p>
      <w:pPr>
        <w:widowControl/>
        <w:spacing w:line="600" w:lineRule="exact"/>
        <w:ind w:firstLine="640" w:firstLineChars="200"/>
        <w:rPr>
          <w:rFonts w:eastAsia="仿宋_GB2312"/>
          <w:bCs/>
          <w:kern w:val="0"/>
          <w:sz w:val="32"/>
          <w:szCs w:val="32"/>
        </w:rPr>
      </w:pPr>
    </w:p>
    <w:p>
      <w:pPr>
        <w:jc w:val="left"/>
        <w:rPr>
          <w:rFonts w:hint="eastAsia" w:ascii="仿宋_GB2312" w:hAnsi="宋体" w:eastAsia="仿宋_GB2312"/>
          <w:sz w:val="28"/>
          <w:szCs w:val="32"/>
        </w:rPr>
      </w:pPr>
    </w:p>
    <w:p>
      <w:pPr>
        <w:numPr>
          <w:ilvl w:val="0"/>
          <w:numId w:val="0"/>
        </w:numPr>
        <w:jc w:val="both"/>
        <w:rPr>
          <w:rFonts w:hint="eastAsia" w:ascii="楷体_GB2312" w:hAnsi="宋体" w:eastAsia="楷体_GB2312"/>
          <w:b/>
          <w:bCs/>
          <w:kern w:val="0"/>
          <w:sz w:val="32"/>
          <w:szCs w:val="32"/>
        </w:rPr>
      </w:pPr>
    </w:p>
    <w:p>
      <w:pPr>
        <w:numPr>
          <w:ilvl w:val="0"/>
          <w:numId w:val="0"/>
        </w:numPr>
        <w:jc w:val="both"/>
        <w:rPr>
          <w:rFonts w:hint="eastAsia" w:ascii="楷体_GB2312" w:hAnsi="宋体" w:eastAsia="楷体_GB2312"/>
          <w:b/>
          <w:bCs/>
          <w:kern w:val="0"/>
          <w:sz w:val="32"/>
          <w:szCs w:val="32"/>
        </w:rPr>
      </w:pPr>
    </w:p>
    <w:p>
      <w:pPr>
        <w:numPr>
          <w:ilvl w:val="0"/>
          <w:numId w:val="0"/>
        </w:numPr>
        <w:jc w:val="center"/>
        <w:rPr>
          <w:rFonts w:hint="eastAsia" w:ascii="黑体" w:hAnsi="黑体" w:eastAsia="黑体" w:cs="黑体"/>
          <w:sz w:val="36"/>
          <w:szCs w:val="32"/>
        </w:rPr>
      </w:pPr>
    </w:p>
    <w:p>
      <w:pPr>
        <w:numPr>
          <w:ilvl w:val="0"/>
          <w:numId w:val="0"/>
        </w:numPr>
        <w:jc w:val="center"/>
        <w:rPr>
          <w:rFonts w:hint="eastAsia" w:ascii="黑体" w:hAnsi="黑体" w:eastAsia="黑体" w:cs="黑体"/>
          <w:sz w:val="36"/>
          <w:szCs w:val="32"/>
        </w:rPr>
      </w:pPr>
      <w:r>
        <w:rPr>
          <w:rFonts w:hint="eastAsia" w:ascii="黑体" w:hAnsi="黑体" w:eastAsia="黑体" w:cs="黑体"/>
          <w:sz w:val="36"/>
          <w:szCs w:val="32"/>
        </w:rPr>
        <w:t>第二部分</w:t>
      </w:r>
      <w:r>
        <w:rPr>
          <w:rFonts w:hint="eastAsia" w:ascii="黑体" w:hAnsi="黑体" w:eastAsia="黑体" w:cs="黑体"/>
          <w:sz w:val="36"/>
          <w:szCs w:val="32"/>
          <w:lang w:val="en-US" w:eastAsia="zh-CN"/>
        </w:rPr>
        <w:t>2021年</w:t>
      </w:r>
      <w:r>
        <w:rPr>
          <w:rFonts w:hint="eastAsia" w:ascii="黑体" w:hAnsi="黑体" w:eastAsia="黑体" w:cs="黑体"/>
          <w:sz w:val="36"/>
          <w:szCs w:val="32"/>
        </w:rPr>
        <w:t>部门决算表</w:t>
      </w:r>
    </w:p>
    <w:tbl>
      <w:tblPr>
        <w:tblStyle w:val="7"/>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0"/>
            <w:vAlign w:val="center"/>
          </w:tcPr>
          <w:p>
            <w:pP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蓝山县第一中学</w:t>
            </w:r>
          </w:p>
        </w:tc>
        <w:tc>
          <w:tcPr>
            <w:tcW w:w="241"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tbl>
      <w:tblPr>
        <w:tblStyle w:val="7"/>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1983.9</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1983.9</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1983.9</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1983.9</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1983.9</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footerReference r:id="rId3" w:type="default"/>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tbl>
      <w:tblPr>
        <w:tblStyle w:val="7"/>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hint="eastAsia" w:ascii="Times New Roman" w:hAnsi="Times New Roman" w:eastAsia="仿宋_GB2312" w:cs="Times New Roman"/>
                <w:color w:val="000000"/>
                <w:kern w:val="0"/>
                <w:szCs w:val="21"/>
              </w:rPr>
              <w:t xml:space="preserve"> </w:t>
            </w:r>
          </w:p>
        </w:tc>
        <w:tc>
          <w:tcPr>
            <w:tcW w:w="240"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right="630"/>
        <w:jc w:val="both"/>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tbl>
      <w:tblPr>
        <w:tblStyle w:val="7"/>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1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11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2050203</w:t>
            </w:r>
          </w:p>
        </w:tc>
        <w:tc>
          <w:tcPr>
            <w:tcW w:w="1188"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初中教育</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7"/>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val="en-US" w:eastAsia="zh-CN"/>
              </w:rPr>
              <w:t>蓝山县第一中学</w:t>
            </w:r>
            <w:r>
              <w:rPr>
                <w:rFonts w:ascii="Times New Roman" w:hAnsi="Times New Roman" w:eastAsia="仿宋_GB2312" w:cs="Times New Roman"/>
                <w:color w:val="000000"/>
                <w:kern w:val="0"/>
                <w:sz w:val="20"/>
                <w:szCs w:val="20"/>
              </w:rPr>
              <w:t xml:space="preserve"> </w:t>
            </w:r>
          </w:p>
        </w:tc>
        <w:tc>
          <w:tcPr>
            <w:tcW w:w="708"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ind w:right="700"/>
        <w:jc w:val="both"/>
        <w:rPr>
          <w:rFonts w:ascii="Times New Roman" w:hAnsi="Times New Roman" w:eastAsia="仿宋_GB2312" w:cs="Times New Roman"/>
          <w:color w:val="000000"/>
          <w:kern w:val="0"/>
          <w:sz w:val="20"/>
          <w:szCs w:val="20"/>
        </w:rPr>
      </w:pPr>
    </w:p>
    <w:p>
      <w:pPr>
        <w:widowControl/>
        <w:spacing w:line="400" w:lineRule="exact"/>
        <w:ind w:right="700"/>
        <w:jc w:val="right"/>
        <w:rPr>
          <w:rFonts w:ascii="Times New Roman" w:hAnsi="Times New Roman" w:eastAsia="仿宋_GB2312" w:cs="Times New Roman"/>
          <w:color w:val="000000"/>
          <w:kern w:val="0"/>
          <w:sz w:val="20"/>
          <w:szCs w:val="20"/>
        </w:rPr>
      </w:pPr>
    </w:p>
    <w:p>
      <w:pPr>
        <w:widowControl/>
        <w:spacing w:line="400" w:lineRule="exact"/>
        <w:ind w:right="700"/>
        <w:jc w:val="both"/>
        <w:rPr>
          <w:rFonts w:ascii="Times New Roman" w:hAnsi="Times New Roman" w:eastAsia="仿宋_GB2312" w:cs="Times New Roman"/>
          <w:color w:val="000000"/>
          <w:kern w:val="0"/>
          <w:sz w:val="20"/>
          <w:szCs w:val="20"/>
        </w:rPr>
      </w:pP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1983.9</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24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77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842"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843"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308"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124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77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842"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843"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308"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2050203</w:t>
            </w:r>
          </w:p>
        </w:tc>
        <w:tc>
          <w:tcPr>
            <w:tcW w:w="1249" w:type="dxa"/>
            <w:shd w:val="clear" w:color="auto" w:fill="auto"/>
            <w:vAlign w:val="center"/>
          </w:tcPr>
          <w:p>
            <w:pPr>
              <w:widowControl/>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初中教育</w:t>
            </w:r>
          </w:p>
        </w:tc>
        <w:tc>
          <w:tcPr>
            <w:tcW w:w="177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842"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843"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85"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308"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both"/>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 xml:space="preserve">   </w:t>
      </w: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1983.9</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1983.9</w:t>
            </w:r>
          </w:p>
        </w:tc>
        <w:tc>
          <w:tcPr>
            <w:tcW w:w="1660" w:type="dxa"/>
            <w:shd w:val="clear" w:color="auto" w:fill="auto"/>
            <w:vAlign w:val="center"/>
          </w:tcPr>
          <w:p>
            <w:pPr>
              <w:widowControl/>
              <w:jc w:val="center"/>
              <w:rPr>
                <w:rFonts w:hint="default"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1572"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tbl>
      <w:tblPr>
        <w:tblStyle w:val="7"/>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hint="eastAsia" w:ascii="Times New Roman" w:hAnsi="Times New Roman" w:eastAsia="仿宋_GB2312" w:cs="Times New Roman"/>
                <w:color w:val="000000"/>
                <w:kern w:val="0"/>
                <w:szCs w:val="21"/>
              </w:rPr>
              <w:t xml:space="preserve">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7"/>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1983.9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0" w:name="RANGE!A1:I39"/>
      <w:r>
        <w:rPr>
          <w:rFonts w:ascii="Times New Roman" w:hAnsi="Times New Roman" w:eastAsia="方正小标宋_GBK" w:cs="Times New Roman"/>
          <w:color w:val="000000"/>
          <w:kern w:val="0"/>
          <w:sz w:val="28"/>
          <w:szCs w:val="36"/>
        </w:rPr>
        <w:t>一般公共预算财政拨款基本支出决算表</w:t>
      </w:r>
      <w:bookmarkEnd w:id="0"/>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1606.64</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1"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291.14</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87"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基本工资</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650.27</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123.72</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津贴补贴</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8.45</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243.06</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87"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伙食补助费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绩效工资</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118.06</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5.24</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244.54</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23.07</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职业年金缴费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50.72</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3.85</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职工基本医疗保险缴费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109.48</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公务员医疗补助缴费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其他社会保障缴费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14.69</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0.86</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住房公积金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120.41</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25.46</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其他工资福利支出</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54.81</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63.11</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2.31</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离休费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4.67</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退休费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10.35</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0.62</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退职（役）费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抚恤金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21.57</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生活补助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9.36</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救济费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1.03</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87"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63"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助学金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2.91</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1"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24.74</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87"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奖励金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3.58</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30229</w:t>
            </w:r>
          </w:p>
        </w:tc>
        <w:tc>
          <w:tcPr>
            <w:tcW w:w="2021"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10.68</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87"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个人农业生产补贴</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30231</w:t>
            </w:r>
          </w:p>
        </w:tc>
        <w:tc>
          <w:tcPr>
            <w:tcW w:w="2021"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87" w:type="dxa"/>
            <w:tcBorders>
              <w:top w:val="nil"/>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vAlign w:val="top"/>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ind w:firstLine="180" w:firstLineChars="10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15.34</w:t>
            </w:r>
          </w:p>
        </w:tc>
        <w:tc>
          <w:tcPr>
            <w:tcW w:w="1110" w:type="dxa"/>
            <w:tcBorders>
              <w:top w:val="single" w:color="auto" w:sz="8" w:space="0"/>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30239</w:t>
            </w:r>
          </w:p>
        </w:tc>
        <w:tc>
          <w:tcPr>
            <w:tcW w:w="2021" w:type="dxa"/>
            <w:tcBorders>
              <w:top w:val="single" w:color="auto" w:sz="8" w:space="0"/>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shd w:val="clear" w:color="auto" w:fill="auto"/>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single" w:color="auto" w:sz="8" w:space="0"/>
              <w:left w:val="nil"/>
              <w:bottom w:val="single" w:color="auto" w:sz="8" w:space="0"/>
              <w:right w:val="single" w:color="auto" w:sz="8" w:space="0"/>
            </w:tcBorders>
            <w:shd w:val="clear" w:color="auto" w:fill="auto"/>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rPr>
                <w:rFonts w:hint="eastAsia"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30240</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32"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30299</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56.44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highlight w:val="none"/>
                <w:lang w:val="en-US" w:eastAsia="zh-CN"/>
              </w:rPr>
              <w:t>1669.76</w:t>
            </w:r>
          </w:p>
        </w:tc>
        <w:tc>
          <w:tcPr>
            <w:tcW w:w="9326"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公用经费合计</w:t>
            </w:r>
          </w:p>
        </w:tc>
        <w:tc>
          <w:tcPr>
            <w:tcW w:w="1263" w:type="dxa"/>
            <w:tcBorders>
              <w:top w:val="nil"/>
              <w:left w:val="nil"/>
              <w:bottom w:val="single" w:color="auto" w:sz="8" w:space="0"/>
              <w:right w:val="single" w:color="auto" w:sz="8" w:space="0"/>
            </w:tcBorders>
            <w:shd w:val="clear" w:color="auto" w:fill="auto"/>
            <w:vAlign w:val="center"/>
          </w:tcPr>
          <w:p>
            <w:pPr>
              <w:widowControl/>
              <w:ind w:firstLine="180" w:firstLineChars="100"/>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highlight w:val="none"/>
                <w:lang w:val="en-US" w:eastAsia="zh-CN"/>
              </w:rPr>
              <w:t>314.14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tbl>
      <w:tblPr>
        <w:tblStyle w:val="7"/>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ascii="Times New Roman" w:hAnsi="Times New Roman" w:eastAsia="仿宋_GB2312" w:cs="Times New Roman"/>
                <w:color w:val="000000"/>
                <w:kern w:val="0"/>
                <w:szCs w:val="21"/>
              </w:rPr>
              <w:t xml:space="preserve">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r>
        <w:rPr>
          <w:rFonts w:eastAsia="仿宋_GB2312"/>
          <w:color w:val="000000"/>
          <w:kern w:val="0"/>
          <w:szCs w:val="21"/>
        </w:rPr>
        <w:t xml:space="preserve">                                                                                                                             </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Cs w:val="21"/>
                <w:lang w:val="en-US" w:eastAsia="zh-CN"/>
              </w:rPr>
              <w:t>3</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w:t>
            </w:r>
          </w:p>
        </w:tc>
        <w:tc>
          <w:tcPr>
            <w:tcW w:w="1220" w:type="dxa"/>
            <w:tcBorders>
              <w:top w:val="nil"/>
              <w:left w:val="nil"/>
              <w:bottom w:val="single" w:color="auto" w:sz="8"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0.62</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pPr>
              <w:widowControl/>
              <w:ind w:firstLine="210" w:firstLineChars="10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0.62</w:t>
            </w:r>
          </w:p>
        </w:tc>
      </w:tr>
    </w:tbl>
    <w:p>
      <w:pPr>
        <w:autoSpaceDE w:val="0"/>
        <w:autoSpaceDN w:val="0"/>
        <w:adjustRightInd w:val="0"/>
        <w:ind w:left="315" w:leftChars="150"/>
        <w:jc w:val="left"/>
        <w:rPr>
          <w:rFonts w:hint="eastAsia" w:ascii="楷体_GB2312"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autoSpaceDE w:val="0"/>
        <w:autoSpaceDN w:val="0"/>
        <w:adjustRightInd w:val="0"/>
        <w:ind w:left="315" w:leftChars="150"/>
        <w:jc w:val="left"/>
        <w:rPr>
          <w:rFonts w:hint="eastAsia" w:ascii="楷体_GB2312" w:eastAsia="楷体_GB2312" w:cs="宋体"/>
          <w:kern w:val="0"/>
          <w:sz w:val="24"/>
        </w:rPr>
      </w:pPr>
    </w:p>
    <w:p>
      <w:pPr>
        <w:widowControl/>
        <w:jc w:val="left"/>
        <w:rPr>
          <w:rFonts w:ascii="黑体" w:hAnsi="黑体" w:eastAsia="黑体"/>
          <w:szCs w:val="21"/>
        </w:rPr>
      </w:pPr>
    </w:p>
    <w:tbl>
      <w:tblPr>
        <w:tblStyle w:val="7"/>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ascii="Times New Roman" w:hAnsi="Times New Roman" w:eastAsia="仿宋_GB2312" w:cs="Times New Roman"/>
                <w:color w:val="000000"/>
                <w:kern w:val="0"/>
                <w:szCs w:val="21"/>
              </w:rPr>
              <w:t xml:space="preserve">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both"/>
        <w:rPr>
          <w:rFonts w:eastAsia="仿宋_GB2312"/>
          <w:color w:val="000000"/>
          <w:kern w:val="0"/>
          <w:szCs w:val="21"/>
        </w:rPr>
      </w:pPr>
      <w:r>
        <w:rPr>
          <w:rFonts w:eastAsia="仿宋_GB2312"/>
          <w:color w:val="000000"/>
          <w:kern w:val="0"/>
          <w:szCs w:val="21"/>
        </w:rPr>
        <w:t xml:space="preserve">                                                                                                                </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jc w:val="left"/>
        <w:rPr>
          <w:rFonts w:eastAsia="仿宋_GB2312"/>
          <w:kern w:val="0"/>
          <w:szCs w:val="21"/>
        </w:rPr>
      </w:pPr>
      <w:r>
        <w:rPr>
          <w:rFonts w:eastAsia="仿宋_GB2312"/>
          <w:kern w:val="0"/>
          <w:szCs w:val="21"/>
        </w:rPr>
        <w:t>(</w:t>
      </w:r>
      <w:r>
        <w:rPr>
          <w:rFonts w:hint="eastAsia" w:eastAsia="仿宋_GB2312"/>
          <w:kern w:val="0"/>
          <w:szCs w:val="21"/>
          <w:lang w:eastAsia="zh-CN"/>
        </w:rPr>
        <w:t>蓝山县</w:t>
      </w:r>
      <w:r>
        <w:rPr>
          <w:rFonts w:hint="eastAsia" w:eastAsia="仿宋_GB2312"/>
          <w:kern w:val="0"/>
          <w:szCs w:val="21"/>
          <w:lang w:val="en-US" w:eastAsia="zh-CN"/>
        </w:rPr>
        <w:t>第一中学</w:t>
      </w:r>
      <w:r>
        <w:rPr>
          <w:rFonts w:hint="eastAsia" w:eastAsia="仿宋_GB2312"/>
          <w:kern w:val="0"/>
          <w:szCs w:val="21"/>
        </w:rPr>
        <w:t>没有政府性基金收入，也没有使用政府性基金安排的支出，故本表无数据</w:t>
      </w:r>
      <w:r>
        <w:rPr>
          <w:rFonts w:eastAsia="仿宋_GB2312"/>
          <w:kern w:val="0"/>
          <w:szCs w:val="21"/>
        </w:rPr>
        <w:t>)</w:t>
      </w:r>
      <w:r>
        <w:rPr>
          <w:rFonts w:hint="eastAsia" w:eastAsia="仿宋_GB2312"/>
          <w:kern w:val="0"/>
          <w:szCs w:val="21"/>
        </w:rPr>
        <w:t>。</w:t>
      </w:r>
    </w:p>
    <w:p>
      <w:pPr>
        <w:widowControl/>
        <w:jc w:val="left"/>
        <w:rPr>
          <w:rFonts w:ascii="黑体" w:hAnsi="黑体" w:eastAsia="黑体"/>
          <w:szCs w:val="21"/>
        </w:rPr>
      </w:pPr>
      <w:r>
        <w:rPr>
          <w:rFonts w:ascii="黑体" w:hAnsi="黑体" w:eastAsia="黑体"/>
          <w:szCs w:val="21"/>
        </w:rPr>
        <w:br w:type="page"/>
      </w:r>
    </w:p>
    <w:p>
      <w:pPr>
        <w:widowControl/>
        <w:jc w:val="left"/>
        <w:rPr>
          <w:rFonts w:ascii="黑体" w:hAnsi="黑体" w:eastAsia="黑体"/>
          <w:szCs w:val="21"/>
        </w:rPr>
      </w:pPr>
    </w:p>
    <w:tbl>
      <w:tblPr>
        <w:tblStyle w:val="7"/>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w:t>
            </w:r>
            <w:r>
              <w:rPr>
                <w:rFonts w:hint="eastAsia" w:ascii="Times New Roman" w:hAnsi="Times New Roman" w:eastAsia="仿宋_GB2312" w:cs="Times New Roman"/>
                <w:color w:val="000000"/>
                <w:kern w:val="0"/>
                <w:szCs w:val="21"/>
                <w:lang w:val="en-US" w:eastAsia="zh-CN"/>
              </w:rPr>
              <w:t>第一中学</w:t>
            </w:r>
            <w:r>
              <w:rPr>
                <w:rFonts w:ascii="Times New Roman" w:hAnsi="Times New Roman" w:eastAsia="仿宋_GB2312" w:cs="Times New Roman"/>
                <w:color w:val="000000"/>
                <w:kern w:val="0"/>
                <w:szCs w:val="21"/>
              </w:rPr>
              <w:t xml:space="preserve">  </w:t>
            </w:r>
          </w:p>
        </w:tc>
        <w:tc>
          <w:tcPr>
            <w:tcW w:w="1215" w:type="dxa"/>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ind w:firstLine="630" w:firstLineChars="300"/>
        <w:jc w:val="left"/>
        <w:rPr>
          <w:rFonts w:eastAsia="仿宋_GB2312"/>
          <w:kern w:val="0"/>
          <w:szCs w:val="21"/>
        </w:rPr>
      </w:pPr>
      <w:r>
        <w:rPr>
          <w:rFonts w:eastAsia="仿宋_GB2312"/>
          <w:kern w:val="0"/>
          <w:szCs w:val="21"/>
        </w:rPr>
        <w:t>(</w:t>
      </w:r>
      <w:r>
        <w:rPr>
          <w:rFonts w:hint="eastAsia" w:eastAsia="仿宋_GB2312"/>
          <w:kern w:val="0"/>
          <w:szCs w:val="21"/>
          <w:lang w:eastAsia="zh-CN"/>
        </w:rPr>
        <w:t>蓝山县</w:t>
      </w:r>
      <w:r>
        <w:rPr>
          <w:rFonts w:hint="eastAsia" w:eastAsia="仿宋_GB2312"/>
          <w:kern w:val="0"/>
          <w:szCs w:val="21"/>
          <w:lang w:val="en-US" w:eastAsia="zh-CN"/>
        </w:rPr>
        <w:t>第一中学</w:t>
      </w:r>
      <w:r>
        <w:rPr>
          <w:rFonts w:hint="eastAsia" w:eastAsia="仿宋_GB2312"/>
          <w:kern w:val="0"/>
          <w:szCs w:val="21"/>
        </w:rPr>
        <w:t>没有</w:t>
      </w:r>
      <w:r>
        <w:rPr>
          <w:rFonts w:hint="eastAsia" w:ascii="Times New Roman" w:hAnsi="Times New Roman" w:eastAsia="仿宋_GB2312" w:cs="Times New Roman"/>
          <w:kern w:val="0"/>
          <w:szCs w:val="21"/>
        </w:rPr>
        <w:t>国有资本经营预算财政拨款支出</w:t>
      </w:r>
      <w:r>
        <w:rPr>
          <w:rFonts w:hint="eastAsia" w:ascii="Times New Roman" w:hAnsi="Times New Roman" w:eastAsia="仿宋_GB2312" w:cs="Times New Roman"/>
          <w:kern w:val="0"/>
          <w:szCs w:val="21"/>
          <w:lang w:eastAsia="zh-CN"/>
        </w:rPr>
        <w:t>，</w:t>
      </w:r>
      <w:r>
        <w:rPr>
          <w:rFonts w:hint="eastAsia" w:eastAsia="仿宋_GB2312"/>
          <w:kern w:val="0"/>
          <w:szCs w:val="21"/>
        </w:rPr>
        <w:t>故本表无数据</w:t>
      </w:r>
      <w:r>
        <w:rPr>
          <w:rFonts w:eastAsia="仿宋_GB2312"/>
          <w:kern w:val="0"/>
          <w:szCs w:val="21"/>
        </w:rPr>
        <w:t>)</w:t>
      </w:r>
      <w:r>
        <w:rPr>
          <w:rFonts w:hint="eastAsia" w:eastAsia="仿宋_GB2312"/>
          <w:kern w:val="0"/>
          <w:szCs w:val="21"/>
        </w:rPr>
        <w:t>。</w:t>
      </w: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pPr>
        <w:pStyle w:val="10"/>
        <w:keepNext w:val="0"/>
        <w:keepLines w:val="0"/>
        <w:pageBreakBefore w:val="0"/>
        <w:numPr>
          <w:ilvl w:val="0"/>
          <w:numId w:val="2"/>
        </w:numPr>
        <w:kinsoku/>
        <w:wordWrap/>
        <w:overflowPunct/>
        <w:topLinePunct w:val="0"/>
        <w:bidi w:val="0"/>
        <w:snapToGrid/>
        <w:spacing w:beforeAutospacing="0" w:afterAutospacing="0" w:line="560" w:lineRule="atLeas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20</w:t>
      </w:r>
      <w:r>
        <w:rPr>
          <w:rFonts w:hint="eastAsia" w:ascii="黑体" w:hAnsi="黑体" w:eastAsia="黑体" w:cs="黑体"/>
          <w:b/>
          <w:bCs/>
          <w:sz w:val="44"/>
          <w:szCs w:val="44"/>
          <w:lang w:val="en-US" w:eastAsia="zh-CN"/>
        </w:rPr>
        <w:t>2</w:t>
      </w:r>
      <w:r>
        <w:rPr>
          <w:rFonts w:hint="eastAsia" w:hAnsi="黑体" w:cs="黑体"/>
          <w:b/>
          <w:bCs/>
          <w:sz w:val="44"/>
          <w:szCs w:val="44"/>
          <w:lang w:val="en-US" w:eastAsia="zh-CN"/>
        </w:rPr>
        <w:t>1</w:t>
      </w:r>
      <w:r>
        <w:rPr>
          <w:rFonts w:hint="eastAsia" w:ascii="黑体" w:hAnsi="黑体" w:eastAsia="黑体" w:cs="黑体"/>
          <w:b/>
          <w:bCs/>
          <w:sz w:val="44"/>
          <w:szCs w:val="44"/>
        </w:rPr>
        <w:t>年度部门决算情况说明</w:t>
      </w:r>
    </w:p>
    <w:p>
      <w:pPr>
        <w:pStyle w:val="10"/>
        <w:keepNext w:val="0"/>
        <w:keepLines w:val="0"/>
        <w:pageBreakBefore w:val="0"/>
        <w:numPr>
          <w:ilvl w:val="0"/>
          <w:numId w:val="0"/>
        </w:numPr>
        <w:kinsoku/>
        <w:wordWrap/>
        <w:overflowPunct/>
        <w:topLinePunct w:val="0"/>
        <w:bidi w:val="0"/>
        <w:snapToGrid/>
        <w:spacing w:beforeAutospacing="0" w:afterAutospacing="0" w:line="560" w:lineRule="atLeast"/>
        <w:jc w:val="both"/>
        <w:textAlignment w:val="auto"/>
        <w:rPr>
          <w:rFonts w:hint="eastAsia" w:ascii="黑体" w:hAnsi="黑体" w:eastAsia="黑体" w:cs="黑体"/>
          <w:b/>
          <w:bCs/>
          <w:sz w:val="44"/>
          <w:szCs w:val="44"/>
        </w:rPr>
      </w:pPr>
    </w:p>
    <w:p>
      <w:pPr>
        <w:keepNext w:val="0"/>
        <w:keepLines w:val="0"/>
        <w:pageBreakBefore w:val="0"/>
        <w:widowControl/>
        <w:numPr>
          <w:ilvl w:val="0"/>
          <w:numId w:val="0"/>
        </w:numPr>
        <w:kinsoku/>
        <w:wordWrap/>
        <w:overflowPunct/>
        <w:topLinePunct w:val="0"/>
        <w:bidi w:val="0"/>
        <w:snapToGrid/>
        <w:spacing w:beforeAutospacing="0" w:afterAutospacing="0" w:line="560" w:lineRule="atLeas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收入支出决算总体情况说明</w:t>
      </w:r>
    </w:p>
    <w:p>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收、支</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计1983.90</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增加212.14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增加11.97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是因为20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年教育经费中人员经费</w:t>
      </w:r>
      <w:r>
        <w:rPr>
          <w:rFonts w:hint="eastAsia" w:ascii="仿宋_GB2312" w:hAnsi="仿宋_GB2312" w:eastAsia="仿宋_GB2312" w:cs="仿宋_GB2312"/>
          <w:sz w:val="32"/>
          <w:szCs w:val="32"/>
          <w:lang w:val="en-US" w:eastAsia="zh-CN"/>
        </w:rPr>
        <w:t>增</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lang w:val="en-US" w:eastAsia="zh-CN"/>
        </w:rPr>
        <w:t>；二是增拨公用经费用于改善学校办学条件</w:t>
      </w:r>
      <w:r>
        <w:rPr>
          <w:rFonts w:hint="eastAsia" w:ascii="仿宋_GB2312" w:hAnsi="仿宋_GB2312" w:eastAsia="仿宋_GB2312" w:cs="仿宋_GB2312"/>
          <w:sz w:val="32"/>
          <w:szCs w:val="32"/>
        </w:rPr>
        <w:t>。</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二、收入决算情况说明</w:t>
      </w:r>
    </w:p>
    <w:p>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其他收入。</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三、支出决算情况说明</w:t>
      </w:r>
    </w:p>
    <w:p>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对附属单位补助支出。</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四、财政拨款收入支出决算总体情况说明</w:t>
      </w:r>
    </w:p>
    <w:p>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r>
        <w:rPr>
          <w:rFonts w:hint="eastAsia" w:ascii="仿宋_GB2312" w:hAnsi="仿宋_GB2312" w:eastAsia="仿宋_GB2312" w:cs="仿宋_GB2312"/>
          <w:b w:val="0"/>
          <w:bCs/>
          <w:sz w:val="32"/>
          <w:szCs w:val="32"/>
        </w:rPr>
        <w:t>财政拨款</w:t>
      </w:r>
      <w:r>
        <w:rPr>
          <w:rFonts w:hint="eastAsia" w:ascii="仿宋_GB2312" w:hAnsi="仿宋_GB2312" w:eastAsia="仿宋_GB2312" w:cs="仿宋_GB2312"/>
          <w:sz w:val="32"/>
          <w:szCs w:val="32"/>
          <w:lang w:val="en-US" w:eastAsia="zh-CN"/>
        </w:rPr>
        <w:t>收、支</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计1983.90</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增加212.14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增加11.97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是因为20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年教育经费中人员经费</w:t>
      </w:r>
      <w:r>
        <w:rPr>
          <w:rFonts w:hint="eastAsia" w:ascii="仿宋_GB2312" w:hAnsi="仿宋_GB2312" w:eastAsia="仿宋_GB2312" w:cs="仿宋_GB2312"/>
          <w:sz w:val="32"/>
          <w:szCs w:val="32"/>
          <w:lang w:val="en-US" w:eastAsia="zh-CN"/>
        </w:rPr>
        <w:t>增</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lang w:val="en-US" w:eastAsia="zh-CN"/>
        </w:rPr>
        <w:t>；二是增拨公用经费用于改善学校办学条件</w:t>
      </w:r>
      <w:r>
        <w:rPr>
          <w:rFonts w:hint="eastAsia" w:ascii="仿宋_GB2312" w:hAnsi="仿宋_GB2312" w:eastAsia="仿宋_GB2312" w:cs="仿宋_GB2312"/>
          <w:sz w:val="32"/>
          <w:szCs w:val="32"/>
        </w:rPr>
        <w:t>。</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五、一般公共预算财政拨款支出决算情况说明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0"/>
        <w:keepNext w:val="0"/>
        <w:keepLines w:val="0"/>
        <w:pageBreakBefore w:val="0"/>
        <w:kinsoku/>
        <w:wordWrap/>
        <w:overflowPunct/>
        <w:topLinePunct w:val="0"/>
        <w:bidi w:val="0"/>
        <w:snapToGrid/>
        <w:spacing w:beforeAutospacing="0" w:afterAutospacing="0"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增加212.14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增加11.97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是因为20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年教育经费中人员经费</w:t>
      </w:r>
      <w:r>
        <w:rPr>
          <w:rFonts w:hint="eastAsia" w:ascii="仿宋_GB2312" w:hAnsi="仿宋_GB2312" w:eastAsia="仿宋_GB2312" w:cs="仿宋_GB2312"/>
          <w:sz w:val="32"/>
          <w:szCs w:val="32"/>
          <w:lang w:val="en-US" w:eastAsia="zh-CN"/>
        </w:rPr>
        <w:t>增</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lang w:val="en-US" w:eastAsia="zh-CN"/>
        </w:rPr>
        <w:t>；二是增拨公用经费用于改善学校办学条件</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用于教育</w:t>
      </w:r>
      <w:r>
        <w:rPr>
          <w:rFonts w:ascii="Times New Roman" w:hAnsi="Times New Roman" w:eastAsia="仿宋_GB2312" w:cs="Times New Roman"/>
          <w:color w:val="auto"/>
          <w:sz w:val="32"/>
          <w:szCs w:val="32"/>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bidi w:val="0"/>
        <w:snapToGrid/>
        <w:spacing w:beforeAutospacing="0" w:afterAutospacing="0" w:line="560" w:lineRule="atLeas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2447.66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81.05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p>
    <w:p>
      <w:pPr>
        <w:pStyle w:val="1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教育支出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普通教育</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初中教育</w:t>
      </w:r>
      <w:r>
        <w:rPr>
          <w:rFonts w:ascii="Times New Roman" w:hAnsi="Times New Roman" w:eastAsia="仿宋_GB2312" w:cs="Times New Roman"/>
          <w:color w:val="auto"/>
          <w:sz w:val="32"/>
          <w:szCs w:val="32"/>
          <w:highlight w:val="none"/>
        </w:rPr>
        <w:t>（项）。</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仿宋_GB2312" w:hAnsi="仿宋_GB2312" w:eastAsia="仿宋_GB2312" w:cs="仿宋_GB2312"/>
          <w:sz w:val="32"/>
          <w:szCs w:val="32"/>
          <w:highlight w:val="none"/>
          <w:lang w:val="en-US" w:eastAsia="zh-CN"/>
        </w:rPr>
      </w:pPr>
      <w:r>
        <w:rPr>
          <w:rFonts w:ascii="Times New Roman" w:hAnsi="Times New Roman" w:eastAsia="仿宋_GB2312" w:cs="Times New Roman"/>
          <w:color w:val="auto"/>
          <w:sz w:val="32"/>
          <w:szCs w:val="32"/>
          <w:highlight w:val="none"/>
        </w:rPr>
        <w:t>年初预算为</w:t>
      </w:r>
      <w:r>
        <w:rPr>
          <w:rFonts w:hint="eastAsia" w:ascii="仿宋_GB2312" w:hAnsi="仿宋_GB2312" w:eastAsia="仿宋_GB2312" w:cs="仿宋_GB2312"/>
          <w:sz w:val="32"/>
          <w:szCs w:val="32"/>
          <w:lang w:val="en-US" w:eastAsia="zh-CN"/>
        </w:rPr>
        <w:t>2447.66</w:t>
      </w:r>
      <w:r>
        <w:rPr>
          <w:rFonts w:ascii="Times New Roman" w:hAnsi="Times New Roman" w:eastAsia="仿宋_GB2312" w:cs="Times New Roman"/>
          <w:color w:val="auto"/>
          <w:sz w:val="32"/>
          <w:szCs w:val="32"/>
          <w:highlight w:val="none"/>
        </w:rPr>
        <w:t>万元，支出决算为</w:t>
      </w:r>
      <w:r>
        <w:rPr>
          <w:rFonts w:hint="eastAsia" w:ascii="仿宋_GB2312" w:hAnsi="仿宋_GB2312" w:eastAsia="仿宋_GB2312" w:cs="仿宋_GB2312"/>
          <w:sz w:val="32"/>
          <w:szCs w:val="32"/>
          <w:highlight w:val="none"/>
          <w:lang w:val="en-US" w:eastAsia="zh-CN"/>
        </w:rPr>
        <w:t>1983.90</w:t>
      </w:r>
      <w:r>
        <w:rPr>
          <w:rFonts w:ascii="Times New Roman" w:hAnsi="Times New Roman" w:eastAsia="仿宋_GB2312" w:cs="Times New Roman"/>
          <w:color w:val="auto"/>
          <w:sz w:val="32"/>
          <w:szCs w:val="32"/>
          <w:highlight w:val="none"/>
        </w:rPr>
        <w:t>万元，完成年初预算的</w:t>
      </w:r>
      <w:r>
        <w:rPr>
          <w:rFonts w:hint="eastAsia" w:ascii="仿宋_GB2312" w:hAnsi="仿宋_GB2312" w:eastAsia="仿宋_GB2312" w:cs="仿宋_GB2312"/>
          <w:sz w:val="32"/>
          <w:szCs w:val="32"/>
          <w:lang w:val="en-US" w:eastAsia="zh-CN"/>
        </w:rPr>
        <w:t xml:space="preserve">81.05%，决算数小于年初预算数的主要原因是退休人员退休费在年初预算中体现了出来，但实际是由基保站发放，未在学校经费中体现出来。   </w:t>
      </w:r>
      <w:r>
        <w:rPr>
          <w:rFonts w:hint="eastAsia" w:ascii="仿宋_GB2312" w:hAnsi="仿宋_GB2312" w:eastAsia="仿宋_GB2312" w:cs="仿宋_GB2312"/>
          <w:sz w:val="32"/>
          <w:szCs w:val="32"/>
          <w:highlight w:val="none"/>
          <w:lang w:val="en-US" w:eastAsia="zh-CN"/>
        </w:rPr>
        <w:t xml:space="preserve"> </w:t>
      </w:r>
    </w:p>
    <w:p>
      <w:pPr>
        <w:pStyle w:val="10"/>
        <w:keepNext w:val="0"/>
        <w:keepLines w:val="0"/>
        <w:pageBreakBefore w:val="0"/>
        <w:kinsoku/>
        <w:wordWrap/>
        <w:overflowPunct/>
        <w:topLinePunct w:val="0"/>
        <w:bidi w:val="0"/>
        <w:snapToGrid/>
        <w:spacing w:beforeAutospacing="0" w:afterAutospacing="0" w:line="560" w:lineRule="atLeast"/>
        <w:ind w:firstLine="64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六、一般公共预算财政拨款基本支出决算情况说明</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万元，其中：人员经</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val="en-US" w:eastAsia="zh-CN"/>
        </w:rPr>
        <w:t>1669.76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84.17</w:t>
      </w:r>
      <w:r>
        <w:rPr>
          <w:rFonts w:hint="eastAsia" w:ascii="仿宋_GB2312" w:hAnsi="仿宋_GB2312" w:eastAsia="仿宋_GB2312" w:cs="仿宋_GB2312"/>
          <w:sz w:val="32"/>
          <w:szCs w:val="32"/>
        </w:rPr>
        <w:t>%,主要包括基本工资、津贴补贴、奖金、绩效工资、社会保障缴费、抚恤金、生活补助、住房公积金等支出；公用经</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val="en-US" w:eastAsia="zh-CN"/>
        </w:rPr>
        <w:t>314.14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15.83</w:t>
      </w:r>
      <w:r>
        <w:rPr>
          <w:rFonts w:hint="eastAsia" w:ascii="仿宋_GB2312" w:hAnsi="仿宋_GB2312" w:eastAsia="仿宋_GB2312" w:cs="仿宋_GB2312"/>
          <w:sz w:val="32"/>
          <w:szCs w:val="32"/>
        </w:rPr>
        <w:t>%，包括单位办公费、印刷费、水电费、邮电费、差旅费、会议费、培训费、工</w:t>
      </w:r>
      <w:r>
        <w:rPr>
          <w:rFonts w:hint="eastAsia" w:ascii="仿宋_GB2312" w:hAnsi="仿宋_GB2312" w:cs="仿宋_GB2312" w:eastAsiaTheme="minorEastAsia"/>
          <w:sz w:val="32"/>
          <w:szCs w:val="32"/>
        </w:rPr>
        <w:t>会</w:t>
      </w:r>
      <w:r>
        <w:rPr>
          <w:rFonts w:hint="eastAsia" w:ascii="仿宋_GB2312" w:hAnsi="仿宋_GB2312" w:eastAsia="仿宋_GB2312" w:cs="仿宋_GB2312"/>
          <w:sz w:val="32"/>
          <w:szCs w:val="32"/>
        </w:rPr>
        <w:t>经费、福利费、维修费、其它商品和服务性支出、办公设备购置等开支。</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七、一般公共预算财政拨款三公经费支出决算情况说明</w:t>
      </w:r>
    </w:p>
    <w:p>
      <w:pPr>
        <w:pStyle w:val="10"/>
        <w:keepNext w:val="0"/>
        <w:keepLines w:val="0"/>
        <w:pageBreakBefore w:val="0"/>
        <w:widowControl w:val="0"/>
        <w:kinsoku/>
        <w:wordWrap/>
        <w:overflowPunct/>
        <w:topLinePunct w:val="0"/>
        <w:bidi w:val="0"/>
        <w:snapToGrid/>
        <w:spacing w:beforeAutospacing="0" w:afterAutospacing="0" w:line="560" w:lineRule="atLeas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0.62</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17.71</w:t>
      </w:r>
      <w:r>
        <w:rPr>
          <w:rFonts w:hint="eastAsia" w:ascii="仿宋_GB2312" w:hAnsi="仿宋_GB2312" w:eastAsia="仿宋_GB2312" w:cs="仿宋_GB2312"/>
          <w:sz w:val="32"/>
          <w:szCs w:val="32"/>
        </w:rPr>
        <w:t>%，其中：</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1、无因公出国（境）费支出。</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2、公务接待费支出预算为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17.71</w:t>
      </w:r>
      <w:r>
        <w:rPr>
          <w:rFonts w:hint="eastAsia" w:ascii="仿宋_GB2312" w:hAnsi="仿宋_GB2312" w:eastAsia="仿宋_GB2312" w:cs="仿宋_GB2312"/>
          <w:sz w:val="32"/>
          <w:szCs w:val="32"/>
        </w:rPr>
        <w:t>%，决算数小于年初预算数的主要原因是严格执行上级的文件精神，控制了学校公务接待支出。与上年相比公务接待费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39.22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的主要原因是严格执行上级的文件精神，控制了学校公务接待支出。</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3、无公务用车购置费及运行维护费支出。</w:t>
      </w:r>
    </w:p>
    <w:p>
      <w:pPr>
        <w:pStyle w:val="10"/>
        <w:keepNext w:val="0"/>
        <w:keepLines w:val="0"/>
        <w:pageBreakBefore w:val="0"/>
        <w:widowControl w:val="0"/>
        <w:kinsoku/>
        <w:wordWrap/>
        <w:overflowPunct/>
        <w:topLinePunct w:val="0"/>
        <w:bidi w:val="0"/>
        <w:snapToGrid/>
        <w:spacing w:beforeAutospacing="0" w:afterAutospacing="0" w:line="560" w:lineRule="atLeas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pStyle w:val="1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年度“三公”经费财政拨款支出决算中，公务接待费支出决</w:t>
      </w:r>
      <w:r>
        <w:rPr>
          <w:rFonts w:hint="eastAsia" w:ascii="仿宋_GB2312" w:hAnsi="仿宋_GB2312" w:eastAsia="仿宋_GB2312" w:cs="仿宋_GB2312"/>
          <w:sz w:val="32"/>
          <w:szCs w:val="32"/>
          <w:highlight w:val="none"/>
        </w:rPr>
        <w:t>算</w:t>
      </w:r>
      <w:r>
        <w:rPr>
          <w:rFonts w:hint="eastAsia" w:ascii="仿宋_GB2312" w:hAnsi="仿宋_GB2312" w:eastAsia="仿宋_GB2312" w:cs="仿宋_GB2312"/>
          <w:sz w:val="32"/>
          <w:szCs w:val="32"/>
          <w:highlight w:val="none"/>
          <w:lang w:val="en-US" w:eastAsia="zh-CN"/>
        </w:rPr>
        <w:t>0.62</w:t>
      </w:r>
      <w:r>
        <w:rPr>
          <w:rFonts w:hint="eastAsia" w:ascii="仿宋_GB2312" w:hAnsi="仿宋_GB2312" w:eastAsia="仿宋_GB2312" w:cs="仿宋_GB2312"/>
          <w:sz w:val="32"/>
          <w:szCs w:val="32"/>
        </w:rPr>
        <w:t>万元，占100%,无因公出国（境）费支出，无公务用车购置费及运行维护费支出。其中：公务接待费支出决算为</w:t>
      </w:r>
      <w:r>
        <w:rPr>
          <w:rFonts w:hint="eastAsia" w:ascii="仿宋_GB2312" w:hAnsi="仿宋_GB2312" w:eastAsia="仿宋_GB2312" w:cs="仿宋_GB2312"/>
          <w:sz w:val="32"/>
          <w:szCs w:val="32"/>
          <w:highlight w:val="none"/>
          <w:lang w:val="en-US" w:eastAsia="zh-CN"/>
        </w:rPr>
        <w:t>0.62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，共接待</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次，共计</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人次。主要是以下几个方面发生的接待支出：一是上级部门来我校检查指导工作；二是教育局教研室组织全县教学研讨会。</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八、政府性基金预算收入支出决算情况</w:t>
      </w:r>
    </w:p>
    <w:p>
      <w:pPr>
        <w:pStyle w:val="10"/>
        <w:keepNext w:val="0"/>
        <w:keepLines w:val="0"/>
        <w:pageBreakBefore w:val="0"/>
        <w:kinsoku/>
        <w:wordWrap/>
        <w:overflowPunct/>
        <w:topLinePunct w:val="0"/>
        <w:bidi w:val="0"/>
        <w:snapToGrid/>
        <w:spacing w:beforeAutospacing="0" w:afterAutospacing="0"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年度本单位无政府性基金收支</w:t>
      </w:r>
    </w:p>
    <w:p>
      <w:pPr>
        <w:pStyle w:val="10"/>
        <w:spacing w:line="600" w:lineRule="exact"/>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10"/>
        <w:spacing w:line="60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hAnsi="黑体" w:cs="黑体"/>
          <w:b w:val="0"/>
          <w:bCs/>
          <w:color w:val="auto"/>
          <w:kern w:val="2"/>
          <w:sz w:val="32"/>
          <w:szCs w:val="32"/>
          <w:lang w:val="en-US" w:eastAsia="zh-CN" w:bidi="ar-SA"/>
        </w:rPr>
        <w:t>十、</w:t>
      </w:r>
      <w:r>
        <w:rPr>
          <w:rFonts w:hint="eastAsia" w:ascii="黑体" w:hAnsi="黑体" w:eastAsia="黑体" w:cs="黑体"/>
          <w:b w:val="0"/>
          <w:bCs/>
          <w:color w:val="auto"/>
          <w:kern w:val="2"/>
          <w:sz w:val="32"/>
          <w:szCs w:val="32"/>
          <w:lang w:val="en-US" w:eastAsia="zh-CN" w:bidi="ar-SA"/>
        </w:rPr>
        <w:t>关于202</w:t>
      </w:r>
      <w:r>
        <w:rPr>
          <w:rFonts w:hint="eastAsia" w:hAnsi="黑体" w:cs="黑体"/>
          <w:b w:val="0"/>
          <w:bCs/>
          <w:color w:val="auto"/>
          <w:kern w:val="2"/>
          <w:sz w:val="32"/>
          <w:szCs w:val="32"/>
          <w:lang w:val="en-US" w:eastAsia="zh-CN" w:bidi="ar-SA"/>
        </w:rPr>
        <w:t>1</w:t>
      </w:r>
      <w:r>
        <w:rPr>
          <w:rFonts w:hint="eastAsia" w:ascii="黑体" w:hAnsi="黑体" w:eastAsia="黑体" w:cs="黑体"/>
          <w:b w:val="0"/>
          <w:bCs/>
          <w:color w:val="auto"/>
          <w:kern w:val="2"/>
          <w:sz w:val="32"/>
          <w:szCs w:val="32"/>
          <w:lang w:val="en-US" w:eastAsia="zh-CN" w:bidi="ar-SA"/>
        </w:rPr>
        <w:t>年度预算绩效情况说明</w:t>
      </w:r>
    </w:p>
    <w:p>
      <w:pPr>
        <w:keepNext w:val="0"/>
        <w:keepLines w:val="0"/>
        <w:pageBreakBefore w:val="0"/>
        <w:widowControl/>
        <w:kinsoku/>
        <w:wordWrap/>
        <w:overflowPunct/>
        <w:topLinePunct w:val="0"/>
        <w:bidi w:val="0"/>
        <w:snapToGrid/>
        <w:spacing w:beforeAutospacing="0" w:afterAutospacing="0" w:line="560" w:lineRule="atLeast"/>
        <w:ind w:firstLine="645"/>
        <w:textAlignment w:val="auto"/>
        <w:rPr>
          <w:rFonts w:hint="eastAsia" w:ascii="仿宋_GB2312" w:eastAsia="仿宋_GB2312"/>
          <w:b/>
          <w:bCs/>
          <w:sz w:val="32"/>
          <w:szCs w:val="32"/>
        </w:rPr>
      </w:pPr>
      <w:r>
        <w:rPr>
          <w:rFonts w:hint="eastAsia" w:ascii="仿宋_GB2312" w:eastAsia="仿宋_GB2312"/>
          <w:b/>
          <w:bCs/>
          <w:sz w:val="32"/>
          <w:szCs w:val="32"/>
        </w:rPr>
        <w:t>（一）绩效管理工作开展情况。</w:t>
      </w:r>
    </w:p>
    <w:p>
      <w:pPr>
        <w:pStyle w:val="6"/>
        <w:keepNext w:val="0"/>
        <w:keepLines w:val="0"/>
        <w:pageBreakBefore w:val="0"/>
        <w:widowControl/>
        <w:suppressLineNumbers w:val="0"/>
        <w:kinsoku/>
        <w:wordWrap/>
        <w:overflowPunct/>
        <w:topLinePunct w:val="0"/>
        <w:bidi w:val="0"/>
        <w:snapToGrid/>
        <w:spacing w:before="0" w:beforeAutospacing="0" w:after="0" w:afterAutospacing="0" w:line="560" w:lineRule="atLeast"/>
        <w:ind w:left="0" w:right="0" w:firstLine="640" w:firstLineChars="200"/>
        <w:jc w:val="both"/>
        <w:textAlignment w:val="auto"/>
        <w:rPr>
          <w:b w:val="0"/>
          <w:bCs w:val="0"/>
          <w:color w:val="auto"/>
        </w:rPr>
      </w:pPr>
      <w:r>
        <w:rPr>
          <w:rFonts w:hint="eastAsia" w:ascii="仿宋_GB2312" w:hAnsi="宋体" w:eastAsia="仿宋_GB2312" w:cs="仿宋_GB2312"/>
          <w:b w:val="0"/>
          <w:bCs w:val="0"/>
          <w:color w:val="auto"/>
          <w:kern w:val="0"/>
          <w:sz w:val="32"/>
          <w:szCs w:val="32"/>
          <w:lang w:bidi="ar"/>
        </w:rPr>
        <w:t>2021年度我单位实际支出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1983.90</w:t>
      </w:r>
      <w:r>
        <w:rPr>
          <w:rFonts w:hint="eastAsia" w:ascii="仿宋_GB2312" w:hAnsi="仿宋_GB2312" w:eastAsia="仿宋_GB2312" w:cs="仿宋_GB2312"/>
          <w:sz w:val="32"/>
          <w:szCs w:val="32"/>
        </w:rPr>
        <w:t>元</w:t>
      </w:r>
      <w:r>
        <w:rPr>
          <w:rFonts w:hint="eastAsia" w:ascii="仿宋_GB2312" w:hAnsi="宋体" w:eastAsia="仿宋_GB2312" w:cs="仿宋_GB2312"/>
          <w:b w:val="0"/>
          <w:bCs w:val="0"/>
          <w:color w:val="auto"/>
          <w:kern w:val="0"/>
          <w:sz w:val="32"/>
          <w:szCs w:val="32"/>
          <w:lang w:val="en-US" w:eastAsia="zh-CN" w:bidi="ar"/>
        </w:rPr>
        <w:t>,</w:t>
      </w:r>
      <w:r>
        <w:rPr>
          <w:rFonts w:hint="eastAsia" w:ascii="仿宋_GB2312" w:hAnsi="宋体" w:eastAsia="仿宋_GB2312" w:cs="仿宋_GB2312"/>
          <w:b w:val="0"/>
          <w:bCs w:val="0"/>
          <w:color w:val="auto"/>
          <w:kern w:val="0"/>
          <w:sz w:val="32"/>
          <w:szCs w:val="32"/>
          <w:lang w:bidi="ar"/>
        </w:rPr>
        <w:t>项目支出0万元。其中：基本支出主要列支人员工资福利和公用工作经费。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keepNext w:val="0"/>
        <w:keepLines w:val="0"/>
        <w:pageBreakBefore w:val="0"/>
        <w:widowControl/>
        <w:numPr>
          <w:ilvl w:val="0"/>
          <w:numId w:val="3"/>
        </w:numPr>
        <w:kinsoku/>
        <w:wordWrap/>
        <w:overflowPunct/>
        <w:topLinePunct w:val="0"/>
        <w:bidi w:val="0"/>
        <w:snapToGrid/>
        <w:spacing w:beforeAutospacing="0" w:afterAutospacing="0" w:line="560" w:lineRule="atLeast"/>
        <w:ind w:firstLine="645"/>
        <w:textAlignment w:val="auto"/>
        <w:rPr>
          <w:rFonts w:hint="eastAsia" w:ascii="仿宋_GB2312" w:eastAsia="仿宋_GB2312"/>
          <w:b/>
          <w:bCs/>
          <w:sz w:val="32"/>
          <w:szCs w:val="32"/>
        </w:rPr>
      </w:pPr>
      <w:r>
        <w:rPr>
          <w:rFonts w:hint="eastAsia" w:ascii="仿宋_GB2312" w:eastAsia="仿宋_GB2312"/>
          <w:b/>
          <w:bCs/>
          <w:sz w:val="32"/>
          <w:szCs w:val="32"/>
        </w:rPr>
        <w:t>项目绩效自评结果、重点绩效评价结果。</w:t>
      </w:r>
    </w:p>
    <w:p>
      <w:pPr>
        <w:keepNext w:val="0"/>
        <w:keepLines w:val="0"/>
        <w:pageBreakBefore w:val="0"/>
        <w:widowControl/>
        <w:numPr>
          <w:ilvl w:val="0"/>
          <w:numId w:val="0"/>
        </w:numPr>
        <w:kinsoku/>
        <w:wordWrap/>
        <w:overflowPunct/>
        <w:topLinePunct w:val="0"/>
        <w:bidi w:val="0"/>
        <w:snapToGrid/>
        <w:spacing w:beforeAutospacing="0" w:afterAutospacing="0" w:line="560" w:lineRule="atLeast"/>
        <w:textAlignment w:val="auto"/>
        <w:rPr>
          <w:rFonts w:hint="eastAsia" w:ascii="仿宋_GB2312" w:eastAsia="仿宋_GB2312"/>
          <w:b w:val="0"/>
          <w:bCs w:val="0"/>
          <w:i/>
          <w:iCs/>
          <w:color w:val="FF000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本校无项目支出，无重点工程项目支出。</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十一、其他重要事项情况说明</w:t>
      </w:r>
    </w:p>
    <w:p>
      <w:pPr>
        <w:keepNext w:val="0"/>
        <w:keepLines w:val="0"/>
        <w:pageBreakBefore w:val="0"/>
        <w:kinsoku/>
        <w:wordWrap/>
        <w:overflowPunct/>
        <w:topLinePunct w:val="0"/>
        <w:bidi w:val="0"/>
        <w:snapToGrid/>
        <w:spacing w:beforeAutospacing="0" w:afterAutospacing="0" w:line="560" w:lineRule="atLeast"/>
        <w:ind w:firstLine="803" w:firstLineChars="25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（一）机关运行经费支出情况</w:t>
      </w:r>
    </w:p>
    <w:p>
      <w:pPr>
        <w:spacing w:line="600" w:lineRule="exact"/>
        <w:ind w:firstLine="640" w:firstLineChars="200"/>
        <w:rPr>
          <w:rFonts w:hint="default" w:eastAsia="仿宋_GB2312"/>
          <w:kern w:val="0"/>
          <w:sz w:val="32"/>
          <w:szCs w:val="32"/>
          <w:highlight w:val="red"/>
          <w:lang w:val="en-US" w:eastAsia="zh-CN"/>
        </w:rPr>
      </w:pPr>
      <w:r>
        <w:rPr>
          <w:rFonts w:eastAsia="仿宋_GB2312"/>
          <w:kern w:val="0"/>
          <w:sz w:val="32"/>
          <w:szCs w:val="32"/>
        </w:rPr>
        <w:t>本部门</w:t>
      </w:r>
      <w:r>
        <w:rPr>
          <w:rFonts w:hint="eastAsia" w:eastAsia="仿宋_GB2312"/>
          <w:kern w:val="0"/>
          <w:sz w:val="32"/>
          <w:szCs w:val="32"/>
          <w:lang w:val="en-US" w:eastAsia="zh-CN"/>
        </w:rPr>
        <w:t>2021</w:t>
      </w:r>
      <w:r>
        <w:rPr>
          <w:rFonts w:eastAsia="仿宋_GB2312"/>
          <w:kern w:val="0"/>
          <w:sz w:val="32"/>
          <w:szCs w:val="32"/>
        </w:rPr>
        <w:t>年度机关运行经费支出</w:t>
      </w:r>
      <w:r>
        <w:rPr>
          <w:rFonts w:hint="eastAsia" w:eastAsia="仿宋_GB2312"/>
          <w:kern w:val="0"/>
          <w:sz w:val="32"/>
          <w:szCs w:val="32"/>
          <w:lang w:val="en-US" w:eastAsia="zh-CN"/>
        </w:rPr>
        <w:t>314.14</w:t>
      </w:r>
      <w:r>
        <w:rPr>
          <w:rFonts w:eastAsia="仿宋_GB2312"/>
          <w:kern w:val="0"/>
          <w:sz w:val="32"/>
          <w:szCs w:val="32"/>
        </w:rPr>
        <w:t>万元</w:t>
      </w:r>
      <w:r>
        <w:rPr>
          <w:rFonts w:hint="eastAsia" w:eastAsia="仿宋_GB2312"/>
          <w:kern w:val="0"/>
          <w:sz w:val="32"/>
          <w:szCs w:val="32"/>
          <w:lang w:eastAsia="zh-CN"/>
        </w:rPr>
        <w:t>，</w:t>
      </w:r>
      <w:r>
        <w:rPr>
          <w:rFonts w:eastAsia="仿宋_GB2312"/>
          <w:kern w:val="0"/>
          <w:sz w:val="32"/>
          <w:szCs w:val="32"/>
        </w:rPr>
        <w:t>比年初预算数增加</w:t>
      </w:r>
      <w:r>
        <w:rPr>
          <w:rFonts w:hint="eastAsia" w:eastAsia="仿宋_GB2312"/>
          <w:sz w:val="32"/>
          <w:szCs w:val="32"/>
          <w:u w:val="none"/>
          <w:lang w:val="en-US" w:eastAsia="zh-CN"/>
        </w:rPr>
        <w:t>82.55</w:t>
      </w:r>
      <w:r>
        <w:rPr>
          <w:rFonts w:eastAsia="仿宋_GB2312"/>
          <w:kern w:val="0"/>
          <w:sz w:val="32"/>
          <w:szCs w:val="32"/>
        </w:rPr>
        <w:t>万元，增长</w:t>
      </w:r>
      <w:r>
        <w:rPr>
          <w:rFonts w:hint="eastAsia" w:eastAsia="仿宋_GB2312"/>
          <w:sz w:val="32"/>
          <w:szCs w:val="32"/>
          <w:u w:val="none"/>
          <w:lang w:val="en-US" w:eastAsia="zh-CN"/>
        </w:rPr>
        <w:t xml:space="preserve">35.64 </w:t>
      </w:r>
      <w:r>
        <w:rPr>
          <w:rFonts w:eastAsia="仿宋_GB2312"/>
          <w:kern w:val="0"/>
          <w:sz w:val="32"/>
          <w:szCs w:val="32"/>
        </w:rPr>
        <w:t>%。主要原因是：</w:t>
      </w:r>
      <w:r>
        <w:rPr>
          <w:rFonts w:hint="eastAsia" w:eastAsia="仿宋_GB2312"/>
          <w:kern w:val="0"/>
          <w:sz w:val="32"/>
          <w:szCs w:val="32"/>
          <w:lang w:eastAsia="zh-CN"/>
        </w:rPr>
        <w:t>（</w:t>
      </w:r>
      <w:r>
        <w:rPr>
          <w:rFonts w:hint="eastAsia" w:eastAsia="仿宋_GB2312"/>
          <w:kern w:val="0"/>
          <w:sz w:val="32"/>
          <w:szCs w:val="32"/>
          <w:lang w:val="en-US" w:eastAsia="zh-CN"/>
        </w:rPr>
        <w:t>1）增补寄宿制学校运转经费</w:t>
      </w:r>
      <w:r>
        <w:rPr>
          <w:rFonts w:hint="eastAsia" w:eastAsia="仿宋_GB2312"/>
          <w:kern w:val="0"/>
          <w:sz w:val="32"/>
          <w:szCs w:val="32"/>
          <w:u w:val="none"/>
          <w:lang w:val="en-US" w:eastAsia="zh-CN"/>
        </w:rPr>
        <w:t>28</w:t>
      </w:r>
      <w:r>
        <w:rPr>
          <w:rFonts w:hint="eastAsia" w:eastAsia="仿宋_GB2312"/>
          <w:kern w:val="0"/>
          <w:sz w:val="32"/>
          <w:szCs w:val="32"/>
          <w:lang w:val="en-US" w:eastAsia="zh-CN"/>
        </w:rPr>
        <w:t>万元；（2）教师死亡抚恤金</w:t>
      </w:r>
      <w:r>
        <w:rPr>
          <w:rFonts w:hint="eastAsia" w:eastAsia="仿宋_GB2312"/>
          <w:kern w:val="0"/>
          <w:sz w:val="32"/>
          <w:szCs w:val="32"/>
          <w:u w:val="none"/>
          <w:lang w:val="en-US" w:eastAsia="zh-CN"/>
        </w:rPr>
        <w:t>21.57</w:t>
      </w:r>
      <w:r>
        <w:rPr>
          <w:rFonts w:hint="eastAsia" w:eastAsia="仿宋_GB2312"/>
          <w:kern w:val="0"/>
          <w:sz w:val="32"/>
          <w:szCs w:val="32"/>
          <w:lang w:val="en-US" w:eastAsia="zh-CN"/>
        </w:rPr>
        <w:t>万元；（3）学校建设以奖代补经费等经费</w:t>
      </w:r>
      <w:r>
        <w:rPr>
          <w:rFonts w:hint="eastAsia" w:eastAsia="仿宋_GB2312"/>
          <w:kern w:val="0"/>
          <w:sz w:val="32"/>
          <w:szCs w:val="32"/>
          <w:u w:val="none"/>
          <w:lang w:val="en-US" w:eastAsia="zh-CN"/>
        </w:rPr>
        <w:t>30</w:t>
      </w:r>
      <w:r>
        <w:rPr>
          <w:rFonts w:hint="eastAsia" w:eastAsia="仿宋_GB2312"/>
          <w:kern w:val="0"/>
          <w:sz w:val="32"/>
          <w:szCs w:val="32"/>
          <w:lang w:val="en-US" w:eastAsia="zh-CN"/>
        </w:rPr>
        <w:t>万元。</w:t>
      </w:r>
    </w:p>
    <w:p>
      <w:pPr>
        <w:keepNext w:val="0"/>
        <w:keepLines w:val="0"/>
        <w:pageBreakBefore w:val="0"/>
        <w:kinsoku/>
        <w:wordWrap/>
        <w:overflowPunct/>
        <w:topLinePunct w:val="0"/>
        <w:bidi w:val="0"/>
        <w:snapToGrid/>
        <w:spacing w:beforeAutospacing="0" w:afterAutospacing="0" w:line="560" w:lineRule="atLeas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（二）一般性支出情况</w:t>
      </w:r>
    </w:p>
    <w:p>
      <w:pPr>
        <w:spacing w:line="560" w:lineRule="atLeast"/>
        <w:ind w:firstLine="480" w:firstLineChars="15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年本校开支会议费</w:t>
      </w:r>
      <w:r>
        <w:rPr>
          <w:rFonts w:hint="eastAsia" w:ascii="仿宋_GB2312" w:hAnsi="仿宋_GB2312" w:eastAsia="仿宋_GB2312" w:cs="仿宋_GB2312"/>
          <w:color w:val="000000"/>
          <w:kern w:val="0"/>
          <w:sz w:val="32"/>
          <w:szCs w:val="32"/>
          <w:highlight w:val="none"/>
          <w:lang w:val="en-US" w:eastAsia="zh-CN"/>
        </w:rPr>
        <w:t>2.31</w:t>
      </w:r>
      <w:r>
        <w:rPr>
          <w:rFonts w:hint="eastAsia" w:ascii="仿宋_GB2312" w:hAnsi="仿宋_GB2312" w:eastAsia="仿宋_GB2312" w:cs="仿宋_GB2312"/>
          <w:color w:val="000000"/>
          <w:kern w:val="0"/>
          <w:sz w:val="32"/>
          <w:szCs w:val="32"/>
          <w:highlight w:val="none"/>
        </w:rPr>
        <w:t>万</w:t>
      </w:r>
      <w:r>
        <w:rPr>
          <w:rFonts w:hint="eastAsia" w:ascii="仿宋_GB2312" w:hAnsi="仿宋_GB2312" w:eastAsia="仿宋_GB2312" w:cs="仿宋_GB2312"/>
          <w:color w:val="000000"/>
          <w:kern w:val="0"/>
          <w:sz w:val="32"/>
          <w:szCs w:val="32"/>
        </w:rPr>
        <w:t>元，用于召开开学工作会议、班主任工作会</w:t>
      </w:r>
      <w:r>
        <w:rPr>
          <w:rFonts w:hint="eastAsia" w:ascii="仿宋_GB2312" w:hAnsi="仿宋_GB2312" w:eastAsia="仿宋_GB2312" w:cs="仿宋_GB2312"/>
          <w:color w:val="000000"/>
          <w:kern w:val="0"/>
          <w:sz w:val="32"/>
          <w:szCs w:val="32"/>
          <w:lang w:eastAsia="zh-CN"/>
        </w:rPr>
        <w:t>议</w:t>
      </w:r>
      <w:r>
        <w:rPr>
          <w:rFonts w:hint="eastAsia" w:ascii="仿宋_GB2312" w:hAnsi="仿宋_GB2312" w:eastAsia="仿宋_GB2312" w:cs="仿宋_GB2312"/>
          <w:color w:val="000000"/>
          <w:kern w:val="0"/>
          <w:sz w:val="32"/>
          <w:szCs w:val="32"/>
        </w:rPr>
        <w:t>、年级组工作会议、期中测试考务伙食等支出；</w:t>
      </w:r>
      <w:r>
        <w:rPr>
          <w:rFonts w:hint="eastAsia" w:ascii="仿宋_GB2312" w:hAnsi="仿宋_GB2312" w:eastAsia="仿宋_GB2312" w:cs="仿宋_GB2312"/>
          <w:color w:val="000000"/>
          <w:kern w:val="0"/>
          <w:sz w:val="32"/>
          <w:szCs w:val="32"/>
          <w:lang w:val="en-US" w:eastAsia="zh-CN"/>
        </w:rPr>
        <w:t>人数135人，内容为</w:t>
      </w:r>
      <w:r>
        <w:rPr>
          <w:rFonts w:hint="eastAsia" w:ascii="仿宋_GB2312" w:hAnsi="仿宋_GB2312" w:eastAsia="仿宋_GB2312" w:cs="仿宋_GB2312"/>
          <w:color w:val="000000"/>
          <w:kern w:val="0"/>
          <w:sz w:val="32"/>
          <w:szCs w:val="32"/>
        </w:rPr>
        <w:t>开学工作会议、班主任工作会</w:t>
      </w:r>
      <w:r>
        <w:rPr>
          <w:rFonts w:hint="eastAsia" w:ascii="仿宋_GB2312" w:hAnsi="仿宋_GB2312" w:eastAsia="仿宋_GB2312" w:cs="仿宋_GB2312"/>
          <w:color w:val="000000"/>
          <w:kern w:val="0"/>
          <w:sz w:val="32"/>
          <w:szCs w:val="32"/>
          <w:lang w:eastAsia="zh-CN"/>
        </w:rPr>
        <w:t>议</w:t>
      </w:r>
      <w:r>
        <w:rPr>
          <w:rFonts w:hint="eastAsia" w:ascii="仿宋_GB2312" w:hAnsi="仿宋_GB2312" w:eastAsia="仿宋_GB2312" w:cs="仿宋_GB2312"/>
          <w:color w:val="000000"/>
          <w:kern w:val="0"/>
          <w:sz w:val="32"/>
          <w:szCs w:val="32"/>
        </w:rPr>
        <w:t>、年级组工作会议、期中测试</w:t>
      </w:r>
      <w:bookmarkStart w:id="1" w:name="_GoBack"/>
      <w:bookmarkEnd w:id="1"/>
      <w:r>
        <w:rPr>
          <w:rFonts w:hint="eastAsia" w:ascii="仿宋_GB2312" w:hAnsi="仿宋_GB2312" w:eastAsia="仿宋_GB2312" w:cs="仿宋_GB2312"/>
          <w:color w:val="000000"/>
          <w:kern w:val="0"/>
          <w:sz w:val="32"/>
          <w:szCs w:val="32"/>
          <w:lang w:val="en-US" w:eastAsia="zh-CN"/>
        </w:rPr>
        <w:t>等内容；</w:t>
      </w:r>
      <w:r>
        <w:rPr>
          <w:rFonts w:hint="eastAsia" w:ascii="仿宋_GB2312" w:hAnsi="仿宋_GB2312" w:eastAsia="仿宋_GB2312" w:cs="仿宋_GB2312"/>
          <w:color w:val="000000"/>
          <w:kern w:val="0"/>
          <w:sz w:val="32"/>
          <w:szCs w:val="32"/>
        </w:rPr>
        <w:t>本年度我校培训费开支</w:t>
      </w:r>
      <w:r>
        <w:rPr>
          <w:rFonts w:hint="eastAsia" w:ascii="仿宋_GB2312" w:hAnsi="仿宋_GB2312" w:eastAsia="仿宋_GB2312" w:cs="仿宋_GB2312"/>
          <w:color w:val="000000"/>
          <w:kern w:val="0"/>
          <w:sz w:val="32"/>
          <w:szCs w:val="32"/>
          <w:highlight w:val="none"/>
          <w:lang w:val="en-US" w:eastAsia="zh-CN"/>
        </w:rPr>
        <w:t>4.67</w:t>
      </w:r>
      <w:r>
        <w:rPr>
          <w:rFonts w:hint="eastAsia" w:ascii="仿宋_GB2312" w:hAnsi="仿宋_GB2312" w:eastAsia="仿宋_GB2312" w:cs="仿宋_GB2312"/>
          <w:color w:val="000000"/>
          <w:kern w:val="0"/>
          <w:sz w:val="32"/>
          <w:szCs w:val="32"/>
        </w:rPr>
        <w:t>万元，用于开展学校教师“国培”等各类培训，参培教师达</w:t>
      </w:r>
      <w:r>
        <w:rPr>
          <w:rFonts w:hint="eastAsia" w:ascii="仿宋_GB2312" w:hAnsi="仿宋_GB2312" w:eastAsia="仿宋_GB2312" w:cs="仿宋_GB2312"/>
          <w:color w:val="000000"/>
          <w:kern w:val="0"/>
          <w:sz w:val="32"/>
          <w:szCs w:val="32"/>
          <w:lang w:val="en-US" w:eastAsia="zh-CN"/>
        </w:rPr>
        <w:t>342</w:t>
      </w:r>
      <w:r>
        <w:rPr>
          <w:rFonts w:hint="eastAsia" w:ascii="仿宋_GB2312" w:hAnsi="仿宋_GB2312" w:eastAsia="仿宋_GB2312" w:cs="仿宋_GB2312"/>
          <w:color w:val="000000"/>
          <w:kern w:val="0"/>
          <w:sz w:val="32"/>
          <w:szCs w:val="32"/>
        </w:rPr>
        <w:t>人次，</w:t>
      </w:r>
      <w:r>
        <w:rPr>
          <w:rFonts w:hint="eastAsia" w:ascii="仿宋_GB2312" w:hAnsi="仿宋_GB2312" w:eastAsia="仿宋_GB2312" w:cs="仿宋_GB2312"/>
          <w:color w:val="000000"/>
          <w:kern w:val="0"/>
          <w:sz w:val="32"/>
          <w:szCs w:val="32"/>
          <w:lang w:val="en-US" w:eastAsia="zh-CN"/>
        </w:rPr>
        <w:t>内容为开展学校教师“国培”等各类培训</w:t>
      </w:r>
      <w:r>
        <w:rPr>
          <w:rFonts w:hint="eastAsia" w:ascii="仿宋_GB2312" w:hAnsi="仿宋_GB2312" w:eastAsia="仿宋_GB2312" w:cs="仿宋_GB2312"/>
          <w:color w:val="000000"/>
          <w:kern w:val="0"/>
          <w:sz w:val="32"/>
          <w:szCs w:val="32"/>
        </w:rPr>
        <w:t>。</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p>
    <w:p>
      <w:pPr>
        <w:keepNext w:val="0"/>
        <w:keepLines w:val="0"/>
        <w:pageBreakBefore w:val="0"/>
        <w:kinsoku/>
        <w:wordWrap/>
        <w:overflowPunct/>
        <w:topLinePunct w:val="0"/>
        <w:bidi w:val="0"/>
        <w:snapToGrid/>
        <w:spacing w:beforeAutospacing="0" w:afterAutospacing="0" w:line="560" w:lineRule="atLeas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（三）政府采购支出情况</w:t>
      </w:r>
    </w:p>
    <w:p>
      <w:pPr>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i/>
          <w:color w:val="FF0000"/>
          <w:kern w:val="0"/>
          <w:sz w:val="32"/>
          <w:szCs w:val="32"/>
        </w:rPr>
      </w:pPr>
      <w:r>
        <w:rPr>
          <w:rFonts w:hint="eastAsia" w:ascii="仿宋_GB2312" w:hAnsi="仿宋_GB2312" w:eastAsia="仿宋_GB2312" w:cs="仿宋_GB2312"/>
          <w:color w:val="000000"/>
          <w:kern w:val="0"/>
          <w:sz w:val="32"/>
          <w:szCs w:val="32"/>
        </w:rPr>
        <w:t>本部门20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年度</w:t>
      </w:r>
      <w:r>
        <w:rPr>
          <w:rFonts w:hint="eastAsia" w:ascii="仿宋_GB2312" w:hAnsi="仿宋_GB2312" w:eastAsia="仿宋_GB2312" w:cs="仿宋_GB2312"/>
          <w:color w:val="000000"/>
          <w:kern w:val="0"/>
          <w:sz w:val="32"/>
          <w:szCs w:val="32"/>
          <w:lang w:eastAsia="zh-CN"/>
        </w:rPr>
        <w:t>办公用品、维修材料等物品的采购均为</w:t>
      </w:r>
      <w:r>
        <w:rPr>
          <w:rFonts w:hint="eastAsia" w:ascii="仿宋_GB2312" w:hAnsi="仿宋_GB2312" w:eastAsia="仿宋_GB2312" w:cs="仿宋_GB2312"/>
          <w:color w:val="000000"/>
          <w:kern w:val="0"/>
          <w:sz w:val="32"/>
          <w:szCs w:val="32"/>
        </w:rPr>
        <w:t>政采</w:t>
      </w:r>
      <w:r>
        <w:rPr>
          <w:rFonts w:hint="eastAsia" w:ascii="仿宋_GB2312" w:hAnsi="仿宋_GB2312" w:eastAsia="仿宋_GB2312" w:cs="仿宋_GB2312"/>
          <w:color w:val="000000"/>
          <w:kern w:val="0"/>
          <w:sz w:val="32"/>
          <w:szCs w:val="32"/>
          <w:lang w:eastAsia="zh-CN"/>
        </w:rPr>
        <w:t>云线上平台采</w:t>
      </w:r>
      <w:r>
        <w:rPr>
          <w:rFonts w:hint="eastAsia" w:ascii="仿宋_GB2312" w:hAnsi="仿宋_GB2312" w:eastAsia="仿宋_GB2312" w:cs="仿宋_GB2312"/>
          <w:color w:val="000000"/>
          <w:kern w:val="0"/>
          <w:sz w:val="32"/>
          <w:szCs w:val="32"/>
        </w:rPr>
        <w:t>购。政府采购支出总额</w:t>
      </w:r>
      <w:r>
        <w:rPr>
          <w:rFonts w:hint="eastAsia" w:ascii="仿宋_GB2312" w:hAnsi="仿宋_GB2312" w:eastAsia="仿宋_GB2312" w:cs="仿宋_GB2312"/>
          <w:color w:val="000000"/>
          <w:kern w:val="0"/>
          <w:sz w:val="32"/>
          <w:szCs w:val="32"/>
          <w:highlight w:val="none"/>
          <w:lang w:val="en-US" w:eastAsia="zh-CN"/>
        </w:rPr>
        <w:t>128.07</w:t>
      </w:r>
      <w:r>
        <w:rPr>
          <w:rFonts w:hint="eastAsia" w:ascii="仿宋_GB2312" w:hAnsi="仿宋_GB2312" w:eastAsia="仿宋_GB2312" w:cs="仿宋_GB2312"/>
          <w:color w:val="000000"/>
          <w:kern w:val="0"/>
          <w:sz w:val="32"/>
          <w:szCs w:val="32"/>
          <w:highlight w:val="none"/>
        </w:rPr>
        <w:t>万</w:t>
      </w:r>
      <w:r>
        <w:rPr>
          <w:rFonts w:hint="eastAsia" w:ascii="仿宋_GB2312" w:hAnsi="仿宋_GB2312" w:eastAsia="仿宋_GB2312" w:cs="仿宋_GB2312"/>
          <w:color w:val="000000"/>
          <w:kern w:val="0"/>
          <w:sz w:val="32"/>
          <w:szCs w:val="32"/>
        </w:rPr>
        <w:t>元，其中：政府采购货物支出</w:t>
      </w:r>
      <w:r>
        <w:rPr>
          <w:rFonts w:hint="eastAsia" w:ascii="仿宋_GB2312" w:hAnsi="仿宋_GB2312" w:eastAsia="仿宋_GB2312" w:cs="仿宋_GB2312"/>
          <w:color w:val="000000"/>
          <w:kern w:val="0"/>
          <w:sz w:val="32"/>
          <w:szCs w:val="32"/>
          <w:highlight w:val="none"/>
          <w:lang w:val="en-US" w:eastAsia="zh-CN"/>
        </w:rPr>
        <w:t>94.45</w:t>
      </w:r>
      <w:r>
        <w:rPr>
          <w:rFonts w:hint="eastAsia"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highlight w:val="none"/>
          <w:lang w:val="en-US" w:eastAsia="zh-CN"/>
        </w:rPr>
        <w:t>25.76</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highlight w:val="none"/>
          <w:lang w:val="en-US" w:eastAsia="zh-CN"/>
        </w:rPr>
        <w:t>7.86</w:t>
      </w:r>
      <w:r>
        <w:rPr>
          <w:rFonts w:hint="eastAsia" w:ascii="仿宋_GB2312" w:hAnsi="仿宋_GB2312" w:eastAsia="仿宋_GB2312" w:cs="仿宋_GB2312"/>
          <w:color w:val="000000"/>
          <w:kern w:val="0"/>
          <w:sz w:val="32"/>
          <w:szCs w:val="32"/>
        </w:rPr>
        <w:t>万元。授予中小企业合同金额</w:t>
      </w:r>
      <w:r>
        <w:rPr>
          <w:rFonts w:hint="eastAsia" w:ascii="仿宋_GB2312" w:hAnsi="仿宋_GB2312" w:eastAsia="仿宋_GB2312" w:cs="仿宋_GB2312"/>
          <w:color w:val="000000"/>
          <w:kern w:val="0"/>
          <w:sz w:val="32"/>
          <w:szCs w:val="32"/>
          <w:highlight w:val="none"/>
          <w:lang w:val="en-US" w:eastAsia="zh-CN"/>
        </w:rPr>
        <w:t>128.07</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highlight w:val="none"/>
          <w:lang w:val="en-US" w:eastAsia="zh-CN"/>
        </w:rPr>
        <w:t>102.31</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highlight w:val="none"/>
          <w:lang w:val="en-US" w:eastAsia="zh-CN"/>
        </w:rPr>
        <w:t>79.89</w:t>
      </w:r>
      <w:r>
        <w:rPr>
          <w:rFonts w:hint="eastAsia" w:ascii="仿宋_GB2312" w:hAnsi="仿宋_GB2312" w:eastAsia="仿宋_GB2312" w:cs="仿宋_GB2312"/>
          <w:color w:val="000000"/>
          <w:kern w:val="0"/>
          <w:sz w:val="32"/>
          <w:szCs w:val="32"/>
          <w:highlight w:val="none"/>
        </w:rPr>
        <w:t>%。</w:t>
      </w:r>
    </w:p>
    <w:p>
      <w:pPr>
        <w:keepNext w:val="0"/>
        <w:keepLines w:val="0"/>
        <w:pageBreakBefore w:val="0"/>
        <w:kinsoku/>
        <w:wordWrap/>
        <w:overflowPunct/>
        <w:topLinePunct w:val="0"/>
        <w:bidi w:val="0"/>
        <w:snapToGrid/>
        <w:spacing w:beforeAutospacing="0" w:afterAutospacing="0" w:line="560" w:lineRule="atLeast"/>
        <w:ind w:firstLine="482" w:firstLineChars="15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（四）国有资产占用情况</w:t>
      </w:r>
    </w:p>
    <w:p>
      <w:pPr>
        <w:spacing w:line="56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年12月31日，</w:t>
      </w:r>
      <w:r>
        <w:rPr>
          <w:rFonts w:eastAsia="仿宋_GB2312"/>
          <w:kern w:val="0"/>
          <w:sz w:val="32"/>
          <w:szCs w:val="32"/>
        </w:rPr>
        <w:t>本单位共有车辆</w:t>
      </w:r>
      <w:r>
        <w:rPr>
          <w:rFonts w:hint="eastAsia" w:eastAsia="仿宋_GB2312"/>
          <w:kern w:val="0"/>
          <w:sz w:val="32"/>
          <w:szCs w:val="32"/>
          <w:lang w:val="en-US" w:eastAsia="zh-CN"/>
        </w:rPr>
        <w:t>0</w:t>
      </w:r>
      <w:r>
        <w:rPr>
          <w:rFonts w:eastAsia="仿宋_GB2312"/>
          <w:kern w:val="0"/>
          <w:sz w:val="32"/>
          <w:szCs w:val="32"/>
        </w:rPr>
        <w:t>辆，其中，领导干部用车</w:t>
      </w:r>
      <w:r>
        <w:rPr>
          <w:rFonts w:hint="eastAsia" w:eastAsia="仿宋_GB2312"/>
          <w:kern w:val="0"/>
          <w:sz w:val="32"/>
          <w:szCs w:val="32"/>
          <w:lang w:val="en-US" w:eastAsia="zh-CN"/>
        </w:rPr>
        <w:t>0</w:t>
      </w:r>
      <w:r>
        <w:rPr>
          <w:rFonts w:eastAsia="仿宋_GB2312"/>
          <w:kern w:val="0"/>
          <w:sz w:val="32"/>
          <w:szCs w:val="32"/>
        </w:rPr>
        <w:t>辆、机要通信用车</w:t>
      </w:r>
      <w:r>
        <w:rPr>
          <w:rFonts w:hint="eastAsia" w:eastAsia="仿宋_GB2312"/>
          <w:kern w:val="0"/>
          <w:sz w:val="32"/>
          <w:szCs w:val="32"/>
          <w:lang w:val="en-US" w:eastAsia="zh-CN"/>
        </w:rPr>
        <w:t>0</w:t>
      </w:r>
      <w:r>
        <w:rPr>
          <w:rFonts w:eastAsia="仿宋_GB2312"/>
          <w:kern w:val="0"/>
          <w:sz w:val="32"/>
          <w:szCs w:val="32"/>
        </w:rPr>
        <w:t>辆、应急保障用车</w:t>
      </w:r>
      <w:r>
        <w:rPr>
          <w:rFonts w:hint="eastAsia" w:eastAsia="仿宋_GB2312"/>
          <w:kern w:val="0"/>
          <w:sz w:val="32"/>
          <w:szCs w:val="32"/>
          <w:lang w:val="en-US" w:eastAsia="zh-CN"/>
        </w:rPr>
        <w:t>0</w:t>
      </w:r>
      <w:r>
        <w:rPr>
          <w:rFonts w:eastAsia="仿宋_GB2312"/>
          <w:kern w:val="0"/>
          <w:sz w:val="32"/>
          <w:szCs w:val="32"/>
        </w:rPr>
        <w:t>辆、执法执勤用车</w:t>
      </w:r>
      <w:r>
        <w:rPr>
          <w:rFonts w:hint="eastAsia" w:eastAsia="仿宋_GB2312"/>
          <w:kern w:val="0"/>
          <w:sz w:val="32"/>
          <w:szCs w:val="32"/>
          <w:lang w:val="en-US" w:eastAsia="zh-CN"/>
        </w:rPr>
        <w:t>0</w:t>
      </w:r>
      <w:r>
        <w:rPr>
          <w:rFonts w:eastAsia="仿宋_GB2312"/>
          <w:kern w:val="0"/>
          <w:sz w:val="32"/>
          <w:szCs w:val="32"/>
        </w:rPr>
        <w:t>辆、特种专业技术用车</w:t>
      </w:r>
      <w:r>
        <w:rPr>
          <w:rFonts w:hint="eastAsia" w:eastAsia="仿宋_GB2312"/>
          <w:kern w:val="0"/>
          <w:sz w:val="32"/>
          <w:szCs w:val="32"/>
          <w:lang w:val="en-US" w:eastAsia="zh-CN"/>
        </w:rPr>
        <w:t>0</w:t>
      </w:r>
      <w:r>
        <w:rPr>
          <w:rFonts w:eastAsia="仿宋_GB2312"/>
          <w:kern w:val="0"/>
          <w:sz w:val="32"/>
          <w:szCs w:val="32"/>
        </w:rPr>
        <w:t>辆、其他用车</w:t>
      </w:r>
      <w:r>
        <w:rPr>
          <w:rFonts w:hint="eastAsia" w:eastAsia="仿宋_GB2312"/>
          <w:kern w:val="0"/>
          <w:sz w:val="32"/>
          <w:szCs w:val="32"/>
          <w:lang w:val="en-US" w:eastAsia="zh-CN"/>
        </w:rPr>
        <w:t>0</w:t>
      </w:r>
      <w:r>
        <w:rPr>
          <w:rFonts w:eastAsia="仿宋_GB2312"/>
          <w:kern w:val="0"/>
          <w:sz w:val="32"/>
          <w:szCs w:val="32"/>
        </w:rPr>
        <w:t>辆</w:t>
      </w:r>
      <w:r>
        <w:rPr>
          <w:rFonts w:hint="eastAsia" w:ascii="仿宋_GB2312" w:hAnsi="仿宋_GB2312" w:eastAsia="仿宋_GB2312" w:cs="仿宋_GB2312"/>
          <w:color w:val="000000"/>
          <w:kern w:val="0"/>
          <w:sz w:val="32"/>
          <w:szCs w:val="32"/>
        </w:rPr>
        <w:t>；单位无价值50万元以上通用设备；单位无价值100万元以上专用设备。</w:t>
      </w:r>
      <w:r>
        <w:rPr>
          <w:rFonts w:hint="eastAsia" w:ascii="仿宋_GB2312" w:hAnsi="仿宋_GB2312" w:eastAsia="仿宋_GB2312" w:cs="仿宋_GB2312"/>
          <w:color w:val="000000"/>
          <w:kern w:val="0"/>
          <w:sz w:val="32"/>
          <w:szCs w:val="32"/>
        </w:rPr>
        <w:br w:type="page"/>
      </w:r>
    </w:p>
    <w:p>
      <w:pPr>
        <w:pStyle w:val="10"/>
        <w:keepNext w:val="0"/>
        <w:keepLines w:val="0"/>
        <w:pageBreakBefore w:val="0"/>
        <w:kinsoku/>
        <w:wordWrap/>
        <w:overflowPunct/>
        <w:topLinePunct w:val="0"/>
        <w:bidi w:val="0"/>
        <w:snapToGrid/>
        <w:spacing w:beforeAutospacing="0" w:afterAutospacing="0" w:line="560" w:lineRule="atLeast"/>
        <w:jc w:val="center"/>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b/>
          <w:bCs/>
          <w:color w:val="000000"/>
          <w:kern w:val="0"/>
          <w:sz w:val="32"/>
          <w:szCs w:val="32"/>
        </w:rPr>
        <w:t>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（一）</w:t>
      </w:r>
      <w:r>
        <w:rPr>
          <w:rFonts w:hint="eastAsia" w:ascii="楷体_GB2312" w:hAnsi="楷体_GB2312" w:eastAsia="楷体_GB2312" w:cs="楷体_GB2312"/>
          <w:b/>
          <w:bCs/>
          <w:i w:val="0"/>
          <w:caps w:val="0"/>
          <w:color w:val="000000"/>
          <w:spacing w:val="0"/>
          <w:sz w:val="32"/>
          <w:szCs w:val="32"/>
          <w:shd w:val="clear" w:color="auto" w:fill="FFFFFF"/>
        </w:rPr>
        <w:t>机关运行经费</w:t>
      </w:r>
      <w:r>
        <w:rPr>
          <w:rFonts w:hint="eastAsia" w:ascii="仿宋_GB2312" w:hAnsi="仿宋_GB2312" w:eastAsia="仿宋_GB2312" w:cs="仿宋_GB2312"/>
          <w:i w:val="0"/>
          <w:caps w:val="0"/>
          <w:color w:val="000000"/>
          <w:spacing w:val="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（二）</w:t>
      </w:r>
      <w:r>
        <w:rPr>
          <w:rFonts w:hint="eastAsia" w:ascii="楷体_GB2312" w:hAnsi="楷体_GB2312" w:eastAsia="楷体_GB2312" w:cs="楷体_GB2312"/>
          <w:b/>
          <w:bCs/>
          <w:i w:val="0"/>
          <w:caps w:val="0"/>
          <w:color w:val="000000"/>
          <w:spacing w:val="0"/>
          <w:sz w:val="32"/>
          <w:szCs w:val="32"/>
          <w:shd w:val="clear" w:color="auto" w:fill="FFFFFF"/>
        </w:rPr>
        <w:t>“三公”经费。</w:t>
      </w:r>
      <w:r>
        <w:rPr>
          <w:rFonts w:hint="eastAsia" w:ascii="仿宋_GB2312" w:hAnsi="仿宋_GB2312" w:eastAsia="仿宋_GB2312" w:cs="仿宋_GB2312"/>
          <w:i w:val="0"/>
          <w:caps w:val="0"/>
          <w:color w:val="000000"/>
          <w:spacing w:val="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（三）</w:t>
      </w:r>
      <w:r>
        <w:rPr>
          <w:rFonts w:hint="eastAsia" w:ascii="楷体_GB2312" w:hAnsi="楷体_GB2312" w:eastAsia="楷体_GB2312" w:cs="楷体_GB2312"/>
          <w:b/>
          <w:bCs/>
          <w:i w:val="0"/>
          <w:caps w:val="0"/>
          <w:color w:val="000000"/>
          <w:spacing w:val="0"/>
          <w:sz w:val="32"/>
          <w:szCs w:val="32"/>
          <w:shd w:val="clear" w:color="auto" w:fill="FFFFFF"/>
        </w:rPr>
        <w:t>基本支出。</w:t>
      </w:r>
      <w:r>
        <w:rPr>
          <w:rFonts w:hint="eastAsia" w:ascii="仿宋_GB2312" w:hAnsi="仿宋_GB2312" w:eastAsia="仿宋_GB2312" w:cs="仿宋_GB2312"/>
          <w:i w:val="0"/>
          <w:caps w:val="0"/>
          <w:color w:val="000000"/>
          <w:spacing w:val="0"/>
          <w:sz w:val="32"/>
          <w:szCs w:val="32"/>
          <w:shd w:val="clear" w:color="auto" w:fill="FFFFFF"/>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（四）</w:t>
      </w:r>
      <w:r>
        <w:rPr>
          <w:rFonts w:hint="eastAsia" w:ascii="楷体_GB2312" w:hAnsi="楷体_GB2312" w:eastAsia="楷体_GB2312" w:cs="楷体_GB2312"/>
          <w:b/>
          <w:bCs/>
          <w:i w:val="0"/>
          <w:caps w:val="0"/>
          <w:color w:val="000000"/>
          <w:spacing w:val="0"/>
          <w:sz w:val="32"/>
          <w:szCs w:val="32"/>
          <w:shd w:val="clear" w:color="auto" w:fill="FFFFFF"/>
        </w:rPr>
        <w:t>项目支出。</w:t>
      </w:r>
      <w:r>
        <w:rPr>
          <w:rFonts w:hint="eastAsia" w:ascii="仿宋_GB2312" w:hAnsi="仿宋_GB2312" w:eastAsia="仿宋_GB2312" w:cs="仿宋_GB2312"/>
          <w:i w:val="0"/>
          <w:caps w:val="0"/>
          <w:color w:val="000000"/>
          <w:spacing w:val="0"/>
          <w:sz w:val="32"/>
          <w:szCs w:val="32"/>
          <w:shd w:val="clear" w:color="auto" w:fill="FFFFFF"/>
        </w:rPr>
        <w:t>指在基本支出之外为完成特定行政任务和事业发展目标所发生的支出。</w:t>
      </w:r>
    </w:p>
    <w:p>
      <w:pPr>
        <w:widowControl/>
        <w:numPr>
          <w:ilvl w:val="0"/>
          <w:numId w:val="0"/>
        </w:numPr>
        <w:spacing w:line="600" w:lineRule="exact"/>
        <w:jc w:val="both"/>
        <w:rPr>
          <w:rFonts w:hint="eastAsia" w:ascii="黑体" w:hAnsi="黑体" w:eastAsia="黑体" w:cs="黑体"/>
          <w:b/>
          <w:bCs w:val="0"/>
          <w:kern w:val="0"/>
          <w:sz w:val="36"/>
          <w:szCs w:val="36"/>
          <w:lang w:eastAsia="zh-CN"/>
        </w:rPr>
      </w:pPr>
    </w:p>
    <w:p>
      <w:pPr>
        <w:widowControl/>
        <w:numPr>
          <w:ilvl w:val="0"/>
          <w:numId w:val="4"/>
        </w:numPr>
        <w:spacing w:line="600" w:lineRule="exact"/>
        <w:jc w:val="center"/>
        <w:rPr>
          <w:rFonts w:hint="eastAsia" w:ascii="黑体" w:hAnsi="黑体" w:eastAsia="黑体" w:cs="黑体"/>
          <w:b/>
          <w:bCs w:val="0"/>
          <w:kern w:val="0"/>
          <w:sz w:val="36"/>
          <w:szCs w:val="36"/>
          <w:lang w:eastAsia="zh-CN"/>
        </w:rPr>
      </w:pPr>
      <w:r>
        <w:rPr>
          <w:rFonts w:hint="eastAsia" w:ascii="黑体" w:hAnsi="黑体" w:eastAsia="黑体" w:cs="黑体"/>
          <w:b/>
          <w:bCs w:val="0"/>
          <w:kern w:val="0"/>
          <w:sz w:val="36"/>
          <w:szCs w:val="36"/>
          <w:lang w:eastAsia="zh-CN"/>
        </w:rPr>
        <w:t>附件</w:t>
      </w:r>
    </w:p>
    <w:p>
      <w:pPr>
        <w:pStyle w:val="2"/>
        <w:numPr>
          <w:ilvl w:val="0"/>
          <w:numId w:val="0"/>
        </w:numPr>
        <w:rPr>
          <w:rFonts w:hint="eastAsia"/>
          <w:lang w:eastAsia="zh-CN"/>
        </w:rPr>
      </w:pPr>
    </w:p>
    <w:p>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lang w:val="en-US" w:eastAsia="zh-CN"/>
        </w:rPr>
        <w:t>蓝山县第一中学2021</w:t>
      </w:r>
      <w:r>
        <w:rPr>
          <w:rFonts w:hint="eastAsia" w:ascii="仿宋_GB2312" w:hAnsi="仿宋_GB2312" w:eastAsia="仿宋_GB2312" w:cs="仿宋_GB2312"/>
          <w:b/>
          <w:bCs/>
          <w:color w:val="3F3F3F"/>
          <w:sz w:val="32"/>
          <w:szCs w:val="32"/>
        </w:rPr>
        <w:t>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9"/>
        <w:numPr>
          <w:ilvl w:val="0"/>
          <w:numId w:val="5"/>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9"/>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主要职能</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学校业务范围为：实施九年义务教育，促进基础教育发展。初中学历教育相关社会服务。 </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学校办学宗旨：坚持中国特色社会主义办学方向，认真贯彻执行党的教育方针，实施</w:t>
      </w:r>
      <w:r>
        <w:rPr>
          <w:rFonts w:hint="eastAsia" w:ascii="仿宋_GB2312" w:hAnsi="仿宋_GB2312" w:eastAsia="仿宋_GB2312" w:cs="仿宋_GB2312"/>
          <w:sz w:val="32"/>
          <w:szCs w:val="32"/>
          <w:lang w:eastAsia="zh-CN"/>
        </w:rPr>
        <w:t>九年</w:t>
      </w:r>
      <w:r>
        <w:rPr>
          <w:rFonts w:hint="eastAsia" w:ascii="仿宋_GB2312" w:hAnsi="仿宋_GB2312" w:eastAsia="仿宋_GB2312" w:cs="仿宋_GB2312"/>
          <w:sz w:val="32"/>
          <w:szCs w:val="32"/>
        </w:rPr>
        <w:t>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学校组织机构情况</w:t>
      </w:r>
      <w:r>
        <w:rPr>
          <w:rFonts w:hint="eastAsia" w:ascii="仿宋_GB2312" w:hAnsi="仿宋_GB2312" w:eastAsia="仿宋_GB2312" w:cs="仿宋_GB2312"/>
          <w:sz w:val="32"/>
          <w:szCs w:val="32"/>
          <w:lang w:eastAsia="zh-CN"/>
        </w:rPr>
        <w:t>：学校是一个财政全额拨款的事业单位。单位现有校长一名，副校长三名，现有下设机构七个：学校办公室一个，设办公室主任一名，办公室副主任一名；工会委员会一个，设有工会主席一名，工会委员二名；教务处一个，设有教务主任一名，教务副主任两名，教科主任一名；政教处一个，设有政教主任一名，政教副主任两名，政教干事一名；学校团支部一个，设有团支部书记一名；总务处一个，总务主任一名，总务副主任一名；财务室一个，设有会计一名，出纳一名。</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学校人员情况：本学校现事业编制人数为144人。具体人员成份为：本校在职人员140人，其中中小学教师136人，工人4人，借调县教育局4人。单位现有退休人员99人。学校聘用临时工作人员17人。</w:t>
      </w:r>
    </w:p>
    <w:p>
      <w:pPr>
        <w:pStyle w:val="9"/>
        <w:numPr>
          <w:ilvl w:val="0"/>
          <w:numId w:val="0"/>
        </w:numPr>
        <w:shd w:val="clear" w:color="auto" w:fill="FFFFFF"/>
        <w:spacing w:line="56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hd w:val="clear" w:color="auto" w:fill="FFFFFF"/>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1、优化教师队伍建设，教师发展成效明显。</w:t>
      </w:r>
    </w:p>
    <w:p>
      <w:pPr>
        <w:shd w:val="clear" w:color="auto" w:fill="FFFFFF"/>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参加县级中学全学科教学培训观摩活动的有130余人次，参加县级各学科专题研讨会的有30余人次。抓好教师素质年活动和校本培训工作，做到有计划、有目标、有措施、有总结，全体教师积极参与，此项工作受到上级领导的一致好评。本校有蓝山县名师工作室两个：初中物理名师工作室、初中政史名师工作室。本年度教师学科晒课活动中，学校获“市优秀组织奖”，教师获省优课一节，市优课四节。</w:t>
      </w:r>
    </w:p>
    <w:p>
      <w:pPr>
        <w:shd w:val="clear" w:color="auto" w:fill="FFFFFF"/>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2、重视校园文化建设，促进学校内涵发展。</w:t>
      </w:r>
    </w:p>
    <w:p>
      <w:pPr>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校园文化包括物质文化和精神文</w:t>
      </w:r>
      <w:r>
        <w:rPr>
          <w:rFonts w:hint="eastAsia" w:ascii="仿宋_GB2312" w:hAnsi="仿宋_GB2312" w:eastAsia="仿宋_GB2312" w:cs="仿宋_GB2312"/>
          <w:sz w:val="32"/>
          <w:szCs w:val="32"/>
          <w:lang w:eastAsia="zh-CN"/>
        </w:rPr>
        <w:t>化。在物质文化建设方面，我们根据学校校园的实际，购置了乒乓台、体育器材、实验器材等。在精神文化方面，我校开展了音乐、美术特色创建活动，</w:t>
      </w:r>
      <w:r>
        <w:rPr>
          <w:rFonts w:hint="eastAsia" w:ascii="仿宋_GB2312" w:hAnsi="仿宋_GB2312" w:eastAsia="仿宋_GB2312" w:cs="仿宋_GB2312"/>
          <w:sz w:val="32"/>
          <w:szCs w:val="32"/>
          <w:lang w:val="en-US" w:eastAsia="zh-CN"/>
        </w:rPr>
        <w:t>中国传统文化经典诵读活动</w:t>
      </w:r>
      <w:r>
        <w:rPr>
          <w:rFonts w:hint="eastAsia" w:ascii="仿宋_GB2312" w:hAnsi="仿宋_GB2312" w:eastAsia="仿宋_GB2312" w:cs="仿宋_GB2312"/>
          <w:sz w:val="32"/>
          <w:szCs w:val="32"/>
          <w:lang w:eastAsia="zh-CN"/>
        </w:rPr>
        <w:t>，学生的人文素养有大幅提高。学校还组织了武术、美术、舞蹈等课外活动小组，这样的活动不仅丰富了学生们的课余生活，也给学校留下一道靓丽的风景。</w:t>
      </w:r>
    </w:p>
    <w:p>
      <w:pPr>
        <w:shd w:val="clear" w:color="auto" w:fill="FFFFFF"/>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3．教育教学效果显著。</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年来我校全面贯彻党的教育方针，加强对学生的日常教育，注重学生品质的培养，注重对学生的潜移默化，让学生在日常生活、学习中得到品质的提升。加强教学管理工作，教务处做好各种教学常规管理，做到抽查、周查与月查相结合。教师注重对学生的培优补差，赢得了教学效果的不断提升。学校被定为蓝山县“国培基地学校”、是县禁毒教育基地校、红色文化进</w:t>
      </w:r>
      <w:r>
        <w:rPr>
          <w:rFonts w:hint="eastAsia" w:ascii="仿宋_GB2312" w:hAnsi="仿宋_GB2312" w:eastAsia="仿宋_GB2312" w:cs="仿宋_GB2312"/>
          <w:sz w:val="32"/>
          <w:szCs w:val="32"/>
          <w:lang w:val="en-US" w:eastAsia="zh-CN"/>
        </w:rPr>
        <w:t>校园</w:t>
      </w:r>
      <w:r>
        <w:rPr>
          <w:rFonts w:hint="eastAsia" w:ascii="仿宋_GB2312" w:hAnsi="仿宋_GB2312" w:eastAsia="仿宋_GB2312" w:cs="仿宋_GB2312"/>
          <w:sz w:val="32"/>
          <w:szCs w:val="32"/>
          <w:lang w:eastAsia="zh-CN"/>
        </w:rPr>
        <w:t>示范学校。</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1983.9</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 xml:space="preserve">        1983.9</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1983.9万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，其中财政拨款收入</w:t>
      </w:r>
      <w:r>
        <w:rPr>
          <w:rFonts w:hint="eastAsia" w:ascii="仿宋_GB2312" w:hAnsi="仿宋_GB2312" w:eastAsia="仿宋_GB2312" w:cs="仿宋_GB2312"/>
          <w:sz w:val="32"/>
          <w:szCs w:val="32"/>
          <w:lang w:val="en-US" w:eastAsia="zh-CN"/>
        </w:rPr>
        <w:t xml:space="preserve">   1983.9</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1983.9</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 xml:space="preserve">   1983.9</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1983.9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1606.65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 xml:space="preserve">   314.14</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 xml:space="preserve"> 63.11</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 xml:space="preserve">    1983.9</w:t>
      </w:r>
      <w:r>
        <w:rPr>
          <w:rFonts w:hint="eastAsia" w:ascii="仿宋_GB2312" w:hAnsi="仿宋_GB2312" w:eastAsia="仿宋_GB2312" w:cs="仿宋_GB2312"/>
          <w:sz w:val="32"/>
          <w:szCs w:val="32"/>
        </w:rPr>
        <w:t>万元，其中：工资福利支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1606.65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314.14</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63.11</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1、2021</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 xml:space="preserve"> 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支出</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numPr>
          <w:ilvl w:val="0"/>
          <w:numId w:val="6"/>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pPr>
        <w:shd w:val="clear" w:color="auto" w:fill="FFFFFF"/>
        <w:spacing w:line="560" w:lineRule="exact"/>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年度评价得分为9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.5分。部门整体支出绩效情况如下</w:t>
      </w:r>
      <w:r>
        <w:rPr>
          <w:rFonts w:hint="eastAsia" w:ascii="仿宋_GB2312" w:hAnsi="仿宋_GB2312" w:eastAsia="仿宋_GB2312" w:cs="仿宋_GB2312"/>
          <w:sz w:val="32"/>
          <w:szCs w:val="32"/>
          <w:lang w:eastAsia="zh-CN"/>
        </w:rPr>
        <w:t>：</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1．预算配置控制较好。“三公”经费较上年有大幅下降，下降金额为</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2．预算执行比较到位。支出总额控制在预算总额以内，全年无截留或滞留专项资金情况。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3.预算管理较为理想，制度执行总体较为有效，但仍需进一步强化。</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(1)“三公”经费总体控制较好，较本年预算和上年决算支出数有小幅下降,“三公”经费控制率为100%.</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(2）政府采购执行率达到100%，对于单位的政府采购项目，凡单位购买属于政府采购范围内的货物、工程和服务，严格遵守政府采购相关法律法规的规定办理相关审批手续</w:t>
      </w:r>
      <w:r>
        <w:rPr>
          <w:rFonts w:hint="eastAsia" w:ascii="仿宋_GB2312" w:hAnsi="仿宋_GB2312" w:eastAsia="仿宋_GB2312" w:cs="仿宋_GB2312"/>
          <w:sz w:val="32"/>
          <w:szCs w:val="32"/>
          <w:lang w:val="en-US" w:eastAsia="zh-CN"/>
        </w:rPr>
        <w:t>并在政采云平台采购</w:t>
      </w:r>
      <w:r>
        <w:rPr>
          <w:rFonts w:hint="eastAsia" w:ascii="仿宋_GB2312" w:hAnsi="仿宋_GB2312" w:eastAsia="仿宋_GB2312" w:cs="仿宋_GB2312"/>
          <w:sz w:val="32"/>
          <w:szCs w:val="32"/>
        </w:rPr>
        <w:t>。</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制度健全。我们严格预算管理，切实按照相关管理制度要求，修改完善了《财务管理规定》《资产管理规定》《公务接待管理规定》《内部审计制度》《差旅费、会议费、培训费管理规定》《会计核算制度》等工作制度，进一步明确了财政预算资金审批手续和拨付程序、机关行政经费审批手续和报销程序，加强了财务管理，规范了收支行为，保证了财务管理工作规范有序进行。</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使用管理逐步加强。单位支出严格按照国家财经法规和财务管理制度规定执行，正确组织资金的筹集、调度和使用，费用开支有标准、有预算，债权债务及时结算、结清。所有支出均通过我单位财政直接支付方式办理，资金使用无截留、挤占、挪用、虚列支出等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(5）部门预算收支严格按年初部门预算方案执行，部门预决算、“三公”经费预决算信息均按要求及时进行了公开。</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1、预算编制工作有待细化。预算编制不够明确和细化，预算编制的合理性需要提高，预算执行力度还要进一步加强。</w:t>
      </w:r>
    </w:p>
    <w:p>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2、因单位人员较多导致经费不足:绩效工资和日常公用经费不足。</w:t>
      </w:r>
    </w:p>
    <w:p>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、改进措施和有关建议</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针对上述存在的问题及对外整体支出管理工作的需要，拟实施的改进措施如下:</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完善资产管理，抓好“三公”经费控制。严格编制政府采购年初预算和计划，规范各类资产的购置审批制度、资产采购管理制度、资产使用管理制度、资产处置和报废审批制度、资产管理岗位职责制度等，加强单位内部的资产管理工作。严格控制“三公”经费的规模和比例，把关“三公”经费支出的审核、审批，杜绝挪用和挤占其他预算资金行为;进一步细化“</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公”经费的管理，合理压缩“三公”经费支出。</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4、对相关人员加强培训，特别是针对《预算法》、《行政事业单位会计制度》等学习培训，规范部门预算收支核算，切实提高部门预算收支管理水平。</w:t>
      </w:r>
    </w:p>
    <w:p>
      <w:pPr>
        <w:shd w:val="clear" w:color="auto" w:fill="FFFFFF"/>
        <w:spacing w:line="560" w:lineRule="exact"/>
        <w:ind w:firstLine="480"/>
        <w:rPr>
          <w:rFonts w:hint="default" w:ascii="仿宋_GB2312" w:hAnsi="仿宋_GB2312" w:eastAsia="仿宋_GB2312" w:cs="仿宋_GB2312"/>
          <w:sz w:val="32"/>
          <w:szCs w:val="32"/>
          <w:lang w:val="en-US" w:eastAsia="zh-CN"/>
        </w:rPr>
      </w:pPr>
    </w:p>
    <w:p>
      <w:pPr>
        <w:shd w:val="clear" w:color="auto" w:fill="FFFFFF"/>
        <w:spacing w:line="560" w:lineRule="exac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24576"/>
    <w:multiLevelType w:val="singleLevel"/>
    <w:tmpl w:val="98624576"/>
    <w:lvl w:ilvl="0" w:tentative="0">
      <w:start w:val="3"/>
      <w:numFmt w:val="chineseCounting"/>
      <w:suff w:val="space"/>
      <w:lvlText w:val="第%1部分"/>
      <w:lvlJc w:val="left"/>
      <w:rPr>
        <w:rFonts w:hint="eastAsia"/>
      </w:rPr>
    </w:lvl>
  </w:abstractNum>
  <w:abstractNum w:abstractNumId="1">
    <w:nsid w:val="DCD2D030"/>
    <w:multiLevelType w:val="singleLevel"/>
    <w:tmpl w:val="DCD2D030"/>
    <w:lvl w:ilvl="0" w:tentative="0">
      <w:start w:val="2"/>
      <w:numFmt w:val="chineseCounting"/>
      <w:suff w:val="nothing"/>
      <w:lvlText w:val="（%1）"/>
      <w:lvlJc w:val="left"/>
      <w:rPr>
        <w:rFonts w:hint="eastAsia"/>
      </w:rPr>
    </w:lvl>
  </w:abstractNum>
  <w:abstractNum w:abstractNumId="2">
    <w:nsid w:val="02AF0D35"/>
    <w:multiLevelType w:val="singleLevel"/>
    <w:tmpl w:val="02AF0D35"/>
    <w:lvl w:ilvl="0" w:tentative="0">
      <w:start w:val="2"/>
      <w:numFmt w:val="chineseCounting"/>
      <w:suff w:val="nothing"/>
      <w:lvlText w:val="（%1）"/>
      <w:lvlJc w:val="left"/>
      <w:rPr>
        <w:rFonts w:hint="eastAsia"/>
      </w:rPr>
    </w:lvl>
  </w:abstractNum>
  <w:abstractNum w:abstractNumId="3">
    <w:nsid w:val="43469F99"/>
    <w:multiLevelType w:val="singleLevel"/>
    <w:tmpl w:val="43469F99"/>
    <w:lvl w:ilvl="0" w:tentative="0">
      <w:start w:val="5"/>
      <w:numFmt w:val="chineseCounting"/>
      <w:suff w:val="space"/>
      <w:lvlText w:val="第%1部分"/>
      <w:lvlJc w:val="left"/>
      <w:rPr>
        <w:rFonts w:hint="eastAsia"/>
      </w:rPr>
    </w:lvl>
  </w:abstractNum>
  <w:abstractNum w:abstractNumId="4">
    <w:nsid w:val="4A3B4517"/>
    <w:multiLevelType w:val="singleLevel"/>
    <w:tmpl w:val="4A3B4517"/>
    <w:lvl w:ilvl="0" w:tentative="0">
      <w:start w:val="4"/>
      <w:numFmt w:val="chineseCounting"/>
      <w:suff w:val="nothing"/>
      <w:lvlText w:val="%1、"/>
      <w:lvlJc w:val="left"/>
      <w:rPr>
        <w:rFonts w:hint="eastAsia"/>
      </w:rPr>
    </w:lvl>
  </w:abstractNum>
  <w:abstractNum w:abstractNumId="5">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00000"/>
    <w:rsid w:val="0C4E4B43"/>
    <w:rsid w:val="103E1DFA"/>
    <w:rsid w:val="117615F4"/>
    <w:rsid w:val="13E175CD"/>
    <w:rsid w:val="25184F01"/>
    <w:rsid w:val="26C42ED9"/>
    <w:rsid w:val="38E120F2"/>
    <w:rsid w:val="3A745A23"/>
    <w:rsid w:val="41BD6015"/>
    <w:rsid w:val="565471B4"/>
    <w:rsid w:val="5D9E44BF"/>
    <w:rsid w:val="7B7E160D"/>
    <w:rsid w:val="7FA4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9066</Words>
  <Characters>10511</Characters>
  <Lines>0</Lines>
  <Paragraphs>0</Paragraphs>
  <TotalTime>6</TotalTime>
  <ScaleCrop>false</ScaleCrop>
  <LinksUpToDate>false</LinksUpToDate>
  <CharactersWithSpaces>11592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57469</dc:creator>
  <cp:lastModifiedBy>资</cp:lastModifiedBy>
  <dcterms:modified xsi:type="dcterms:W3CDTF">2023-09-11T06:38:02Z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64FCC218F55D4BBE92601369C2C09124</vt:lpwstr>
  </property>
</Properties>
</file>