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center"/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u w:val="none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u w:val="none"/>
          <w:lang w:val="en-US" w:eastAsia="zh-CN"/>
        </w:rPr>
        <w:t>2022</w:t>
      </w: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u w:val="none"/>
        </w:rPr>
        <w:t>年蓝山县楠市镇楠市中心小学</w:t>
      </w: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u w:val="none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u w:val="none"/>
        </w:rPr>
        <w:t>部门预算</w:t>
      </w: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  <w:highlight w:val="none"/>
          <w:u w:val="none"/>
        </w:rPr>
      </w:pPr>
      <w:r>
        <w:rPr>
          <w:rFonts w:eastAsia="黑体"/>
          <w:bCs/>
          <w:kern w:val="0"/>
          <w:sz w:val="32"/>
          <w:szCs w:val="32"/>
          <w:highlight w:val="none"/>
          <w:u w:val="none"/>
        </w:rPr>
        <w:t>目 录</w:t>
      </w:r>
    </w:p>
    <w:p>
      <w:pPr>
        <w:widowControl/>
        <w:spacing w:line="600" w:lineRule="exact"/>
        <w:ind w:firstLine="643" w:firstLineChars="200"/>
        <w:rPr>
          <w:rFonts w:eastAsia="方正小标宋_GBK"/>
          <w:bCs/>
          <w:kern w:val="0"/>
          <w:sz w:val="32"/>
          <w:szCs w:val="32"/>
          <w:highlight w:val="none"/>
          <w:u w:val="none"/>
        </w:rPr>
      </w:pPr>
      <w:r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  <w:t xml:space="preserve">第一部分 </w:t>
      </w:r>
      <w:r>
        <w:rPr>
          <w:rFonts w:hint="eastAsia" w:eastAsia="方正小标宋_GBK"/>
          <w:b/>
          <w:bCs/>
          <w:kern w:val="0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  <w:t>年部门预算说明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</w:pPr>
      <w:r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  <w:t xml:space="preserve">第二部分 </w:t>
      </w:r>
      <w:r>
        <w:rPr>
          <w:rFonts w:hint="eastAsia" w:eastAsia="仿宋_GB2312"/>
          <w:b/>
          <w:bCs/>
          <w:kern w:val="0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  <w:t>年部门预算表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1、部门收支总体情况表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2、部门收入总体情况表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3、部门支出总体情况表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4、财政拨款收支情况表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5、一般公共预算支出表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6、一般公共预算基本支出表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7、一般公共预算“三公”经费支出表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</w:rPr>
        <w:t>8、政府性基金预算支出情况表</w:t>
      </w:r>
    </w:p>
    <w:p>
      <w:pPr>
        <w:widowControl/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9、项目支出绩效目标表</w:t>
      </w:r>
    </w:p>
    <w:p>
      <w:pPr>
        <w:widowControl/>
        <w:spacing w:line="600" w:lineRule="exact"/>
        <w:ind w:firstLine="640" w:firstLineChars="200"/>
        <w:rPr>
          <w:rFonts w:hint="default" w:eastAsia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10、整体支出绩效目标表</w:t>
      </w:r>
    </w:p>
    <w:p>
      <w:pPr>
        <w:widowControl/>
        <w:spacing w:line="600" w:lineRule="exact"/>
        <w:ind w:firstLine="640" w:firstLineChars="200"/>
        <w:rPr>
          <w:rFonts w:eastAsia="仿宋_GB2312"/>
          <w:bCs/>
          <w:kern w:val="0"/>
          <w:sz w:val="32"/>
          <w:szCs w:val="32"/>
          <w:highlight w:val="none"/>
          <w:u w:val="none"/>
        </w:rPr>
      </w:pP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注：以上部门预算报表中，空表表示本部门无相关收支情况。</w:t>
      </w:r>
    </w:p>
    <w:p>
      <w:pPr>
        <w:widowControl/>
        <w:spacing w:line="600" w:lineRule="exact"/>
        <w:ind w:left="2880" w:hanging="2880" w:hangingChars="600"/>
        <w:jc w:val="left"/>
        <w:rPr>
          <w:rFonts w:hint="eastAsia" w:eastAsia="方正小标宋_GBK"/>
          <w:bCs/>
          <w:kern w:val="0"/>
          <w:sz w:val="48"/>
          <w:szCs w:val="48"/>
          <w:highlight w:val="none"/>
          <w:u w:val="none"/>
          <w:lang w:val="en-US" w:eastAsia="zh-CN"/>
        </w:rPr>
      </w:pPr>
    </w:p>
    <w:p>
      <w:pPr>
        <w:widowControl/>
        <w:spacing w:line="600" w:lineRule="exact"/>
        <w:ind w:left="2880" w:hanging="2880" w:hangingChars="600"/>
        <w:jc w:val="left"/>
        <w:rPr>
          <w:rFonts w:hint="eastAsia" w:eastAsia="方正小标宋_GBK"/>
          <w:bCs/>
          <w:kern w:val="0"/>
          <w:sz w:val="48"/>
          <w:szCs w:val="48"/>
          <w:highlight w:val="none"/>
          <w:u w:val="none"/>
          <w:lang w:val="en-US" w:eastAsia="zh-CN"/>
        </w:rPr>
      </w:pPr>
    </w:p>
    <w:p>
      <w:pPr>
        <w:widowControl/>
        <w:spacing w:line="600" w:lineRule="exact"/>
        <w:ind w:left="2880" w:hanging="2880" w:hangingChars="600"/>
        <w:jc w:val="left"/>
        <w:rPr>
          <w:rFonts w:hint="eastAsia" w:eastAsia="方正小标宋_GBK"/>
          <w:bCs/>
          <w:kern w:val="0"/>
          <w:sz w:val="48"/>
          <w:szCs w:val="48"/>
          <w:highlight w:val="none"/>
          <w:u w:val="none"/>
          <w:lang w:val="en-US" w:eastAsia="zh-CN"/>
        </w:rPr>
      </w:pPr>
    </w:p>
    <w:p>
      <w:pPr>
        <w:widowControl/>
        <w:spacing w:line="600" w:lineRule="exact"/>
        <w:ind w:left="2880" w:hanging="2880" w:hangingChars="600"/>
        <w:jc w:val="left"/>
        <w:rPr>
          <w:rFonts w:hint="eastAsia" w:eastAsia="方正小标宋_GBK"/>
          <w:bCs/>
          <w:kern w:val="0"/>
          <w:sz w:val="48"/>
          <w:szCs w:val="48"/>
          <w:highlight w:val="none"/>
          <w:u w:val="none"/>
          <w:lang w:val="en-US" w:eastAsia="zh-CN"/>
        </w:rPr>
      </w:pPr>
    </w:p>
    <w:p>
      <w:pPr>
        <w:widowControl/>
        <w:spacing w:line="600" w:lineRule="exact"/>
        <w:ind w:left="2880" w:hanging="2880" w:hangingChars="600"/>
        <w:jc w:val="left"/>
        <w:rPr>
          <w:rFonts w:hint="eastAsia" w:eastAsia="方正小标宋_GBK"/>
          <w:bCs/>
          <w:kern w:val="0"/>
          <w:sz w:val="48"/>
          <w:szCs w:val="48"/>
          <w:highlight w:val="none"/>
          <w:u w:val="none"/>
          <w:lang w:val="en-US" w:eastAsia="zh-CN"/>
        </w:rPr>
      </w:pPr>
    </w:p>
    <w:p>
      <w:pPr>
        <w:widowControl/>
        <w:spacing w:line="600" w:lineRule="exact"/>
        <w:ind w:left="2880" w:hanging="2880" w:hangingChars="600"/>
        <w:jc w:val="left"/>
        <w:rPr>
          <w:rFonts w:hint="eastAsia" w:eastAsia="方正小标宋_GBK"/>
          <w:bCs/>
          <w:kern w:val="0"/>
          <w:sz w:val="48"/>
          <w:szCs w:val="48"/>
          <w:highlight w:val="none"/>
          <w:u w:val="none"/>
          <w:lang w:val="en-US" w:eastAsia="zh-CN"/>
        </w:rPr>
      </w:pPr>
    </w:p>
    <w:p>
      <w:pPr>
        <w:widowControl/>
        <w:spacing w:line="600" w:lineRule="exact"/>
        <w:ind w:left="2880" w:hanging="2880" w:hangingChars="600"/>
        <w:jc w:val="left"/>
        <w:rPr>
          <w:rFonts w:hint="eastAsia" w:eastAsia="方正小标宋_GBK"/>
          <w:bCs/>
          <w:kern w:val="0"/>
          <w:sz w:val="48"/>
          <w:szCs w:val="48"/>
          <w:highlight w:val="none"/>
          <w:u w:val="none"/>
          <w:lang w:val="en-US" w:eastAsia="zh-CN"/>
        </w:rPr>
      </w:pPr>
    </w:p>
    <w:p>
      <w:pPr>
        <w:widowControl/>
        <w:spacing w:line="600" w:lineRule="exact"/>
        <w:jc w:val="center"/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u w:val="none"/>
          <w:lang w:val="en-US" w:eastAsia="zh-CN"/>
        </w:rPr>
      </w:pPr>
    </w:p>
    <w:p>
      <w:pPr>
        <w:widowControl/>
        <w:numPr>
          <w:ilvl w:val="0"/>
          <w:numId w:val="1"/>
        </w:numPr>
        <w:spacing w:line="600" w:lineRule="exact"/>
        <w:ind w:left="2880" w:hanging="2640" w:hangingChars="600"/>
        <w:jc w:val="center"/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u w:val="none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highlight w:val="none"/>
          <w:u w:val="none"/>
        </w:rPr>
        <w:t>2022年部门预算说明</w:t>
      </w:r>
    </w:p>
    <w:p>
      <w:pPr>
        <w:widowControl/>
        <w:numPr>
          <w:ilvl w:val="0"/>
          <w:numId w:val="0"/>
        </w:numPr>
        <w:spacing w:line="600" w:lineRule="exact"/>
        <w:ind w:left="-1260" w:leftChars="-600" w:firstLine="0" w:firstLineChars="0"/>
        <w:jc w:val="both"/>
        <w:rPr>
          <w:rFonts w:hint="default" w:ascii="黑体" w:hAnsi="黑体" w:eastAsia="黑体" w:cs="黑体"/>
          <w:bCs/>
          <w:kern w:val="0"/>
          <w:sz w:val="44"/>
          <w:szCs w:val="44"/>
          <w:highlight w:val="none"/>
          <w:u w:val="none"/>
          <w:lang w:val="en-US" w:eastAsia="zh-CN"/>
        </w:rPr>
      </w:pPr>
    </w:p>
    <w:p>
      <w:pPr>
        <w:widowControl/>
        <w:spacing w:line="600" w:lineRule="exact"/>
        <w:ind w:firstLine="627" w:firstLineChars="196"/>
        <w:jc w:val="left"/>
        <w:rPr>
          <w:rFonts w:eastAsia="黑体"/>
          <w:bCs/>
          <w:kern w:val="0"/>
          <w:sz w:val="32"/>
          <w:szCs w:val="32"/>
          <w:highlight w:val="none"/>
          <w:u w:val="none"/>
        </w:rPr>
      </w:pPr>
      <w:r>
        <w:rPr>
          <w:rFonts w:eastAsia="黑体"/>
          <w:bCs/>
          <w:kern w:val="0"/>
          <w:sz w:val="32"/>
          <w:szCs w:val="32"/>
          <w:highlight w:val="none"/>
          <w:u w:val="none"/>
        </w:rPr>
        <w:t>一、部门基本概况</w:t>
      </w:r>
    </w:p>
    <w:p>
      <w:pPr>
        <w:widowControl/>
        <w:numPr>
          <w:ilvl w:val="0"/>
          <w:numId w:val="2"/>
        </w:numPr>
        <w:spacing w:line="540" w:lineRule="exact"/>
        <w:ind w:firstLine="643" w:firstLineChars="200"/>
        <w:jc w:val="left"/>
        <w:rPr>
          <w:rFonts w:hint="eastAsia" w:eastAsia="楷体_GB2312"/>
          <w:b/>
          <w:sz w:val="32"/>
          <w:szCs w:val="32"/>
          <w:highlight w:val="none"/>
          <w:u w:val="none"/>
          <w:lang w:eastAsia="zh-CN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职能职责</w:t>
      </w:r>
      <w:r>
        <w:rPr>
          <w:rFonts w:hint="eastAsia" w:eastAsia="楷体_GB2312"/>
          <w:b/>
          <w:sz w:val="32"/>
          <w:szCs w:val="32"/>
          <w:highlight w:val="none"/>
          <w:u w:val="none"/>
          <w:lang w:eastAsia="zh-CN"/>
        </w:rPr>
        <w:t>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学校办学原则、宗旨：坚持中国特色社会主义办学方向，认真贯彻执行党的教育方针，实施小学、初中义务教育，促进基础教育发展，严格落实《教育法》《义务教育法》《教师法》等法律法规；全面实施素质教育，培育和践行社会主义核心价值观，坚持德育为先，培育德智体美劳全面发展的社会主义建设者和接班人。 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>学校业务范围为： 小学义务教育，促进基础义务教育的发展。搞好教育教学工作。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（二）机构设置。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 w:bidi="ar-SA"/>
        </w:rPr>
        <w:t>学校是一个财政全额拨款的事业单位。单位现有校长一名，副校长三名，其他机构成员七名：工会办公室1个，工会主席一名，教务处一个，设有教务主任1名，教务副主任1名，政教处一个，政教主任1名，少先队辅导员1名，财务室一个，设有会计1名，出纳1名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>我校现有教职工84人，（其中在职在编教师76、幼儿园教师6人、工勤人员2人），退休教师52人。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7" w:firstLineChars="196"/>
        <w:jc w:val="left"/>
        <w:textAlignment w:val="auto"/>
        <w:rPr>
          <w:rFonts w:ascii="Times New Roman" w:hAnsi="Times New Roman" w:eastAsia="黑体" w:cs="Times New Roman"/>
          <w:bCs/>
          <w:kern w:val="0"/>
          <w:sz w:val="32"/>
          <w:szCs w:val="32"/>
          <w:highlight w:val="none"/>
          <w:u w:val="none"/>
        </w:rPr>
      </w:pPr>
      <w:r>
        <w:rPr>
          <w:rFonts w:hint="eastAsia" w:ascii="Times New Roman" w:hAnsi="Times New Roman" w:eastAsia="黑体" w:cs="Times New Roman"/>
          <w:bCs/>
          <w:kern w:val="0"/>
          <w:sz w:val="32"/>
          <w:szCs w:val="32"/>
          <w:highlight w:val="none"/>
          <w:u w:val="none"/>
          <w:lang w:eastAsia="zh-CN"/>
        </w:rPr>
        <w:t>二、</w:t>
      </w:r>
      <w:r>
        <w:rPr>
          <w:rFonts w:ascii="Times New Roman" w:hAnsi="Times New Roman" w:eastAsia="黑体" w:cs="Times New Roman"/>
          <w:bCs/>
          <w:kern w:val="0"/>
          <w:sz w:val="32"/>
          <w:szCs w:val="32"/>
          <w:highlight w:val="none"/>
          <w:u w:val="none"/>
        </w:rPr>
        <w:t>决算单位构成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蓝山县楠市镇楠市中心小学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eastAsia="zh-CN"/>
        </w:rPr>
        <w:t>只有本级，没有其他预算单位，因此本部门预算仅含本级预算。</w:t>
      </w:r>
    </w:p>
    <w:p>
      <w:pPr>
        <w:jc w:val="left"/>
        <w:rPr>
          <w:rFonts w:eastAsia="黑体"/>
          <w:bCs/>
          <w:kern w:val="0"/>
          <w:sz w:val="32"/>
          <w:szCs w:val="32"/>
          <w:highlight w:val="none"/>
          <w:u w:val="none"/>
        </w:rPr>
      </w:pPr>
      <w:r>
        <w:rPr>
          <w:sz w:val="72"/>
          <w:szCs w:val="72"/>
          <w:highlight w:val="none"/>
          <w:u w:val="none"/>
        </w:rPr>
        <w:t xml:space="preserve"> </w:t>
      </w:r>
      <w:r>
        <w:rPr>
          <w:rFonts w:eastAsia="黑体"/>
          <w:bCs/>
          <w:kern w:val="0"/>
          <w:sz w:val="32"/>
          <w:szCs w:val="32"/>
          <w:highlight w:val="none"/>
          <w:u w:val="none"/>
        </w:rPr>
        <w:t>三、部门收支总体情况</w:t>
      </w:r>
    </w:p>
    <w:p>
      <w:pPr>
        <w:widowControl/>
        <w:spacing w:line="600" w:lineRule="exact"/>
        <w:ind w:firstLine="630" w:firstLineChars="196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（一）收入预算：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>包括一般公共预算、政府性基金、国有资本经营预算等财政拨款收入，以及经营收入、事业收入等单位资金。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年本部门收入预算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1004.05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万元，其中，一般公共预算拨款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1004.05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万元，政府性基金预算拨款   万元，国有资本经营预算拨款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万元，纳入专户管理的非税收入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万元，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</w:rPr>
        <w:t>收入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  <w:lang w:eastAsia="zh-CN"/>
        </w:rPr>
        <w:t>较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  <w:lang w:eastAsia="zh-CN"/>
        </w:rPr>
        <w:t>减少了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  <w:lang w:val="en-US" w:eastAsia="zh-CN"/>
        </w:rPr>
        <w:t>7.42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</w:rPr>
        <w:t xml:space="preserve"> 万元，主要是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 w:bidi="ar-SA"/>
        </w:rPr>
        <w:t>原因是2022年学生人数相比2021年减少了184人，所以公用经费收入预算减少了。</w:t>
      </w:r>
    </w:p>
    <w:p>
      <w:pPr>
        <w:widowControl/>
        <w:spacing w:line="600" w:lineRule="exact"/>
        <w:ind w:firstLine="630" w:firstLineChars="196"/>
        <w:jc w:val="lef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（二）支出预算：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年本部门支出预算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1004.05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万元，其中，一般公共服务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万元，公共安全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万元，教育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1004.05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万元，科学技术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万元，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</w:rPr>
        <w:t>支出较去年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  <w:lang w:eastAsia="zh-CN"/>
        </w:rPr>
        <w:t>减少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  <w:lang w:val="en-US" w:eastAsia="zh-CN"/>
        </w:rPr>
        <w:t>7.42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highlight w:val="none"/>
          <w:u w:val="none"/>
        </w:rPr>
        <w:t xml:space="preserve">  万元，主要是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 w:bidi="ar-SA"/>
        </w:rPr>
        <w:t>原因是2022年学生人数相比2021年减少了184人，所以公用经费预算减少了。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highlight w:val="none"/>
          <w:u w:val="none"/>
        </w:rPr>
      </w:pPr>
      <w:r>
        <w:rPr>
          <w:rFonts w:eastAsia="黑体"/>
          <w:sz w:val="32"/>
          <w:szCs w:val="32"/>
          <w:highlight w:val="none"/>
          <w:u w:val="none"/>
        </w:rPr>
        <w:t>四、一般公共预算拨款支出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>年本部门一般公共预算拨款支出预算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1004.05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万元，其中，一般公共服务支出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万元，占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 %；公共安全支出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万元，占 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%；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 w:bidi="ar-SA"/>
        </w:rPr>
        <w:t>教育支出 1004.05 万元，占 100 %。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>具体安排情况如下：</w:t>
      </w:r>
    </w:p>
    <w:p>
      <w:pPr>
        <w:widowControl/>
        <w:spacing w:line="600" w:lineRule="exact"/>
        <w:ind w:firstLine="66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（一）基本支出：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年本部门基本支出预算数 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763.79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 xml:space="preserve">  万元，主要是为保障部门正常运转、完成日常工作任务而发生的各项支出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eastAsia="zh-CN"/>
        </w:rPr>
        <w:t>。其中包括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>基本工资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308.66万元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绩效工资204.7万元、基本养老保险82.14万元、基本医疗保险25.67万元、其他社会保险5.76万元、住房公积金61.60万元、万元、办公费30.78万元、印刷费3.08万元、邮电费2.2万元、差旅费2.5万元、维（护）修费2.63万元、会议费1.65万元、培训费3.55万元、公务接待费1万元、劳务费2.92万元、工会经费11.31万元、福利费2.97万元、其他商品和服务支出2.74万元、生活补助4.89万元、奖励金3.04万元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>等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eastAsia="zh-CN"/>
        </w:rPr>
        <w:t>基本支出。</w:t>
      </w:r>
    </w:p>
    <w:p>
      <w:pPr>
        <w:widowControl/>
        <w:spacing w:line="600" w:lineRule="exact"/>
        <w:ind w:firstLine="1134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（二）项目支出：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年本部门项目支出预算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240.26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 xml:space="preserve">  万元，主要是部门为完成特定行政工作任务或事业发展目标而发生的支出，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：乡镇补贴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27.78万元、班主任津贴14.5万元、代课老师工资3万元、抚养费3.42万元、美心教育经费8万元、年终考核奖124.5万元(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u w:val="none"/>
          <w:lang w:val="en-US" w:eastAsia="zh-CN" w:bidi="ar-SA"/>
        </w:rPr>
        <w:t>用于发放2021年年终目标绩效管理奖)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、随班就读5.4万元、退休教师节慰问金2.08万元、退休老师福利费0.52万元、乡镇差异化津贴33.48万元、校车补助9.9万元、在职教师与退休教师体检费2.7万元、在职教师教师节慰问金4.98万元。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  <w:highlight w:val="none"/>
          <w:u w:val="none"/>
        </w:rPr>
      </w:pPr>
      <w:r>
        <w:rPr>
          <w:rFonts w:eastAsia="黑体"/>
          <w:sz w:val="32"/>
          <w:szCs w:val="32"/>
          <w:highlight w:val="none"/>
          <w:u w:val="none"/>
        </w:rPr>
        <w:t>五、政府性基金预算支出</w:t>
      </w:r>
    </w:p>
    <w:p>
      <w:pPr>
        <w:widowControl/>
        <w:spacing w:line="600" w:lineRule="exact"/>
        <w:ind w:firstLine="660"/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u w:val="none"/>
          <w:lang w:val="en-US" w:eastAsia="zh-CN" w:bidi="ar-SA"/>
        </w:rPr>
        <w:t>2022年本部门无政府性基金安排的支出。</w:t>
      </w:r>
    </w:p>
    <w:p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  <w:highlight w:val="none"/>
          <w:u w:val="none"/>
        </w:rPr>
      </w:pPr>
      <w:r>
        <w:rPr>
          <w:rFonts w:eastAsia="黑体"/>
          <w:color w:val="auto"/>
          <w:sz w:val="32"/>
          <w:szCs w:val="32"/>
          <w:highlight w:val="none"/>
          <w:u w:val="none"/>
        </w:rPr>
        <w:t>六、其他重要事项的情况说明</w:t>
      </w:r>
    </w:p>
    <w:p>
      <w:pPr>
        <w:widowControl/>
        <w:spacing w:line="600" w:lineRule="exact"/>
        <w:ind w:firstLine="1134"/>
        <w:jc w:val="left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u w:val="none"/>
        </w:rPr>
      </w:pPr>
      <w:r>
        <w:rPr>
          <w:rFonts w:eastAsia="楷体_GB2312"/>
          <w:b/>
          <w:color w:val="auto"/>
          <w:sz w:val="32"/>
          <w:szCs w:val="32"/>
          <w:highlight w:val="none"/>
          <w:u w:val="none"/>
        </w:rPr>
        <w:t>（一）机关运行经费：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年本部门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机关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运行经费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75.26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万元，比上年预算减少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0.51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万元，下降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0.68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%，主要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原因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我校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学生人数较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2021下期学生人数减少184人故学校公用经费下降了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。</w:t>
      </w:r>
    </w:p>
    <w:p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（二）“三公”经费预算：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年本部门“三公”经费预算数为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万元，其中，公务接待费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万元，公务用车购置及运行费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万元（其中，公务用车购置费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万元，公务用车运行费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万元），因公出国（境）费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万元。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年“三公”经费预算较202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年减少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0.7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万元，主要是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因为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严格执行上级的文件精神，控制了学校公务接待支出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。</w:t>
      </w:r>
    </w:p>
    <w:p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（三）一般性支出情况：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</w:rPr>
        <w:t>年本部门会议费预算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1.65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</w:rPr>
        <w:t>万元，拟召开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</w:rPr>
        <w:t>会议，人数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</w:rPr>
        <w:t>人，内容为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2022年上期期末考试三/五年级参加统考，外校老师抽调到我校参加监考接待10人、及2022年下期期末参加统考年级外校老师抽调到我校参加监考接待10人、及每年下学期举行一年一度运动会包括4位体育老师及行政2人，参加比赛学生4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</w:rPr>
        <w:t>；培训费预算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3.55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</w:rPr>
        <w:t>万元，用于开展学校教师“国培”等各类培训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u w:val="none"/>
          <w:lang w:val="en-US" w:eastAsia="zh-CN"/>
        </w:rPr>
        <w:t>费用支出。</w:t>
      </w:r>
    </w:p>
    <w:p>
      <w:pPr>
        <w:widowControl/>
        <w:spacing w:line="600" w:lineRule="exact"/>
        <w:ind w:firstLine="66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（四）政府采购情况：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年本部门政府采购预算总额   万元，其中，货物类采购预算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万元；工程类采购预算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万元；服务类采购预算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万元。</w:t>
      </w:r>
    </w:p>
    <w:p>
      <w:pPr>
        <w:widowControl/>
        <w:spacing w:line="600" w:lineRule="exact"/>
        <w:ind w:firstLine="643" w:firstLineChars="200"/>
        <w:jc w:val="left"/>
        <w:rPr>
          <w:rFonts w:eastAsia="楷体_GB2312"/>
          <w:b/>
          <w:sz w:val="32"/>
          <w:szCs w:val="32"/>
          <w:highlight w:val="none"/>
          <w:u w:val="none"/>
        </w:rPr>
      </w:pPr>
      <w:r>
        <w:rPr>
          <w:rFonts w:eastAsia="楷体_GB2312"/>
          <w:b/>
          <w:sz w:val="32"/>
          <w:szCs w:val="32"/>
          <w:highlight w:val="none"/>
          <w:u w:val="none"/>
        </w:rPr>
        <w:t>（五）国有资产占用使用及新增资产配置情况：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截至20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年12月底，本部门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>共有公务用车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</w:rPr>
        <w:t>辆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u w:val="none"/>
          <w:lang w:eastAsia="zh-CN"/>
        </w:rPr>
        <w:t>。</w:t>
      </w:r>
    </w:p>
    <w:p>
      <w:pPr>
        <w:widowControl/>
        <w:spacing w:line="600" w:lineRule="exact"/>
        <w:ind w:firstLine="643" w:firstLineChars="200"/>
        <w:jc w:val="both"/>
        <w:rPr>
          <w:rFonts w:eastAsia="仿宋_GB2312"/>
          <w:bCs/>
          <w:kern w:val="0"/>
          <w:sz w:val="32"/>
          <w:szCs w:val="32"/>
          <w:highlight w:val="none"/>
          <w:u w:val="none"/>
        </w:rPr>
      </w:pPr>
      <w:r>
        <w:rPr>
          <w:rFonts w:eastAsia="楷体_GB2312"/>
          <w:b/>
          <w:bCs/>
          <w:kern w:val="0"/>
          <w:sz w:val="32"/>
          <w:szCs w:val="32"/>
          <w:highlight w:val="none"/>
          <w:u w:val="none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本部门所有支出实行绩效目标管理。纳入</w:t>
      </w:r>
      <w:r>
        <w:rPr>
          <w:rFonts w:hint="eastAsia" w:eastAsia="仿宋_GB2312"/>
          <w:bCs/>
          <w:kern w:val="0"/>
          <w:sz w:val="32"/>
          <w:szCs w:val="32"/>
          <w:highlight w:val="none"/>
          <w:u w:val="none"/>
          <w:lang w:val="en-US" w:eastAsia="zh-CN"/>
        </w:rPr>
        <w:t>2022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年部门整体支出绩效目标的金额为</w:t>
      </w:r>
      <w:r>
        <w:rPr>
          <w:rFonts w:eastAsia="仿宋_GB2312"/>
          <w:sz w:val="32"/>
          <w:szCs w:val="32"/>
          <w:highlight w:val="none"/>
          <w:u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1004.05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万元，其中，基本支出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763.79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万元，项目支出</w:t>
      </w:r>
      <w:r>
        <w:rPr>
          <w:rFonts w:eastAsia="仿宋_GB2312"/>
          <w:sz w:val="32"/>
          <w:szCs w:val="32"/>
          <w:highlight w:val="none"/>
          <w:u w:val="none"/>
        </w:rPr>
        <w:t xml:space="preserve"> 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240.26</w:t>
      </w:r>
      <w:r>
        <w:rPr>
          <w:rFonts w:eastAsia="仿宋_GB2312"/>
          <w:sz w:val="32"/>
          <w:szCs w:val="32"/>
          <w:highlight w:val="none"/>
          <w:u w:val="none"/>
        </w:rPr>
        <w:t xml:space="preserve">  </w:t>
      </w:r>
      <w:r>
        <w:rPr>
          <w:rFonts w:eastAsia="仿宋_GB2312"/>
          <w:bCs/>
          <w:kern w:val="0"/>
          <w:sz w:val="32"/>
          <w:szCs w:val="32"/>
          <w:highlight w:val="none"/>
          <w:u w:val="none"/>
        </w:rPr>
        <w:t>万元，具体绩效目标详见报表。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  <w:highlight w:val="none"/>
          <w:u w:val="none"/>
        </w:rPr>
      </w:pPr>
      <w:r>
        <w:rPr>
          <w:rFonts w:eastAsia="黑体"/>
          <w:sz w:val="32"/>
          <w:szCs w:val="32"/>
          <w:highlight w:val="none"/>
          <w:u w:val="none"/>
        </w:rPr>
        <w:t>七、名词解释</w:t>
      </w:r>
    </w:p>
    <w:p>
      <w:pPr>
        <w:widowControl/>
        <w:spacing w:line="600" w:lineRule="exact"/>
        <w:ind w:firstLine="1134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1134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0" w:firstLineChars="0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  <w:highlight w:val="none"/>
          <w:u w:val="none"/>
        </w:rPr>
      </w:pPr>
    </w:p>
    <w:p>
      <w:pPr>
        <w:widowControl/>
        <w:spacing w:line="600" w:lineRule="exact"/>
        <w:ind w:firstLine="0" w:firstLineChars="0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  <w:highlight w:val="none"/>
          <w:u w:val="none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highlight w:val="none"/>
          <w:u w:val="none"/>
        </w:rPr>
        <w:t xml:space="preserve">第二部分 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highlight w:val="none"/>
          <w:u w:val="none"/>
          <w:lang w:val="en-US" w:eastAsia="zh-CN"/>
        </w:rPr>
        <w:t>2022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highlight w:val="none"/>
          <w:u w:val="none"/>
        </w:rPr>
        <w:t>年部门预算表</w:t>
      </w:r>
    </w:p>
    <w:p>
      <w:pPr>
        <w:widowControl/>
        <w:spacing w:line="600" w:lineRule="exact"/>
        <w:ind w:firstLine="643" w:firstLineChars="200"/>
        <w:jc w:val="left"/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</w:pP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  <w:highlight w:val="none"/>
          <w:u w:val="none"/>
        </w:rPr>
      </w:pPr>
    </w:p>
    <w:p>
      <w:pPr>
        <w:rPr>
          <w:highlight w:val="none"/>
          <w:u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5E8A2A"/>
    <w:multiLevelType w:val="singleLevel"/>
    <w:tmpl w:val="C95E8A2A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F76AFB35"/>
    <w:multiLevelType w:val="singleLevel"/>
    <w:tmpl w:val="F76AFB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N2M5MGEzYzM5YjM5YTE1MTdlZTFjNjljOTEzY2UifQ=="/>
  </w:docVars>
  <w:rsids>
    <w:rsidRoot w:val="7CFA029E"/>
    <w:rsid w:val="7CFA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2022-06-17T14:08:00Z</dcterms:created>
  <dc:creator>恐龙蛋</dc:creator>
  <cp:lastModifiedBy>恐龙蛋</cp:lastModifiedBy>
  <dcterms:modified xsi:type="dcterms:W3CDTF">2022-06-17T14:10:11Z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CC34909CEA454271AA021F3A62D8280E</vt:lpwstr>
  </property>
</Properties>
</file>