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黑体" w:hAnsi="黑体" w:eastAsia="黑体" w:cs="黑体"/>
          <w:b/>
          <w:bCs w:val="0"/>
          <w:kern w:val="0"/>
          <w:sz w:val="44"/>
          <w:szCs w:val="44"/>
          <w:highlight w:val="none"/>
          <w:u w:val="none"/>
        </w:rPr>
      </w:pPr>
      <w:r>
        <w:rPr>
          <w:rFonts w:hint="eastAsia" w:ascii="黑体" w:hAnsi="黑体" w:eastAsia="黑体" w:cs="黑体"/>
          <w:b/>
          <w:bCs w:val="0"/>
          <w:kern w:val="0"/>
          <w:sz w:val="44"/>
          <w:szCs w:val="44"/>
          <w:highlight w:val="none"/>
          <w:u w:val="none"/>
          <w:lang w:val="en-US" w:eastAsia="zh-CN"/>
        </w:rPr>
        <w:t>2022</w:t>
      </w:r>
      <w:r>
        <w:rPr>
          <w:rFonts w:hint="eastAsia" w:ascii="黑体" w:hAnsi="黑体" w:eastAsia="黑体" w:cs="黑体"/>
          <w:b/>
          <w:bCs w:val="0"/>
          <w:kern w:val="0"/>
          <w:sz w:val="44"/>
          <w:szCs w:val="44"/>
          <w:highlight w:val="none"/>
          <w:u w:val="none"/>
        </w:rPr>
        <w:t>年</w:t>
      </w:r>
      <w:r>
        <w:rPr>
          <w:rFonts w:hint="eastAsia" w:ascii="黑体" w:hAnsi="黑体" w:eastAsia="黑体" w:cs="黑体"/>
          <w:b/>
          <w:bCs w:val="0"/>
          <w:kern w:val="0"/>
          <w:sz w:val="44"/>
          <w:szCs w:val="44"/>
          <w:highlight w:val="none"/>
          <w:u w:val="none"/>
          <w:lang w:eastAsia="zh-CN"/>
        </w:rPr>
        <w:t>蓝山县正市中心幼儿园</w:t>
      </w:r>
      <w:r>
        <w:rPr>
          <w:rFonts w:hint="eastAsia" w:ascii="黑体" w:hAnsi="黑体" w:eastAsia="黑体" w:cs="黑体"/>
          <w:b/>
          <w:bCs w:val="0"/>
          <w:kern w:val="0"/>
          <w:sz w:val="44"/>
          <w:szCs w:val="44"/>
          <w:highlight w:val="none"/>
          <w:u w:val="none"/>
        </w:rPr>
        <w:t>预算</w:t>
      </w:r>
    </w:p>
    <w:p>
      <w:pPr>
        <w:widowControl/>
        <w:spacing w:line="600" w:lineRule="exact"/>
        <w:jc w:val="center"/>
        <w:rPr>
          <w:rFonts w:eastAsia="黑体"/>
          <w:b w:val="0"/>
          <w:bCs/>
          <w:kern w:val="0"/>
          <w:sz w:val="32"/>
          <w:szCs w:val="32"/>
          <w:highlight w:val="none"/>
          <w:u w:val="none"/>
        </w:rPr>
      </w:pPr>
      <w:r>
        <w:rPr>
          <w:rFonts w:eastAsia="黑体"/>
          <w:b w:val="0"/>
          <w:bCs/>
          <w:kern w:val="0"/>
          <w:sz w:val="32"/>
          <w:szCs w:val="32"/>
          <w:highlight w:val="none"/>
          <w:u w:val="none"/>
        </w:rPr>
        <w:t>目录</w:t>
      </w: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  <w:t>第一部分</w:t>
      </w:r>
      <w:r>
        <w:rPr>
          <w:rFonts w:hint="eastAsia" w:eastAsia="方正小标宋_GBK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  <w:t>年部门预算说明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  <w:t>第二部分</w:t>
      </w:r>
      <w:r>
        <w:rPr>
          <w:rFonts w:hint="eastAsia" w:eastAsia="仿宋_GB2312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  <w:t>年部门预算表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1、部门收支总体情况表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2、部门收入总体情况表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3、部门支出总体情况表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4、财政拨款收支情况表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5、一般公共预算支出表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6、一般公共预算基本支出表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7、一般公共预算“三公”经费支出表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8、政府性基金预算支出情况表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9、项目支出绩效目标表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10、整体支出绩效目标表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注：以上部门预算报表中，空表表示本部门无相关收支情况。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kern w:val="0"/>
          <w:sz w:val="32"/>
          <w:szCs w:val="32"/>
          <w:highlight w:val="none"/>
          <w:u w:val="none"/>
        </w:rPr>
      </w:pPr>
    </w:p>
    <w:p>
      <w:pPr>
        <w:widowControl/>
        <w:spacing w:line="600" w:lineRule="exact"/>
        <w:rPr>
          <w:rFonts w:hint="eastAsia" w:eastAsia="仿宋_GB2312"/>
          <w:bCs/>
          <w:kern w:val="0"/>
          <w:sz w:val="32"/>
          <w:szCs w:val="32"/>
          <w:highlight w:val="none"/>
          <w:u w:val="none"/>
        </w:rPr>
      </w:pPr>
    </w:p>
    <w:p>
      <w:pPr>
        <w:widowControl/>
        <w:spacing w:line="600" w:lineRule="exact"/>
        <w:rPr>
          <w:rFonts w:hint="eastAsia" w:eastAsia="仿宋_GB2312"/>
          <w:bCs/>
          <w:kern w:val="0"/>
          <w:sz w:val="32"/>
          <w:szCs w:val="32"/>
          <w:highlight w:val="none"/>
          <w:u w:val="none"/>
        </w:rPr>
      </w:pPr>
    </w:p>
    <w:p>
      <w:pPr>
        <w:widowControl/>
        <w:spacing w:line="600" w:lineRule="exact"/>
        <w:rPr>
          <w:rFonts w:hint="eastAsia" w:eastAsia="仿宋_GB2312"/>
          <w:bCs/>
          <w:kern w:val="0"/>
          <w:sz w:val="32"/>
          <w:szCs w:val="32"/>
          <w:highlight w:val="none"/>
          <w:u w:val="none"/>
        </w:rPr>
      </w:pPr>
    </w:p>
    <w:p>
      <w:pPr>
        <w:widowControl/>
        <w:spacing w:line="600" w:lineRule="exact"/>
        <w:rPr>
          <w:rFonts w:hint="eastAsia" w:eastAsia="仿宋_GB2312"/>
          <w:bCs/>
          <w:kern w:val="0"/>
          <w:sz w:val="32"/>
          <w:szCs w:val="32"/>
          <w:highlight w:val="none"/>
          <w:u w:val="none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  <w:highlight w:val="none"/>
          <w:u w:val="none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  <w:highlight w:val="none"/>
          <w:u w:val="none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  <w:highlight w:val="none"/>
          <w:u w:val="none"/>
        </w:rPr>
      </w:pPr>
      <w:r>
        <w:rPr>
          <w:rFonts w:eastAsia="方正小标宋_GBK"/>
          <w:bCs/>
          <w:kern w:val="0"/>
          <w:sz w:val="36"/>
          <w:szCs w:val="36"/>
          <w:highlight w:val="none"/>
          <w:u w:val="none"/>
        </w:rPr>
        <w:br w:type="page"/>
      </w:r>
      <w:r>
        <w:rPr>
          <w:rFonts w:hint="eastAsia" w:ascii="黑体" w:hAnsi="黑体" w:eastAsia="黑体" w:cs="黑体"/>
          <w:b/>
          <w:bCs w:val="0"/>
          <w:kern w:val="0"/>
          <w:sz w:val="44"/>
          <w:szCs w:val="44"/>
          <w:highlight w:val="none"/>
          <w:u w:val="none"/>
        </w:rPr>
        <w:t>第一部分</w:t>
      </w:r>
      <w:r>
        <w:rPr>
          <w:rFonts w:hint="eastAsia" w:ascii="黑体" w:hAnsi="黑体" w:eastAsia="黑体" w:cs="黑体"/>
          <w:b/>
          <w:bCs w:val="0"/>
          <w:kern w:val="0"/>
          <w:sz w:val="44"/>
          <w:szCs w:val="44"/>
          <w:highlight w:val="none"/>
          <w:u w:val="none"/>
          <w:lang w:val="en-US" w:eastAsia="zh-CN"/>
        </w:rPr>
        <w:t>2022年</w:t>
      </w:r>
      <w:r>
        <w:rPr>
          <w:rFonts w:hint="eastAsia" w:ascii="黑体" w:hAnsi="黑体" w:eastAsia="黑体" w:cs="黑体"/>
          <w:b/>
          <w:bCs w:val="0"/>
          <w:kern w:val="0"/>
          <w:sz w:val="44"/>
          <w:szCs w:val="44"/>
          <w:highlight w:val="none"/>
          <w:u w:val="none"/>
        </w:rPr>
        <w:t>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  <w:highlight w:val="none"/>
          <w:u w:val="none"/>
        </w:rPr>
      </w:pPr>
      <w:r>
        <w:rPr>
          <w:rFonts w:eastAsia="黑体"/>
          <w:bCs/>
          <w:kern w:val="0"/>
          <w:sz w:val="32"/>
          <w:szCs w:val="32"/>
          <w:highlight w:val="none"/>
          <w:u w:val="none"/>
        </w:rPr>
        <w:t>一、部门基本概况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（一）职能职责。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主要职能：实施学前教育，促进幼儿教育的发展，搞好幼小衔接教育。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（二）机构设置。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现有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3个教学班，幼儿人数共74人，教职工共9人，其中在职教师8人，临聘人员1人。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  <w:highlight w:val="none"/>
          <w:u w:val="none"/>
        </w:rPr>
      </w:pPr>
      <w:r>
        <w:rPr>
          <w:rFonts w:eastAsia="黑体"/>
          <w:kern w:val="0"/>
          <w:sz w:val="32"/>
          <w:szCs w:val="32"/>
          <w:highlight w:val="none"/>
          <w:u w:val="none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正市中心幼儿园</w:t>
      </w:r>
      <w:r>
        <w:rPr>
          <w:rFonts w:eastAsia="仿宋_GB2312"/>
          <w:sz w:val="32"/>
          <w:szCs w:val="32"/>
          <w:highlight w:val="none"/>
          <w:u w:val="none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  <w:highlight w:val="none"/>
          <w:u w:val="none"/>
        </w:rPr>
      </w:pPr>
      <w:r>
        <w:rPr>
          <w:rFonts w:eastAsia="黑体"/>
          <w:bCs/>
          <w:kern w:val="0"/>
          <w:sz w:val="32"/>
          <w:szCs w:val="32"/>
          <w:highlight w:val="none"/>
          <w:u w:val="none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（一）收入预算：</w:t>
      </w:r>
      <w:r>
        <w:rPr>
          <w:rFonts w:eastAsia="仿宋_GB2312"/>
          <w:sz w:val="32"/>
          <w:szCs w:val="32"/>
          <w:highlight w:val="none"/>
          <w:u w:val="none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  <w:u w:val="none"/>
        </w:rPr>
        <w:t>年本部门收入预算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18.68</w:t>
      </w:r>
      <w:r>
        <w:rPr>
          <w:rFonts w:eastAsia="仿宋_GB2312"/>
          <w:sz w:val="32"/>
          <w:szCs w:val="32"/>
          <w:highlight w:val="none"/>
          <w:u w:val="none"/>
        </w:rPr>
        <w:t>万元，其中，一般公共预算拨款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18.68</w:t>
      </w:r>
      <w:r>
        <w:rPr>
          <w:rFonts w:eastAsia="仿宋_GB2312"/>
          <w:sz w:val="32"/>
          <w:szCs w:val="32"/>
          <w:highlight w:val="none"/>
          <w:u w:val="none"/>
        </w:rPr>
        <w:t>万元，政府性基金预算拨款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万元，国有资本经营预算拨款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万元，纳入专户管理的非税收入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万元。纳入专户管理的非税收入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万元。</w:t>
      </w:r>
      <w:r>
        <w:rPr>
          <w:rFonts w:eastAsia="仿宋_GB2312"/>
          <w:b w:val="0"/>
          <w:bCs/>
          <w:sz w:val="32"/>
          <w:szCs w:val="32"/>
          <w:highlight w:val="none"/>
          <w:u w:val="none"/>
        </w:rPr>
        <w:t>收入较去年</w:t>
      </w:r>
      <w:r>
        <w:rPr>
          <w:rFonts w:hint="eastAsia" w:eastAsia="仿宋_GB2312"/>
          <w:b w:val="0"/>
          <w:bCs/>
          <w:sz w:val="32"/>
          <w:szCs w:val="32"/>
          <w:highlight w:val="none"/>
          <w:u w:val="none"/>
          <w:lang w:eastAsia="zh-CN"/>
        </w:rPr>
        <w:t>增加</w:t>
      </w:r>
      <w:r>
        <w:rPr>
          <w:rFonts w:hint="eastAsia" w:eastAsia="仿宋_GB2312"/>
          <w:b w:val="0"/>
          <w:bCs/>
          <w:sz w:val="32"/>
          <w:szCs w:val="32"/>
          <w:highlight w:val="none"/>
          <w:u w:val="none"/>
          <w:lang w:val="en-US" w:eastAsia="zh-CN"/>
        </w:rPr>
        <w:t>0万元</w:t>
      </w:r>
      <w:r>
        <w:rPr>
          <w:rFonts w:eastAsia="仿宋_GB2312"/>
          <w:b w:val="0"/>
          <w:bCs/>
          <w:sz w:val="32"/>
          <w:szCs w:val="32"/>
          <w:highlight w:val="none"/>
          <w:u w:val="none"/>
        </w:rPr>
        <w:t>，</w:t>
      </w:r>
      <w:r>
        <w:rPr>
          <w:rFonts w:hint="eastAsia" w:eastAsia="仿宋_GB2312"/>
          <w:b w:val="0"/>
          <w:bCs/>
          <w:sz w:val="32"/>
          <w:szCs w:val="32"/>
          <w:highlight w:val="none"/>
          <w:u w:val="none"/>
          <w:lang w:eastAsia="zh-CN"/>
        </w:rPr>
        <w:t>主要是今年职工比去年职工无变动</w:t>
      </w:r>
      <w:r>
        <w:rPr>
          <w:rFonts w:eastAsia="仿宋_GB2312"/>
          <w:b w:val="0"/>
          <w:bCs/>
          <w:sz w:val="32"/>
          <w:szCs w:val="32"/>
          <w:highlight w:val="none"/>
          <w:u w:val="none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eastAsia="仿宋_GB2312"/>
          <w:b w:val="0"/>
          <w:sz w:val="32"/>
          <w:szCs w:val="32"/>
          <w:highlight w:val="none"/>
          <w:u w:val="none"/>
          <w:lang w:val="en-US" w:eastAsia="zh-CN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（二）支出预算：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  <w:u w:val="none"/>
        </w:rPr>
        <w:t>年本部门支出预算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18.68</w:t>
      </w:r>
      <w:r>
        <w:rPr>
          <w:rFonts w:eastAsia="仿宋_GB2312"/>
          <w:sz w:val="32"/>
          <w:szCs w:val="32"/>
          <w:highlight w:val="none"/>
          <w:u w:val="none"/>
        </w:rPr>
        <w:t>万元，其中，一般公共服务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万元，公共安全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万元，教育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18.68</w:t>
      </w:r>
      <w:r>
        <w:rPr>
          <w:rFonts w:eastAsia="仿宋_GB2312"/>
          <w:sz w:val="32"/>
          <w:szCs w:val="32"/>
          <w:highlight w:val="none"/>
          <w:u w:val="none"/>
        </w:rPr>
        <w:t>万元，科学技术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万元。</w:t>
      </w:r>
      <w:r>
        <w:rPr>
          <w:rFonts w:eastAsia="仿宋_GB2312"/>
          <w:b w:val="0"/>
          <w:sz w:val="32"/>
          <w:szCs w:val="32"/>
          <w:highlight w:val="none"/>
          <w:u w:val="none"/>
        </w:rPr>
        <w:t>支出较去年</w:t>
      </w:r>
      <w:r>
        <w:rPr>
          <w:rFonts w:hint="eastAsia" w:eastAsia="仿宋_GB2312"/>
          <w:b w:val="0"/>
          <w:sz w:val="32"/>
          <w:szCs w:val="32"/>
          <w:highlight w:val="none"/>
          <w:u w:val="none"/>
          <w:lang w:val="en-US" w:eastAsia="zh-CN"/>
        </w:rPr>
        <w:t>减少78.84万元，主要是今年幼儿人数减少，公用经费减少。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  <w:u w:val="none"/>
        </w:rPr>
      </w:pPr>
      <w:r>
        <w:rPr>
          <w:rFonts w:eastAsia="黑体"/>
          <w:sz w:val="32"/>
          <w:szCs w:val="32"/>
          <w:highlight w:val="none"/>
          <w:u w:val="none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  <w:u w:val="none"/>
        </w:rPr>
        <w:t>年本部门一般公共预算拨款支出预算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18.68</w:t>
      </w:r>
      <w:r>
        <w:rPr>
          <w:rFonts w:eastAsia="仿宋_GB2312"/>
          <w:sz w:val="32"/>
          <w:szCs w:val="32"/>
          <w:highlight w:val="none"/>
          <w:u w:val="none"/>
        </w:rPr>
        <w:t>万元，其中，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教育支出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18.68</w:t>
      </w:r>
      <w:r>
        <w:rPr>
          <w:rFonts w:eastAsia="仿宋_GB2312"/>
          <w:sz w:val="32"/>
          <w:szCs w:val="32"/>
          <w:highlight w:val="none"/>
          <w:u w:val="none"/>
        </w:rPr>
        <w:t>万元，占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eastAsia="仿宋_GB2312"/>
          <w:sz w:val="32"/>
          <w:szCs w:val="32"/>
          <w:highlight w:val="none"/>
          <w:u w:val="none"/>
        </w:rPr>
        <w:t>%；具体安排情况如下：</w:t>
      </w:r>
    </w:p>
    <w:p>
      <w:pPr>
        <w:widowControl/>
        <w:spacing w:line="600" w:lineRule="exact"/>
        <w:ind w:firstLine="66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（一）基本支出：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  <w:u w:val="none"/>
        </w:rPr>
        <w:t>年本部门基本支出预算数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17.18</w:t>
      </w:r>
      <w:r>
        <w:rPr>
          <w:rFonts w:eastAsia="仿宋_GB2312"/>
          <w:sz w:val="32"/>
          <w:szCs w:val="32"/>
          <w:highlight w:val="none"/>
          <w:u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主要是由于人员经费预算列入蓝山县楠市镇正市乡正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市学校。</w:t>
      </w:r>
      <w:r>
        <w:rPr>
          <w:rFonts w:eastAsia="仿宋_GB2312"/>
          <w:sz w:val="32"/>
          <w:szCs w:val="32"/>
          <w:highlight w:val="none"/>
        </w:rPr>
        <w:t>为保障部门正常运转、完成日常工作任务而发生的各项支出，用于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工资福利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支出</w:t>
      </w:r>
      <w:bookmarkStart w:id="0" w:name="_GoBack"/>
      <w:bookmarkEnd w:id="0"/>
      <w:r>
        <w:rPr>
          <w:rFonts w:hint="eastAsia" w:eastAsia="仿宋_GB2312"/>
          <w:sz w:val="32"/>
          <w:szCs w:val="32"/>
          <w:highlight w:val="none"/>
          <w:lang w:val="en-US" w:eastAsia="zh-CN"/>
        </w:rPr>
        <w:t>2.08万元；</w:t>
      </w:r>
      <w:r>
        <w:rPr>
          <w:rFonts w:eastAsia="仿宋_GB2312"/>
          <w:sz w:val="32"/>
          <w:szCs w:val="32"/>
          <w:highlight w:val="none"/>
        </w:rPr>
        <w:t>办公费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4.5万元</w:t>
      </w:r>
      <w:r>
        <w:rPr>
          <w:rFonts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印刷费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1.5万元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、水电费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1.3万元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差旅费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1.5万元、维修费2万元、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会议费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0.2万元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培训费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0.6万元、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公务接待费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0.2万元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、劳务费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、工会经费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、福利费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、其他商品和服务支出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0.3万元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（二）项目支出：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  <w:u w:val="none"/>
        </w:rPr>
        <w:t>年本部门项目支出预算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1.5</w:t>
      </w:r>
      <w:r>
        <w:rPr>
          <w:rFonts w:eastAsia="仿宋_GB2312"/>
          <w:sz w:val="32"/>
          <w:szCs w:val="32"/>
          <w:highlight w:val="none"/>
          <w:u w:val="none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按项目管理的工资福利</w:t>
      </w:r>
      <w:r>
        <w:rPr>
          <w:rFonts w:eastAsia="仿宋_GB2312"/>
          <w:sz w:val="32"/>
          <w:szCs w:val="32"/>
          <w:highlight w:val="none"/>
          <w:u w:val="none"/>
        </w:rPr>
        <w:t>支出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1.5</w:t>
      </w:r>
      <w:r>
        <w:rPr>
          <w:rFonts w:eastAsia="仿宋_GB2312"/>
          <w:sz w:val="32"/>
          <w:szCs w:val="32"/>
          <w:highlight w:val="none"/>
          <w:u w:val="none"/>
        </w:rPr>
        <w:t>万元，主要用于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班主任补助</w:t>
      </w:r>
      <w:r>
        <w:rPr>
          <w:rFonts w:eastAsia="仿宋_GB2312"/>
          <w:sz w:val="32"/>
          <w:szCs w:val="32"/>
          <w:highlight w:val="none"/>
          <w:u w:val="none"/>
        </w:rPr>
        <w:t>等方面；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本园无项目支出</w:t>
      </w:r>
      <w:r>
        <w:rPr>
          <w:rFonts w:eastAsia="仿宋_GB2312"/>
          <w:sz w:val="32"/>
          <w:szCs w:val="32"/>
          <w:highlight w:val="none"/>
          <w:u w:val="none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  <w:u w:val="none"/>
        </w:rPr>
      </w:pPr>
      <w:r>
        <w:rPr>
          <w:rFonts w:eastAsia="黑体"/>
          <w:sz w:val="32"/>
          <w:szCs w:val="32"/>
          <w:highlight w:val="none"/>
          <w:u w:val="none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 w:val="0"/>
          <w:bCs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b w:val="0"/>
          <w:bCs/>
          <w:sz w:val="32"/>
          <w:szCs w:val="32"/>
          <w:highlight w:val="none"/>
          <w:u w:val="none"/>
          <w:lang w:val="en-US" w:eastAsia="zh-CN"/>
        </w:rPr>
        <w:t>蓝山县正市中心幼儿园2022年无政</w:t>
      </w:r>
      <w:r>
        <w:rPr>
          <w:rFonts w:eastAsia="仿宋_GB2312"/>
          <w:b w:val="0"/>
          <w:bCs/>
          <w:sz w:val="32"/>
          <w:szCs w:val="32"/>
          <w:highlight w:val="none"/>
          <w:u w:val="none"/>
        </w:rPr>
        <w:t>府性基金预算安排的支出</w:t>
      </w:r>
      <w:r>
        <w:rPr>
          <w:rFonts w:hint="eastAsia" w:eastAsia="仿宋_GB2312"/>
          <w:b w:val="0"/>
          <w:bCs/>
          <w:sz w:val="32"/>
          <w:szCs w:val="32"/>
          <w:highlight w:val="none"/>
          <w:u w:val="none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  <w:u w:val="none"/>
        </w:rPr>
      </w:pPr>
      <w:r>
        <w:rPr>
          <w:rFonts w:eastAsia="黑体"/>
          <w:sz w:val="32"/>
          <w:szCs w:val="32"/>
          <w:highlight w:val="none"/>
          <w:u w:val="none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（一）机关运行经费：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  <w:u w:val="none"/>
        </w:rPr>
        <w:t>年本部门机关运行经费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17.18</w:t>
      </w:r>
      <w:r>
        <w:rPr>
          <w:rFonts w:eastAsia="仿宋_GB2312"/>
          <w:sz w:val="32"/>
          <w:szCs w:val="32"/>
          <w:highlight w:val="none"/>
          <w:u w:val="none"/>
        </w:rPr>
        <w:t>万元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比上年预算减少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35.74</w:t>
      </w:r>
      <w:r>
        <w:rPr>
          <w:rFonts w:eastAsia="仿宋_GB2312"/>
          <w:sz w:val="32"/>
          <w:szCs w:val="32"/>
          <w:highlight w:val="none"/>
        </w:rPr>
        <w:t>万元，下降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68</w:t>
      </w:r>
      <w:r>
        <w:rPr>
          <w:rFonts w:eastAsia="仿宋_GB2312"/>
          <w:sz w:val="32"/>
          <w:szCs w:val="32"/>
          <w:highlight w:val="none"/>
        </w:rPr>
        <w:t>%，主要是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公用经费减少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widowControl/>
        <w:spacing w:line="600" w:lineRule="exact"/>
        <w:ind w:firstLine="660"/>
        <w:rPr>
          <w:rFonts w:hint="eastAsia" w:eastAsia="仿宋_GB2312"/>
          <w:sz w:val="32"/>
          <w:szCs w:val="32"/>
          <w:highlight w:val="none"/>
          <w:u w:val="none"/>
          <w:lang w:eastAsia="zh-CN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（二）“三公”经费预算：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  <w:u w:val="none"/>
        </w:rPr>
        <w:t>年本部门“三公”经费预算数为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万元，其中，公务接待费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万元，公务用车购置及运行费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万元（其中，公务用车购置费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万元，公务用车运行费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万元），因公出国（境）费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万元。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  <w:u w:val="none"/>
        </w:rPr>
        <w:t>年“三公”经费预算较202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  <w:u w:val="none"/>
        </w:rPr>
        <w:t>年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持平。</w:t>
      </w:r>
    </w:p>
    <w:p>
      <w:pPr>
        <w:widowControl/>
        <w:spacing w:line="600" w:lineRule="exact"/>
        <w:ind w:firstLine="321" w:firstLineChars="1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（三）一般性支出情况：</w:t>
      </w:r>
    </w:p>
    <w:p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  <w:highlight w:val="none"/>
          <w:u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kern w:val="0"/>
          <w:sz w:val="32"/>
          <w:szCs w:val="32"/>
          <w:highlight w:val="none"/>
          <w:u w:val="none"/>
        </w:rPr>
        <w:t>年本部门会议费预算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0.2</w:t>
      </w:r>
      <w:r>
        <w:rPr>
          <w:rFonts w:eastAsia="仿宋_GB2312"/>
          <w:kern w:val="0"/>
          <w:sz w:val="32"/>
          <w:szCs w:val="32"/>
          <w:highlight w:val="none"/>
          <w:u w:val="none"/>
        </w:rPr>
        <w:t>万元，；培训费预算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0.6</w:t>
      </w:r>
      <w:r>
        <w:rPr>
          <w:rFonts w:eastAsia="仿宋_GB2312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eastAsia="仿宋_GB2312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（四）政府采购情况：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  <w:u w:val="none"/>
        </w:rPr>
        <w:t>年本部门政府采购预算总额万元，其中，货物类采购预算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万元；工程类采购预算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万元；服务类采购预算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（五）国有资产占用使用及新增资产配置情况：</w:t>
      </w:r>
      <w:r>
        <w:rPr>
          <w:rFonts w:eastAsia="仿宋_GB2312"/>
          <w:sz w:val="32"/>
          <w:szCs w:val="32"/>
          <w:highlight w:val="none"/>
          <w:u w:val="none"/>
        </w:rPr>
        <w:t>截至202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  <w:u w:val="none"/>
        </w:rPr>
        <w:t>年12月底，本部门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台。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  <w:highlight w:val="none"/>
          <w:u w:val="none"/>
        </w:rPr>
      </w:pPr>
      <w:r>
        <w:rPr>
          <w:rFonts w:eastAsia="楷体_GB2312"/>
          <w:b/>
          <w:bCs/>
          <w:kern w:val="0"/>
          <w:sz w:val="32"/>
          <w:szCs w:val="32"/>
          <w:highlight w:val="none"/>
          <w:u w:val="none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本部门所有支出实行绩效目标管理。纳入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年部门整体支出绩效目标的金额为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万元，其中，基本支出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万元，项目支出</w:t>
      </w:r>
      <w:r>
        <w:rPr>
          <w:rFonts w:hint="eastAsia" w:eastAsia="仿宋_GB2312"/>
          <w:sz w:val="32"/>
          <w:szCs w:val="32"/>
          <w:highlight w:val="none"/>
          <w:u w:val="none"/>
        </w:rPr>
        <w:t>1.5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hint="default" w:eastAsia="黑体"/>
          <w:sz w:val="32"/>
          <w:szCs w:val="32"/>
          <w:highlight w:val="none"/>
          <w:u w:val="none"/>
          <w:lang w:val="en-US" w:eastAsia="zh-CN"/>
        </w:rPr>
      </w:pPr>
      <w:r>
        <w:rPr>
          <w:rFonts w:eastAsia="黑体"/>
          <w:sz w:val="32"/>
          <w:szCs w:val="32"/>
          <w:highlight w:val="none"/>
          <w:u w:val="none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  <w:highlight w:val="none"/>
          <w:u w:val="none"/>
        </w:rPr>
      </w:pPr>
      <w:r>
        <w:rPr>
          <w:rFonts w:eastAsia="仿宋_GB2312"/>
          <w:sz w:val="32"/>
          <w:szCs w:val="32"/>
          <w:highlight w:val="none"/>
          <w:u w:val="none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sz w:val="32"/>
          <w:szCs w:val="32"/>
          <w:highlight w:val="none"/>
          <w:u w:val="none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  <w:highlight w:val="none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highlight w:val="none"/>
          <w:u w:val="none"/>
        </w:rPr>
      </w:pPr>
      <w:r>
        <w:rPr>
          <w:rFonts w:eastAsia="方正小标宋_GBK"/>
          <w:bCs/>
          <w:kern w:val="0"/>
          <w:sz w:val="36"/>
          <w:szCs w:val="36"/>
          <w:highlight w:val="none"/>
          <w:u w:val="none"/>
        </w:rPr>
        <w:t>第二部分</w:t>
      </w:r>
      <w:r>
        <w:rPr>
          <w:rFonts w:hint="eastAsia" w:eastAsia="方正小标宋_GBK"/>
          <w:bCs/>
          <w:kern w:val="0"/>
          <w:sz w:val="36"/>
          <w:szCs w:val="36"/>
          <w:highlight w:val="none"/>
          <w:u w:val="none"/>
          <w:lang w:val="en-US" w:eastAsia="zh-CN"/>
        </w:rPr>
        <w:t>2022</w:t>
      </w:r>
      <w:r>
        <w:rPr>
          <w:rFonts w:eastAsia="方正小标宋_GBK"/>
          <w:bCs/>
          <w:kern w:val="0"/>
          <w:sz w:val="36"/>
          <w:szCs w:val="36"/>
          <w:highlight w:val="none"/>
          <w:u w:val="none"/>
        </w:rPr>
        <w:t>年部门预算表</w:t>
      </w:r>
    </w:p>
    <w:p>
      <w:pPr>
        <w:rPr>
          <w:highlight w:val="none"/>
          <w:u w:val="none"/>
        </w:rPr>
      </w:pPr>
    </w:p>
    <w:p>
      <w:pPr>
        <w:rPr>
          <w:highlight w:val="none"/>
          <w:u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Y2E0ZTY5YjUxMTkzYjBhMzZjMDgxZTcwNzQzZDEifQ=="/>
  </w:docVars>
  <w:rsids>
    <w:rsidRoot w:val="18AD1B5B"/>
    <w:rsid w:val="062345F7"/>
    <w:rsid w:val="12625364"/>
    <w:rsid w:val="18AD1B5B"/>
    <w:rsid w:val="1A55532D"/>
    <w:rsid w:val="1BFA52BA"/>
    <w:rsid w:val="2B5A4F95"/>
    <w:rsid w:val="32F82C8A"/>
    <w:rsid w:val="374A2ECF"/>
    <w:rsid w:val="524A0B27"/>
    <w:rsid w:val="63BC617F"/>
    <w:rsid w:val="71A2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1889</Words>
  <Characters>2031</Characters>
  <Lines>0</Lines>
  <Paragraphs>0</Paragraphs>
  <TotalTime>49</TotalTime>
  <ScaleCrop>false</ScaleCrop>
  <LinksUpToDate>false</LinksUpToDate>
  <CharactersWithSpaces>2031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2022-05-24T08:38:00Z</dcterms:created>
  <dc:creator>.</dc:creator>
  <cp:lastModifiedBy>无 良 人</cp:lastModifiedBy>
  <dcterms:modified xsi:type="dcterms:W3CDTF">2023-09-11T08:18:35Z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F638F02AC7F04BD18FCAD512D9716945</vt:lpwstr>
  </property>
</Properties>
</file>