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20"/>
        <w:jc w:val="center"/>
        <w:rPr>
          <w:rFonts w:hint="default" w:ascii="Times New Roman" w:hAnsi="Times New Roman" w:cs="Times New Roman"/>
          <w:i w:val="0"/>
          <w:caps w:val="0"/>
          <w:color w:val="666666"/>
          <w:spacing w:val="0"/>
          <w:sz w:val="16"/>
          <w:szCs w:val="16"/>
        </w:rPr>
      </w:pPr>
      <w:bookmarkStart w:id="0" w:name="_GoBack"/>
      <w:bookmarkEnd w:id="0"/>
      <w:r>
        <w:rPr>
          <w:rFonts w:ascii="仿宋_GB2312" w:hAnsi="Times New Roman" w:eastAsia="仿宋_GB2312" w:cs="仿宋_GB2312"/>
          <w:b/>
          <w:i w:val="0"/>
          <w:caps w:val="0"/>
          <w:color w:val="333333"/>
          <w:spacing w:val="0"/>
          <w:kern w:val="0"/>
          <w:sz w:val="32"/>
          <w:szCs w:val="32"/>
          <w:shd w:val="clear" w:fill="FFFFFF"/>
          <w:lang w:val="en-US" w:eastAsia="zh-CN" w:bidi="ar"/>
        </w:rPr>
        <w:t>目</w:t>
      </w:r>
      <w:r>
        <w:rPr>
          <w:rFonts w:hint="eastAsia" w:ascii="仿宋_GB2312" w:hAnsi="Times New Roman" w:eastAsia="仿宋_GB2312" w:cs="仿宋_GB2312"/>
          <w:b/>
          <w:i w:val="0"/>
          <w:caps w:val="0"/>
          <w:color w:val="333333"/>
          <w:spacing w:val="0"/>
          <w:kern w:val="0"/>
          <w:sz w:val="32"/>
          <w:szCs w:val="32"/>
          <w:shd w:val="clear" w:fill="FFFFFF"/>
          <w:lang w:val="en-US" w:eastAsia="zh-CN" w:bidi="ar"/>
        </w:rPr>
        <w:t xml:space="preserve"> </w:t>
      </w:r>
      <w:r>
        <w:rPr>
          <w:rFonts w:ascii="仿宋_GB2312" w:hAnsi="Times New Roman" w:eastAsia="仿宋_GB2312" w:cs="仿宋_GB2312"/>
          <w:b/>
          <w:i w:val="0"/>
          <w:caps w:val="0"/>
          <w:color w:val="333333"/>
          <w:spacing w:val="0"/>
          <w:kern w:val="0"/>
          <w:sz w:val="32"/>
          <w:szCs w:val="32"/>
          <w:shd w:val="clear" w:fill="FFFFFF"/>
          <w:lang w:val="en-US" w:eastAsia="zh-CN" w:bidi="ar"/>
        </w:rPr>
        <w:t>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20"/>
        <w:jc w:val="center"/>
        <w:rPr>
          <w:rFonts w:hint="default" w:ascii="Times New Roman" w:hAnsi="Times New Roman" w:cs="Times New Roman"/>
          <w:i w:val="0"/>
          <w:caps w:val="0"/>
          <w:color w:val="666666"/>
          <w:spacing w:val="0"/>
          <w:sz w:val="16"/>
          <w:szCs w:val="16"/>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b/>
          <w:i w:val="0"/>
          <w:caps w:val="0"/>
          <w:color w:val="333333"/>
          <w:spacing w:val="0"/>
          <w:kern w:val="0"/>
          <w:sz w:val="32"/>
          <w:szCs w:val="32"/>
          <w:shd w:val="clear" w:fill="FFFFFF"/>
          <w:lang w:val="en-US" w:eastAsia="zh-CN" w:bidi="ar"/>
        </w:rPr>
        <w:t>第一部分</w:t>
      </w:r>
      <w:r>
        <w:rPr>
          <w:rFonts w:hint="eastAsia" w:ascii="仿宋_GB2312" w:hAnsi="Times New Roman" w:eastAsia="仿宋_GB2312" w:cs="仿宋_GB2312"/>
          <w:b/>
          <w:i w:val="0"/>
          <w:caps w:val="0"/>
          <w:color w:val="333333"/>
          <w:spacing w:val="0"/>
          <w:kern w:val="0"/>
          <w:sz w:val="32"/>
          <w:szCs w:val="32"/>
          <w:shd w:val="clear" w:fill="FFFFFF"/>
          <w:lang w:val="en-US" w:eastAsia="zh-CN" w:bidi="ar"/>
        </w:rPr>
        <w:t xml:space="preserve"> </w:t>
      </w:r>
      <w:r>
        <w:rPr>
          <w:rFonts w:hint="default" w:ascii="仿宋_GB2312" w:hAnsi="Times New Roman" w:eastAsia="仿宋_GB2312" w:cs="仿宋_GB2312"/>
          <w:b/>
          <w:i w:val="0"/>
          <w:caps w:val="0"/>
          <w:color w:val="333333"/>
          <w:spacing w:val="0"/>
          <w:kern w:val="0"/>
          <w:sz w:val="32"/>
          <w:szCs w:val="32"/>
          <w:shd w:val="clear" w:fill="FFFFFF"/>
          <w:lang w:val="en-US" w:eastAsia="zh-CN" w:bidi="ar"/>
        </w:rPr>
        <w:t>蓝山县城市管理和综合执法局2021年部门预算说明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666666"/>
          <w:spacing w:val="0"/>
          <w:kern w:val="0"/>
          <w:sz w:val="32"/>
          <w:szCs w:val="32"/>
          <w:shd w:val="clear" w:fill="FFFFFF"/>
          <w:lang w:val="en-US" w:eastAsia="zh-CN" w:bidi="ar"/>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666666"/>
          <w:spacing w:val="0"/>
          <w:kern w:val="0"/>
          <w:sz w:val="32"/>
          <w:szCs w:val="32"/>
          <w:shd w:val="clear" w:fill="FFFFFF"/>
          <w:lang w:val="en-US" w:eastAsia="zh-CN" w:bidi="ar"/>
        </w:rPr>
        <w:t>二、部门机构设置及部门预算单位构成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b/>
          <w:i w:val="0"/>
          <w:caps w:val="0"/>
          <w:color w:val="333333"/>
          <w:spacing w:val="0"/>
          <w:kern w:val="0"/>
          <w:sz w:val="32"/>
          <w:szCs w:val="32"/>
          <w:shd w:val="clear" w:fill="FFFFFF"/>
          <w:lang w:val="en-US" w:eastAsia="zh-CN" w:bidi="ar"/>
        </w:rPr>
        <w:t>第二部分</w:t>
      </w:r>
      <w:r>
        <w:rPr>
          <w:rFonts w:hint="eastAsia" w:ascii="仿宋_GB2312" w:hAnsi="Times New Roman" w:eastAsia="仿宋_GB2312" w:cs="仿宋_GB2312"/>
          <w:b/>
          <w:i w:val="0"/>
          <w:caps w:val="0"/>
          <w:color w:val="333333"/>
          <w:spacing w:val="0"/>
          <w:kern w:val="0"/>
          <w:sz w:val="32"/>
          <w:szCs w:val="32"/>
          <w:shd w:val="clear" w:fill="FFFFFF"/>
          <w:lang w:val="en-US" w:eastAsia="zh-CN" w:bidi="ar"/>
        </w:rPr>
        <w:t xml:space="preserve"> </w:t>
      </w:r>
      <w:r>
        <w:rPr>
          <w:rFonts w:hint="default" w:ascii="仿宋_GB2312" w:hAnsi="Times New Roman" w:eastAsia="仿宋_GB2312" w:cs="仿宋_GB2312"/>
          <w:b/>
          <w:i w:val="0"/>
          <w:caps w:val="0"/>
          <w:color w:val="333333"/>
          <w:spacing w:val="0"/>
          <w:kern w:val="0"/>
          <w:sz w:val="32"/>
          <w:szCs w:val="32"/>
          <w:shd w:val="clear" w:fill="FFFFFF"/>
          <w:lang w:val="en-US" w:eastAsia="zh-CN" w:bidi="ar"/>
        </w:rPr>
        <w:t>蓝山县城市管理和综合执法局2021年部门预算表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一、部门收支总体情况表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二、部门收入总体情况表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三、部门支出总体情况表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四、财政拨款收支总体情况表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五、一般公共预算支出情况表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六、一般公共预算基本支出情况表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七、政府性基金预算支出情况表(按部门预算经济分类)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八、政府性基金预算支出情况表(按政府预算经济分类)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ascii="微软雅黑" w:hAnsi="微软雅黑" w:eastAsia="微软雅黑" w:cs="微软雅黑"/>
          <w:i w:val="0"/>
          <w:caps w:val="0"/>
          <w:color w:val="333333"/>
          <w:spacing w:val="0"/>
          <w:kern w:val="0"/>
          <w:sz w:val="21"/>
          <w:szCs w:val="21"/>
          <w:shd w:val="clear" w:fill="FFFFFF"/>
          <w:lang w:val="en-US" w:eastAsia="zh-CN" w:bidi="ar"/>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九、一般公共预算“三公”经费预算表</w:t>
      </w:r>
      <w:r>
        <w:rPr>
          <w:rFonts w:ascii="微软雅黑" w:hAnsi="微软雅黑" w:eastAsia="微软雅黑" w:cs="微软雅黑"/>
          <w:i w:val="0"/>
          <w:caps w:val="0"/>
          <w:color w:val="333333"/>
          <w:spacing w:val="0"/>
          <w:kern w:val="0"/>
          <w:sz w:val="21"/>
          <w:szCs w:val="21"/>
          <w:shd w:val="clear" w:fill="FFFFFF"/>
          <w:lang w:val="en-US" w:eastAsia="zh-CN" w:bidi="ar"/>
        </w:rPr>
        <w:t> </w:t>
      </w:r>
    </w:p>
    <w:p>
      <w:pPr>
        <w:rPr>
          <w:rFonts w:ascii="微软雅黑" w:hAnsi="微软雅黑" w:eastAsia="微软雅黑" w:cs="微软雅黑"/>
          <w:i w:val="0"/>
          <w:caps w:val="0"/>
          <w:color w:val="333333"/>
          <w:spacing w:val="0"/>
          <w:kern w:val="0"/>
          <w:sz w:val="21"/>
          <w:szCs w:val="21"/>
          <w:shd w:val="clear" w:fill="FFFFFF"/>
          <w:lang w:val="en-US" w:eastAsia="zh-CN" w:bidi="ar"/>
        </w:rPr>
      </w:pPr>
      <w:r>
        <w:rPr>
          <w:rFonts w:ascii="微软雅黑" w:hAnsi="微软雅黑" w:eastAsia="微软雅黑" w:cs="微软雅黑"/>
          <w:i w:val="0"/>
          <w:caps w:val="0"/>
          <w:color w:val="333333"/>
          <w:spacing w:val="0"/>
          <w:kern w:val="0"/>
          <w:sz w:val="21"/>
          <w:szCs w:val="21"/>
          <w:shd w:val="clear" w:fill="FFFFFF"/>
          <w:lang w:val="en-US" w:eastAsia="zh-CN" w:bidi="ar"/>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right="0"/>
        <w:jc w:val="both"/>
        <w:rPr>
          <w:rFonts w:hint="eastAsia" w:ascii="宋体" w:hAnsi="宋体" w:eastAsia="宋体" w:cs="宋体"/>
          <w:b/>
          <w:i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center"/>
        <w:rPr>
          <w:rFonts w:hint="default" w:ascii="Times New Roman" w:hAnsi="Times New Roman" w:cs="Times New Roman"/>
          <w:i w:val="0"/>
          <w:caps w:val="0"/>
          <w:color w:val="666666"/>
          <w:spacing w:val="0"/>
          <w:sz w:val="16"/>
          <w:szCs w:val="16"/>
        </w:rPr>
      </w:pPr>
      <w:r>
        <w:rPr>
          <w:rFonts w:hint="eastAsia" w:ascii="宋体" w:hAnsi="宋体" w:eastAsia="宋体" w:cs="宋体"/>
          <w:b/>
          <w:i w:val="0"/>
          <w:caps w:val="0"/>
          <w:color w:val="333333"/>
          <w:spacing w:val="0"/>
          <w:sz w:val="44"/>
          <w:szCs w:val="44"/>
          <w:shd w:val="clear" w:fill="FFFFFF"/>
        </w:rPr>
        <w:t>蓝山县城市管理和综合执法局2021年部门预算说明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eastAsia" w:ascii="黑体" w:hAnsi="宋体" w:eastAsia="黑体" w:cs="黑体"/>
          <w:b/>
          <w:i w:val="0"/>
          <w:caps w:val="0"/>
          <w:color w:val="333333"/>
          <w:spacing w:val="0"/>
          <w:sz w:val="32"/>
          <w:szCs w:val="32"/>
          <w:shd w:val="clear" w:fill="FFFFFF"/>
        </w:rPr>
        <w:t>一、部门主要职能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ascii="仿宋_GB2312" w:hAnsi="Times New Roman" w:eastAsia="仿宋_GB2312" w:cs="仿宋_GB2312"/>
          <w:i w:val="0"/>
          <w:caps w:val="0"/>
          <w:color w:val="000000"/>
          <w:spacing w:val="0"/>
          <w:kern w:val="0"/>
          <w:sz w:val="32"/>
          <w:szCs w:val="32"/>
          <w:shd w:val="clear" w:fill="FFFFFF"/>
          <w:lang w:val="en-US" w:eastAsia="zh-CN" w:bidi="ar"/>
        </w:rPr>
        <w:t>蓝山县城市管理和综合执法局系县人民政府的组成部门之一，履行城市管理和综合执法工作职责。主要职责包括：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负责制订全县城市管理和综合执法中长期发展规划和各项专项规划，并组织实施；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拟定全县市容市貌、环境卫生、生活垃圾分类、园林绿化、城市照明、户外广告、城市道路、桥涵、供气、给排水(含二次供水)、公共停车场等市政公用设施标准和规范，并组织实施;负责城区市容市貌的管理监督和综合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负责制定城区市政公用设施大中修和专项维修、园林绿化建设和维护、环卫设施建设和维护等城市管理项目的年度计划，并组织实施和管理:参与城市管理方面政府投资和非经营性建设项目的可行性研究工作；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参与城区户外广告专项规划编制，负责城区户外广告、标语牌。画廊、橱窗等的场地规划编制:负责审批城区大型户外广告:负责城区户外招牌，指示牌设置及沿街门店、广场等商业文化活动占道的管理和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全县环境卫生的监督管理和执法工作。指导开展全县环境卫生综合整治行动和生活垃圾分类工作。负责城区生活垃圾、餐厨垃圾、‘建筑垃圾等相关企业的经营性处置服务许可审批和监督管理工作:负责城区环卫基础设施的监管工作:负责城区建筑垃圾、餐厨垃圾等的收集。运输、消纳、处置的管理、以及市容环境卫生管理方面的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全县市政公用设施运行的监督管理和执法工作。负责全县城镇供水的水质监测和指导工作。负责全县医疗废弃物监管、收集、处置及其附属设施运行的监督管理和执法工作。负责城区道路、桥涵、照明、供气、给排水(含二次供水)、污水处理及其附属设施运行的监督管理和执法工作:负责城区单位和个人挖掘市政道路，占用桥丽、照明、供气、给排水(含次化木)等设施的审批、监督管理以及行政执法工作。参与给排水、市政道路、路灯照明、园林绿化等项目的竣工和移交接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全县燃气经营许可的指导、监督管理工作、负责县本级燃气经营许可证的审批和核发:负责规范全县燃气热力市场;负责全县燃气燃烧器具安装、维修资质证的审批和核发;负责燃气燃烧器具安装、维修资质的使用、安全等监督管理，以及城市燃气设施管理方面法律法规的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8、</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全县园林绿化建设维护管理工作。会同有关部门共同编制中心城区绿化规划，经批准后组织实施。负责全县园林绿化各行业标准和技术标准的执行并组织验收和评定:负责全县城市园林绿化企业的资质核准报批工作;负责城区内公园广场绿地、防护绿地、道路绿地的园林设施建设维护管理和园林绿化(合风景名胜)管理方而法律法规的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9、</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负责城区占用城市公园、广场、人行道设置“城市家具”等的审挑管理及行政执法工作；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10、</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负责城区内城市管理数字化、精细化、智慧化的建设和管理工作；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11、</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负责城区内国有土地和集体土地上未依法取得规划许可或者未按照规划许可内容建设的建(构)筑物，以及超过规划许可期限未拆除的临时建(构)筑物的查处工作；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12、</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负责建筑垃圾(渣土)清运，处置企业的资责审批；建筑垃圾(渣土)运输、消纳的管理工作；负责城区内建筑垃圾(渣土)管理方面法律法规的行政执法工作；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13、</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城区内环境保护管理方面社会生活噪声污染、城市道路扬尘污染、餐饮服务业油烟污染、露天烧烤污染、城市焚烧沥青塑料垃圾等烟尘和恶臭污染、露天焚烧秸秆落叶等烟尘污染、燃放烟花爆竹污染等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14、</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负责城区内工商行政管理方面户外公共场所无照经营、违规设置户外广告等市场监督管理方面的行政执法工作；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15、</w:t>
      </w:r>
      <w:r>
        <w:rPr>
          <w:rFonts w:hint="default" w:ascii="仿宋_GB2312" w:hAnsi="Times New Roman" w:eastAsia="仿宋_GB2312" w:cs="仿宋_GB2312"/>
          <w:i w:val="0"/>
          <w:caps w:val="0"/>
          <w:color w:val="666666"/>
          <w:spacing w:val="0"/>
          <w:kern w:val="0"/>
          <w:sz w:val="32"/>
          <w:szCs w:val="32"/>
          <w:shd w:val="clear" w:fill="FFFFFF"/>
          <w:lang w:val="en-US" w:eastAsia="zh-CN" w:bidi="ar"/>
        </w:rPr>
        <w:t>负责城区内食品药品监管方面户外公共场所食品销售和餐饮摊点无证经营，以及户外违法回收明实药品等行政执法工作；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666666"/>
          <w:spacing w:val="0"/>
          <w:kern w:val="0"/>
          <w:sz w:val="32"/>
          <w:szCs w:val="32"/>
          <w:shd w:val="clear" w:fill="FFFFFF"/>
          <w:lang w:val="en-US" w:eastAsia="zh-CN" w:bidi="ar"/>
        </w:rPr>
        <w:t>16、负责城区内向城市河道和其他水域倾倒废弃物、垃圾和违规取土、城市河道违法建筑物拆除等水务管理方面的行政处罚工作；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666666"/>
          <w:spacing w:val="0"/>
          <w:kern w:val="0"/>
          <w:sz w:val="32"/>
          <w:szCs w:val="32"/>
          <w:shd w:val="clear" w:fill="FFFFFF"/>
          <w:lang w:val="en-US" w:eastAsia="zh-CN" w:bidi="ar"/>
        </w:rPr>
        <w:t>17、负责县委、县政府交办的其他工作。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eastAsia" w:ascii="黑体" w:hAnsi="宋体" w:eastAsia="黑体" w:cs="黑体"/>
          <w:b/>
          <w:i w:val="0"/>
          <w:caps w:val="0"/>
          <w:color w:val="333333"/>
          <w:spacing w:val="0"/>
          <w:sz w:val="32"/>
          <w:szCs w:val="32"/>
          <w:shd w:val="clear" w:fill="FFFFFF"/>
        </w:rPr>
        <w:t>二、部门机构设置及部门预算单位构成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000000"/>
          <w:spacing w:val="0"/>
          <w:sz w:val="32"/>
          <w:szCs w:val="32"/>
          <w:shd w:val="clear" w:fill="FFFFFF"/>
        </w:rPr>
        <w:t>县城市管理和综合执法局下辖综合办公室、法制股、数字城管指挥中心、控违拆违办公室、广告管理办公室、渣土管理办公室、市政设施管理股、废弃物处置和给排水管理股8个职能股室，全局实有人数134人，其中在职86人，退休21人，临时人员27人；车辆编制数0台，实有车辆0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县城市管理和综合执法局无纳入2020年部门预算编制范围的二级预算单位。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20" w:lineRule="atLeast"/>
        <w:ind w:left="420" w:right="0" w:firstLine="420"/>
        <w:jc w:val="both"/>
        <w:rPr>
          <w:rFonts w:hint="default" w:ascii="Times New Roman" w:hAnsi="Times New Roman" w:cs="Times New Roman"/>
          <w:i w:val="0"/>
          <w:caps w:val="0"/>
          <w:color w:val="666666"/>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eastAsia" w:ascii="黑体" w:hAnsi="宋体" w:eastAsia="黑体" w:cs="黑体"/>
          <w:b/>
          <w:i w:val="0"/>
          <w:caps w:val="0"/>
          <w:color w:val="333333"/>
          <w:spacing w:val="0"/>
          <w:sz w:val="32"/>
          <w:szCs w:val="32"/>
          <w:shd w:val="clear"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ascii="楷体_GB2312" w:hAnsi="Times New Roman" w:eastAsia="楷体_GB2312" w:cs="楷体_GB2312"/>
          <w:b/>
          <w:i w:val="0"/>
          <w:caps w:val="0"/>
          <w:color w:val="333333"/>
          <w:spacing w:val="0"/>
          <w:sz w:val="32"/>
          <w:szCs w:val="32"/>
          <w:shd w:val="clear" w:fill="FFFFFF"/>
        </w:rPr>
        <w:t>（一）关于</w:t>
      </w:r>
      <w:r>
        <w:rPr>
          <w:rFonts w:hint="default" w:ascii="楷体_GB2312" w:hAnsi="Times New Roman" w:eastAsia="楷体_GB2312" w:cs="楷体_GB2312"/>
          <w:b/>
          <w:i w:val="0"/>
          <w:caps w:val="0"/>
          <w:color w:val="333333"/>
          <w:spacing w:val="0"/>
          <w:sz w:val="32"/>
          <w:szCs w:val="32"/>
          <w:shd w:val="clear" w:fill="FFFFFF"/>
        </w:rPr>
        <w:t>蓝山县城市管理和综合执法局2021年收支总表的说明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蓝山县城市管理和综合执法局所有收入和支出均纳入部门预算管理。收入为一般公共预算拨款收入；支出为一般公共服务支出。蓝山县城市管理和综合执法局2021年收支总预算22591.68万元。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（二）关于蓝山县城市管理和综合执法局2021年收入总表的说明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蓝山县城市管理和综合执法局2021年收入预算22591.68万元，为一般公共预算拨款收入，占100%。</w:t>
      </w:r>
      <w:r>
        <w:rPr>
          <w:rFonts w:hint="default" w:ascii="仿宋_GB2312" w:hAnsi="Times New Roman" w:eastAsia="仿宋_GB2312" w:cs="仿宋_GB2312"/>
          <w:i w:val="0"/>
          <w:caps w:val="0"/>
          <w:color w:val="000000"/>
          <w:spacing w:val="0"/>
          <w:kern w:val="0"/>
          <w:sz w:val="32"/>
          <w:szCs w:val="32"/>
          <w:shd w:val="clear" w:fill="FFFFFF"/>
          <w:lang w:val="en-US" w:eastAsia="zh-CN" w:bidi="ar"/>
        </w:rPr>
        <w:t>收入较去年预算数增加20652.34万元，主要是项目支出的增加。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641"/>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（三）关于蓝山县城市管理和综合执法局2021年支出总表的说明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蓝山县城市管理和综合执法局2021年支出预算22591.68万元，其中：基本支出906.03万元，占4.01%；项目支出21685.65万元，占95.99%。</w:t>
      </w:r>
      <w:r>
        <w:rPr>
          <w:rFonts w:hint="default" w:ascii="仿宋_GB2312" w:hAnsi="Times New Roman" w:eastAsia="仿宋_GB2312" w:cs="仿宋_GB2312"/>
          <w:i w:val="0"/>
          <w:caps w:val="0"/>
          <w:color w:val="000000"/>
          <w:spacing w:val="0"/>
          <w:kern w:val="0"/>
          <w:sz w:val="32"/>
          <w:szCs w:val="32"/>
          <w:shd w:val="clear" w:fill="FFFFFF"/>
          <w:lang w:val="en-US" w:eastAsia="zh-CN" w:bidi="ar"/>
        </w:rPr>
        <w:t>支出较去年预算数增加20652.34万元，主要是项目支出的增加。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（四）关于蓝山县城市管理和综合执法局2021年财政拨款收支总表的说明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蓝山县城市管理和综合执法局2021年财政拨款收支总预算22591.68万元。收入全部为一般公共预算当年拨款，无政府性基金预算拨款；支出全部为城乡社区支出。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（五）关于蓝山县城市管理和综合执法局2021年一般公共预算支出表的说明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1、一般公共预算当年拨款规模变化情况。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蓝山县城市管理和综合执法局2021年一般公共预算当年拨款22591.68万元，比2020年执行数增加20077.16万元，增加88.87%。主要原因是项目支出的增加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2、一般公共预算当年拨款结构情况。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蓝山县城市管理和综合执法局2021年城乡社区支出22591.68万元，占100%。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3、一般公共预算当年拨款具体使用情况。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1、基本支出。</w:t>
      </w:r>
      <w:r>
        <w:rPr>
          <w:rFonts w:hint="default" w:ascii="仿宋_GB2312" w:hAnsi="Times New Roman" w:eastAsia="仿宋_GB2312" w:cs="仿宋_GB2312"/>
          <w:i w:val="0"/>
          <w:caps w:val="0"/>
          <w:color w:val="000000"/>
          <w:spacing w:val="0"/>
          <w:kern w:val="0"/>
          <w:sz w:val="32"/>
          <w:szCs w:val="32"/>
          <w:shd w:val="clear" w:fill="FFFFFF"/>
          <w:lang w:val="en-US" w:eastAsia="zh-CN" w:bidi="ar"/>
        </w:rPr>
        <w:t>2021年年初预算数为906.03万元，是指为保障单位机构正常运转、完成日常工作任务而发生的各项支出。其中：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①工资福利支出714万元，包括用于基本工资、津贴补贴、社保缴费、住房公积金等。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②对个人和家庭补助支出5.42万元，包括离退休费、抚恤金、生活补助、助学金等。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③商品和服务支出186.61万元，包括办公费、交通费、会议费、印刷费、水电费、物业费、办公设备购置等日常公用经费。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2、项目支出。</w:t>
      </w:r>
      <w:r>
        <w:rPr>
          <w:rFonts w:hint="default" w:ascii="仿宋_GB2312" w:hAnsi="Times New Roman" w:eastAsia="仿宋_GB2312" w:cs="仿宋_GB2312"/>
          <w:i w:val="0"/>
          <w:caps w:val="0"/>
          <w:color w:val="000000"/>
          <w:spacing w:val="0"/>
          <w:kern w:val="0"/>
          <w:sz w:val="32"/>
          <w:szCs w:val="32"/>
          <w:shd w:val="clear" w:fill="FFFFFF"/>
          <w:lang w:val="en-US" w:eastAsia="zh-CN" w:bidi="ar"/>
        </w:rPr>
        <w:t>2020年年初预算数为21685.65万元，是指单位为完成特定行政工作任务或事业发展目标而发生的支出。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（六）关于蓝山县城市管理和综合执法局2021年一般公共预算基本支出表的说明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蓝山县城市管理和综合执法局2021年一般公共预算基本支出906.03万元，其中：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1、基本支出。</w:t>
      </w:r>
      <w:r>
        <w:rPr>
          <w:rFonts w:hint="default" w:ascii="仿宋_GB2312" w:hAnsi="Times New Roman" w:eastAsia="仿宋_GB2312" w:cs="仿宋_GB2312"/>
          <w:i w:val="0"/>
          <w:caps w:val="0"/>
          <w:color w:val="000000"/>
          <w:spacing w:val="0"/>
          <w:kern w:val="0"/>
          <w:sz w:val="32"/>
          <w:szCs w:val="32"/>
          <w:shd w:val="clear" w:fill="FFFFFF"/>
          <w:lang w:val="en-US" w:eastAsia="zh-CN" w:bidi="ar"/>
        </w:rPr>
        <w:t>2021年年初预算数为906.03万元，是指为保障单位机构正常运转、完成日常工作任务而发生的各项支出。其中：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①工资福利支出714万元，包括用于基本工资、津贴补贴、社保缴费、住房公积金等。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②对个人和家庭补助支出5.42万元，包括离退休费、抚恤金、生活补助、助学金等。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③商品和服务支出186.61万元，包括办公费、交通费、会议费、印刷费、水电费、物业费、办公设备购置等日常公用经费。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（七）关于蓝山县城市管理和综合执法局2021年“三公”经费支出表的说明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333333"/>
          <w:spacing w:val="0"/>
          <w:kern w:val="0"/>
          <w:sz w:val="32"/>
          <w:szCs w:val="32"/>
          <w:shd w:val="clear" w:fill="FFFFFF"/>
          <w:lang w:val="en-US" w:eastAsia="zh-CN" w:bidi="ar"/>
        </w:rPr>
        <w:t>蓝山县城市管理和综合执法局2021年“三公”经费预算数为23.5万元，</w:t>
      </w:r>
      <w:r>
        <w:rPr>
          <w:rFonts w:hint="default" w:ascii="仿宋_GB2312" w:hAnsi="Times New Roman" w:eastAsia="仿宋_GB2312" w:cs="仿宋_GB2312"/>
          <w:i w:val="0"/>
          <w:caps w:val="0"/>
          <w:color w:val="000000"/>
          <w:spacing w:val="0"/>
          <w:kern w:val="0"/>
          <w:sz w:val="32"/>
          <w:szCs w:val="32"/>
          <w:shd w:val="clear" w:fill="FFFFFF"/>
          <w:lang w:val="en-US" w:eastAsia="zh-CN" w:bidi="ar"/>
        </w:rPr>
        <w:t>一般公共预算安排“三公”经费预算数23.5万元，其中：因公出国（境）费0万元，公务用车购置及运行费 万元（其中：公务用车购置费0万元，公务用车运行费 17.5万元），公务接待费6万元。2020年“三公”经费预算较2019年无变化。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（八）关于蓝山县城市管理和综合执法局2021年政府性基金预算支出表的说明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蓝山县城市管理和综合执法局2021年没有使用政府性基金预算拨款安排的支出。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楷体_GB2312" w:hAnsi="Times New Roman" w:eastAsia="楷体_GB2312" w:cs="楷体_GB2312"/>
          <w:b/>
          <w:i w:val="0"/>
          <w:caps w:val="0"/>
          <w:color w:val="333333"/>
          <w:spacing w:val="0"/>
          <w:sz w:val="32"/>
          <w:szCs w:val="32"/>
          <w:shd w:val="clear" w:fill="FFFFFF"/>
        </w:rPr>
        <w:t>（九）其他重要事项的情况说明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2021年本单位机关运行经费财政拨款预算</w:t>
      </w:r>
      <w:r>
        <w:rPr>
          <w:rFonts w:hint="eastAsia" w:ascii="仿宋_GB2312" w:hAnsi="Times New Roman" w:eastAsia="仿宋_GB2312" w:cs="仿宋_GB2312"/>
          <w:i w:val="0"/>
          <w:caps w:val="0"/>
          <w:color w:val="000000"/>
          <w:spacing w:val="0"/>
          <w:kern w:val="0"/>
          <w:sz w:val="32"/>
          <w:szCs w:val="32"/>
          <w:shd w:val="clear" w:fill="FFFFFF"/>
          <w:lang w:val="en-US" w:eastAsia="zh-CN" w:bidi="ar"/>
        </w:rPr>
        <w:t>186.61</w:t>
      </w:r>
      <w:r>
        <w:rPr>
          <w:rFonts w:hint="default" w:ascii="仿宋_GB2312" w:hAnsi="Times New Roman" w:eastAsia="仿宋_GB2312" w:cs="仿宋_GB2312"/>
          <w:i w:val="0"/>
          <w:caps w:val="0"/>
          <w:color w:val="000000"/>
          <w:spacing w:val="0"/>
          <w:kern w:val="0"/>
          <w:sz w:val="32"/>
          <w:szCs w:val="32"/>
          <w:shd w:val="clear" w:fill="FFFFFF"/>
          <w:lang w:val="en-US" w:eastAsia="zh-CN" w:bidi="ar"/>
        </w:rPr>
        <w:t>万元，比2020年预算减少</w:t>
      </w:r>
      <w:r>
        <w:rPr>
          <w:rFonts w:hint="eastAsia" w:ascii="仿宋_GB2312" w:hAnsi="Times New Roman" w:eastAsia="仿宋_GB2312" w:cs="仿宋_GB2312"/>
          <w:i w:val="0"/>
          <w:caps w:val="0"/>
          <w:color w:val="000000"/>
          <w:spacing w:val="0"/>
          <w:kern w:val="0"/>
          <w:sz w:val="32"/>
          <w:szCs w:val="32"/>
          <w:shd w:val="clear" w:fill="FFFFFF"/>
          <w:lang w:val="en-US" w:eastAsia="zh-CN" w:bidi="ar"/>
        </w:rPr>
        <w:t>9.34</w:t>
      </w:r>
      <w:r>
        <w:rPr>
          <w:rFonts w:hint="default" w:ascii="仿宋_GB2312" w:hAnsi="Times New Roman" w:eastAsia="仿宋_GB2312" w:cs="仿宋_GB2312"/>
          <w:i w:val="0"/>
          <w:caps w:val="0"/>
          <w:color w:val="000000"/>
          <w:spacing w:val="0"/>
          <w:kern w:val="0"/>
          <w:sz w:val="32"/>
          <w:szCs w:val="32"/>
          <w:shd w:val="clear" w:fill="FFFFFF"/>
          <w:lang w:val="en-US" w:eastAsia="zh-CN" w:bidi="ar"/>
        </w:rPr>
        <w:t>万元,下降</w:t>
      </w:r>
      <w:r>
        <w:rPr>
          <w:rFonts w:hint="eastAsia" w:ascii="仿宋_GB2312" w:hAnsi="Times New Roman" w:eastAsia="仿宋_GB2312" w:cs="仿宋_GB2312"/>
          <w:i w:val="0"/>
          <w:caps w:val="0"/>
          <w:color w:val="000000"/>
          <w:spacing w:val="0"/>
          <w:kern w:val="0"/>
          <w:sz w:val="32"/>
          <w:szCs w:val="32"/>
          <w:shd w:val="clear" w:fill="FFFFFF"/>
          <w:lang w:val="en-US" w:eastAsia="zh-CN" w:bidi="ar"/>
        </w:rPr>
        <w:t>5.26%</w:t>
      </w:r>
      <w:r>
        <w:rPr>
          <w:rFonts w:hint="default" w:ascii="仿宋_GB2312" w:hAnsi="Times New Roman" w:eastAsia="仿宋_GB2312" w:cs="仿宋_GB2312"/>
          <w:i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shd w:val="clear" w:fill="FFFFFF"/>
          <w:lang w:val="en-US" w:eastAsia="zh-CN" w:bidi="ar"/>
        </w:rPr>
        <w:t>主要是落实过紧日子要求，压减公用经费。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ascii="仿宋_GB2312" w:hAnsi="Times New Roman" w:eastAsia="仿宋_GB2312" w:cs="仿宋_GB2312"/>
          <w:i w:val="0"/>
          <w:caps w:val="0"/>
          <w:color w:val="333333"/>
          <w:spacing w:val="0"/>
          <w:sz w:val="32"/>
          <w:szCs w:val="32"/>
          <w:shd w:val="clear" w:fill="FFFFFF"/>
        </w:rPr>
        <w:t>二、</w:t>
      </w:r>
      <w:r>
        <w:rPr>
          <w:rFonts w:hint="default" w:ascii="仿宋_GB2312" w:hAnsi="Times New Roman" w:eastAsia="仿宋_GB2312" w:cs="仿宋_GB2312"/>
          <w:i w:val="0"/>
          <w:caps w:val="0"/>
          <w:color w:val="333333"/>
          <w:spacing w:val="0"/>
          <w:sz w:val="32"/>
          <w:szCs w:val="32"/>
          <w:shd w:val="clear" w:fill="FFFFFF"/>
        </w:rPr>
        <w:t>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20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2021年蓝山县城市管理和综合执法局所属各预算单位政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20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府采购预算总额0万元，其中：政府采购货物预算0万元、政府采购工程预算0万元、政府采购服务预算0万元。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三、国有资产占有使用情况。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1、车辆占用使用情况。</w:t>
      </w:r>
      <w:r>
        <w:rPr>
          <w:rFonts w:hint="default" w:ascii="仿宋_GB2312" w:hAnsi="Times New Roman" w:eastAsia="仿宋_GB2312" w:cs="仿宋_GB2312"/>
          <w:i w:val="0"/>
          <w:caps w:val="0"/>
          <w:color w:val="000000"/>
          <w:spacing w:val="0"/>
          <w:kern w:val="0"/>
          <w:sz w:val="32"/>
          <w:szCs w:val="32"/>
          <w:shd w:val="clear" w:fill="FFFFFF"/>
          <w:lang w:val="en-US" w:eastAsia="zh-CN" w:bidi="ar"/>
        </w:rPr>
        <w:t>共有车辆4辆,其中：一般公务用车0辆、一般执法执勤用车4辆，特种专业技术用车0辆、其他用车0辆。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2、大型设备占用使用情况。</w:t>
      </w:r>
      <w:r>
        <w:rPr>
          <w:rFonts w:hint="default" w:ascii="仿宋_GB2312" w:hAnsi="Times New Roman" w:eastAsia="仿宋_GB2312" w:cs="仿宋_GB2312"/>
          <w:i w:val="0"/>
          <w:caps w:val="0"/>
          <w:color w:val="000000"/>
          <w:spacing w:val="0"/>
          <w:kern w:val="0"/>
          <w:sz w:val="32"/>
          <w:szCs w:val="32"/>
          <w:shd w:val="clear" w:fill="FFFFFF"/>
          <w:lang w:val="en-US" w:eastAsia="zh-CN" w:bidi="ar"/>
        </w:rPr>
        <w:t>无单价50万元以上的通用设备，无单价100万元以上的专用设备。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00"/>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3、房屋占用使用情况。</w:t>
      </w:r>
      <w:r>
        <w:rPr>
          <w:rFonts w:hint="default" w:ascii="仿宋_GB2312" w:hAnsi="Times New Roman" w:eastAsia="仿宋_GB2312" w:cs="仿宋_GB2312"/>
          <w:i w:val="0"/>
          <w:caps w:val="0"/>
          <w:color w:val="000000"/>
          <w:spacing w:val="0"/>
          <w:kern w:val="0"/>
          <w:sz w:val="32"/>
          <w:szCs w:val="32"/>
          <w:shd w:val="clear" w:fill="FFFFFF"/>
          <w:lang w:val="en-US" w:eastAsia="zh-CN" w:bidi="ar"/>
        </w:rPr>
        <w:t>办公用房206平方米，业务用房0平方米，其他用房0平方米。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四、预算绩效情况说明。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333333"/>
          <w:spacing w:val="0"/>
          <w:sz w:val="32"/>
          <w:szCs w:val="32"/>
          <w:shd w:val="clear" w:fill="FFFFFF"/>
        </w:rPr>
        <w:t>按照预算绩效管理工作的总体要求，2021年蓝山县城市管理和综合执法局整体支出绩效目标22591.68万元，其中：基本支出906.03万元，项目支出21685.65万元。全部实行整体支出绩效目标管理，涉及一般公共预算当年拨款22591.68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i w:val="0"/>
          <w:caps w:val="0"/>
          <w:color w:val="666666"/>
          <w:spacing w:val="0"/>
          <w:sz w:val="32"/>
          <w:szCs w:val="32"/>
          <w:shd w:val="clear" w:fill="FFFFFF"/>
        </w:rPr>
        <w:t>2021年蓝山县城市管理和综合执法局50万元以上的项目支出绩效目标9个，项目资金总额5212.57万元，其中：县城内道路标识标线重新补划项目经费79.71万元，老旧城区雨污管网改造项目经费10000万元，生活污水处理二期扩容项目经费3660万元，和平加油站排水管道改造项目经费174.39万元，广场设施维修和维护项目经费60万元，路灯设施维护和维修项目经费80万元，黑臭水体整治项目经费343.18万元，城区排水防涝设施工程建设项目经费5200万元，县城主次街道林荫路改造项目经费1900万元。全部实行项目支出绩效目标管理，涉及一般公共预算当年拨款21497.28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eastAsia" w:ascii="黑体" w:hAnsi="宋体" w:eastAsia="黑体" w:cs="黑体"/>
          <w:b/>
          <w:i w:val="0"/>
          <w:caps w:val="0"/>
          <w:color w:val="333333"/>
          <w:spacing w:val="0"/>
          <w:sz w:val="32"/>
          <w:szCs w:val="32"/>
          <w:shd w:val="clear" w:fill="FFFFFF"/>
        </w:rPr>
        <w:t>四、名词解释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（一）机关运行经费</w:t>
      </w:r>
      <w:r>
        <w:rPr>
          <w:rFonts w:hint="default" w:ascii="仿宋_GB2312" w:hAnsi="Times New Roman" w:eastAsia="仿宋_GB2312" w:cs="仿宋_GB2312"/>
          <w:i w:val="0"/>
          <w:caps w:val="0"/>
          <w:color w:val="000000"/>
          <w:spacing w:val="0"/>
          <w:kern w:val="0"/>
          <w:sz w:val="32"/>
          <w:szCs w:val="32"/>
          <w:shd w:val="clear" w:fill="FFFFFF"/>
          <w:lang w:val="en-US" w:eastAsia="zh-CN" w:bidi="ar"/>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（二）“三公”经费。</w:t>
      </w:r>
      <w:r>
        <w:rPr>
          <w:rFonts w:hint="default" w:ascii="仿宋_GB2312" w:hAnsi="Times New Roman" w:eastAsia="仿宋_GB2312" w:cs="仿宋_GB2312"/>
          <w:i w:val="0"/>
          <w:caps w:val="0"/>
          <w:color w:val="000000"/>
          <w:spacing w:val="0"/>
          <w:kern w:val="0"/>
          <w:sz w:val="32"/>
          <w:szCs w:val="32"/>
          <w:shd w:val="clear" w:fill="FFFFFF"/>
          <w:lang w:val="en-US" w:eastAsia="zh-CN" w:bidi="ar"/>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caps w:val="0"/>
          <w:color w:val="666666"/>
          <w:spacing w:val="0"/>
          <w:sz w:val="28"/>
          <w:szCs w:val="28"/>
        </w:rPr>
      </w:pPr>
      <w:r>
        <w:rPr>
          <w:rFonts w:hint="default" w:ascii="仿宋_GB2312" w:hAnsi="Times New Roman" w:eastAsia="仿宋_GB2312" w:cs="仿宋_GB2312"/>
          <w:b/>
          <w:i w:val="0"/>
          <w:caps w:val="0"/>
          <w:color w:val="000000"/>
          <w:spacing w:val="0"/>
          <w:kern w:val="0"/>
          <w:sz w:val="32"/>
          <w:szCs w:val="32"/>
          <w:shd w:val="clear" w:fill="FFFFFF"/>
          <w:lang w:val="en-US" w:eastAsia="zh-CN" w:bidi="ar"/>
        </w:rPr>
        <w:t>（三）基本支出。</w:t>
      </w:r>
      <w:r>
        <w:rPr>
          <w:rFonts w:hint="default" w:ascii="仿宋_GB2312" w:hAnsi="Times New Roman" w:eastAsia="仿宋_GB2312" w:cs="仿宋_GB2312"/>
          <w:i w:val="0"/>
          <w:caps w:val="0"/>
          <w:color w:val="000000"/>
          <w:spacing w:val="0"/>
          <w:kern w:val="0"/>
          <w:sz w:val="32"/>
          <w:szCs w:val="32"/>
          <w:shd w:val="clear" w:fill="FFFFFF"/>
          <w:lang w:val="en-US" w:eastAsia="zh-CN" w:bidi="ar"/>
        </w:rPr>
        <w:t>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16"/>
          <w:szCs w:val="16"/>
        </w:rPr>
      </w:pPr>
      <w:r>
        <w:rPr>
          <w:rFonts w:hint="default" w:ascii="仿宋_GB2312" w:hAnsi="Times New Roman" w:eastAsia="仿宋_GB2312" w:cs="仿宋_GB2312"/>
          <w:b/>
          <w:i w:val="0"/>
          <w:caps w:val="0"/>
          <w:color w:val="000000"/>
          <w:spacing w:val="0"/>
          <w:sz w:val="32"/>
          <w:szCs w:val="32"/>
          <w:shd w:val="clear" w:fill="FFFFFF"/>
        </w:rPr>
        <w:t>（四）项目支出。</w:t>
      </w:r>
      <w:r>
        <w:rPr>
          <w:rFonts w:hint="default" w:ascii="仿宋_GB2312" w:hAnsi="Times New Roman" w:eastAsia="仿宋_GB2312" w:cs="仿宋_GB2312"/>
          <w:i w:val="0"/>
          <w:caps w:val="0"/>
          <w:color w:val="000000"/>
          <w:spacing w:val="0"/>
          <w:sz w:val="32"/>
          <w:szCs w:val="32"/>
          <w:shd w:val="clear" w:fill="FFFFFF"/>
        </w:rPr>
        <w:t>指在基本支出之外为完成特定行政任务和事业发展目标所发生的支出。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60D9F"/>
    <w:rsid w:val="10861810"/>
    <w:rsid w:val="43E6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2022-07-29T06:50:00Z</dcterms:created>
  <dc:creator>Sun king.</dc:creator>
  <cp:lastModifiedBy>Sun king.</cp:lastModifiedBy>
  <dcterms:modified xsi:type="dcterms:W3CDTF">2022-08-03T07:33:35Z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