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center"/>
        <w:rPr>
          <w:rFonts w:ascii="Calibri" w:hAnsi="Calibri" w:cs="Calibri"/>
          <w:i w:val="0"/>
          <w:caps w:val="0"/>
          <w:color w:val="666666"/>
          <w:spacing w:val="0"/>
          <w:sz w:val="16"/>
          <w:szCs w:val="16"/>
        </w:rPr>
      </w:pPr>
      <w:bookmarkStart w:id="0" w:name="_GoBack"/>
      <w:bookmarkEnd w:id="0"/>
      <w:r>
        <w:rPr>
          <w:rFonts w:ascii="仿宋_GB2312" w:hAnsi="Calibri" w:eastAsia="仿宋_GB2312" w:cs="仿宋_GB2312"/>
          <w:i w:val="0"/>
          <w:caps w:val="0"/>
          <w:color w:val="000000"/>
          <w:spacing w:val="0"/>
          <w:sz w:val="32"/>
          <w:szCs w:val="32"/>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一、部门基本概况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三、2021年度部门预算表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eastAsia" w:ascii="宋体" w:hAnsi="宋体" w:eastAsia="宋体" w:cs="宋体"/>
          <w:i w:val="0"/>
          <w:caps w:val="0"/>
          <w:color w:val="000000"/>
          <w:spacing w:val="0"/>
          <w:sz w:val="32"/>
          <w:szCs w:val="32"/>
          <w:shd w:val="clear" w:fill="FFFFFF"/>
        </w:rPr>
        <w:t>（一）部门收支总体情况表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eastAsia" w:ascii="宋体" w:hAnsi="宋体" w:eastAsia="宋体" w:cs="宋体"/>
          <w:i w:val="0"/>
          <w:caps w:val="0"/>
          <w:color w:val="000000"/>
          <w:spacing w:val="0"/>
          <w:sz w:val="32"/>
          <w:szCs w:val="32"/>
          <w:shd w:val="clear" w:fill="FFFFFF"/>
        </w:rPr>
        <w:t>（二）部门收入总体情况表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eastAsia" w:ascii="宋体" w:hAnsi="宋体" w:eastAsia="宋体" w:cs="宋体"/>
          <w:i w:val="0"/>
          <w:caps w:val="0"/>
          <w:color w:val="000000"/>
          <w:spacing w:val="0"/>
          <w:sz w:val="32"/>
          <w:szCs w:val="32"/>
          <w:shd w:val="clear" w:fill="FFFFFF"/>
        </w:rPr>
        <w:t>（三）部门支出总体情况表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eastAsia" w:ascii="宋体" w:hAnsi="宋体" w:eastAsia="宋体" w:cs="宋体"/>
          <w:i w:val="0"/>
          <w:caps w:val="0"/>
          <w:color w:val="000000"/>
          <w:spacing w:val="0"/>
          <w:sz w:val="32"/>
          <w:szCs w:val="32"/>
          <w:shd w:val="clear" w:fill="FFFFFF"/>
        </w:rPr>
        <w:t>（四）部门支出总表(按部门预算经济分类</w:t>
      </w:r>
      <w:r>
        <w:rPr>
          <w:rFonts w:hint="default" w:ascii="仿宋_GB2312" w:hAnsi="宋体" w:eastAsia="仿宋_GB2312" w:cs="仿宋_GB2312"/>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eastAsia" w:ascii="宋体" w:hAnsi="宋体" w:eastAsia="宋体" w:cs="宋体"/>
          <w:i w:val="0"/>
          <w:caps w:val="0"/>
          <w:color w:val="000000"/>
          <w:spacing w:val="0"/>
          <w:sz w:val="32"/>
          <w:szCs w:val="32"/>
          <w:shd w:val="clear" w:fill="FFFFFF"/>
        </w:rPr>
        <w:t>（五）部门支出总表(按政府预算经济分类</w:t>
      </w:r>
      <w:r>
        <w:rPr>
          <w:rFonts w:hint="default" w:ascii="仿宋_GB2312" w:hAnsi="宋体" w:eastAsia="仿宋_GB2312" w:cs="仿宋_GB2312"/>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16"/>
          <w:szCs w:val="16"/>
        </w:rPr>
      </w:pPr>
      <w:r>
        <w:rPr>
          <w:rFonts w:hint="eastAsia" w:ascii="宋体" w:hAnsi="宋体" w:eastAsia="宋体" w:cs="宋体"/>
          <w:i w:val="0"/>
          <w:caps w:val="0"/>
          <w:color w:val="000000"/>
          <w:spacing w:val="0"/>
          <w:sz w:val="32"/>
          <w:szCs w:val="32"/>
          <w:shd w:val="clear" w:fill="FFFFFF"/>
        </w:rPr>
        <w:t>（六）基本支出预算明细表-工资福利支出</w:t>
      </w:r>
      <w:r>
        <w:rPr>
          <w:rFonts w:hint="default" w:ascii="仿宋_GB2312" w:hAnsi="宋体" w:eastAsia="仿宋_GB2312" w:cs="仿宋_GB2312"/>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仿宋_GB2312" w:hAnsi="宋体" w:eastAsia="仿宋_GB2312" w:cs="仿宋_GB2312"/>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（七）基本支出预算明细表-工资福利支出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（八）基本支出预算明细表-商品和服务支出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（九）基本支出预算明细表-商品和服务支出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（十）基本支出预算明细表-对个人和家庭的补助</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（十一）基本支出预算明细表-对个人和家庭的补助</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（十二）财政拨款收支总体情况表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（十三）一般公共预算支出情况表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（十四）一般公共预算基本支出情况表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（十五）一般公共预算基本支出预算明细表-工资福利支出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（十六）一般公共预算基本支出预算明细表-工资福利支出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（十七）一般公共预算基本支出预算明细表-商品和服务支出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（十八）一般公共预算基本支出预算明细表-商品和服务支出</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（十九）一般公共预算基本支出预算明细表-对个人和家庭的补助</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（二十）一般公共预算基本支出预算明细表-对个人和家庭的补助</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（二十一）政府性基金预算支出情况表(按部门预算经济分类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（二十二）政府性基金预算支出情况表(按政府预算经济分类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（二十三）纳入专户管理的非税收入拨款预算分类汇总表(按部门预算经济分类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（二十四）纳入专户管理的非税收入拨款预算分类汇总表(按政府预算经济分类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（二十五）一般公共预算拨款--经费拨款预算表</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按部门预算经济分类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（二十六）一般公共预算拨款--经费拨款预算表</w:t>
      </w:r>
      <w:r>
        <w:rPr>
          <w:rFonts w:hint="default"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rPr>
        <w:t>按政府预算经济分类</w:t>
      </w:r>
      <w:r>
        <w:rPr>
          <w:rFonts w:hint="default"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（二十七）专项资金预算汇总表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（二十八）一般公共预算“三公”经费预算表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32"/>
          <w:szCs w:val="32"/>
          <w:shd w:val="clear" w:fill="FFFFFF"/>
          <w:lang w:eastAsia="zh-CN"/>
        </w:rPr>
      </w:pPr>
      <w:r>
        <w:rPr>
          <w:rFonts w:hint="eastAsia" w:ascii="宋体" w:hAnsi="宋体" w:eastAsia="宋体" w:cs="宋体"/>
          <w:i w:val="0"/>
          <w:caps w:val="0"/>
          <w:color w:val="000000"/>
          <w:spacing w:val="0"/>
          <w:sz w:val="32"/>
          <w:szCs w:val="32"/>
          <w:shd w:val="clear" w:fill="FFFFFF"/>
        </w:rPr>
        <w:t>（二十九）</w:t>
      </w:r>
      <w:r>
        <w:rPr>
          <w:rFonts w:hint="default" w:ascii="宋体" w:hAnsi="宋体" w:eastAsia="宋体" w:cs="宋体"/>
          <w:i w:val="0"/>
          <w:caps w:val="0"/>
          <w:color w:val="000000"/>
          <w:spacing w:val="0"/>
          <w:sz w:val="32"/>
          <w:szCs w:val="32"/>
          <w:shd w:val="clear" w:fill="FFFFFF"/>
        </w:rPr>
        <w:t>2021</w:t>
      </w:r>
      <w:r>
        <w:rPr>
          <w:rFonts w:hint="eastAsia" w:ascii="宋体" w:hAnsi="宋体" w:eastAsia="宋体" w:cs="宋体"/>
          <w:i w:val="0"/>
          <w:caps w:val="0"/>
          <w:color w:val="000000"/>
          <w:spacing w:val="0"/>
          <w:sz w:val="32"/>
          <w:szCs w:val="32"/>
          <w:shd w:val="clear" w:fill="FFFFFF"/>
        </w:rPr>
        <w:t>年政府购买采购预算表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（三十）2021年政府采购预算表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五、2021年一般公共预算安排“三公”经费预算情况说明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六、关于2021年政府性基金预算支出情况说明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七、其他重要事项的情况说明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（一）机关运行经费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（二）政府采购情况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（三）绩效目标设置情况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（四）国有资产占用使用情况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default" w:ascii="仿宋_GB2312" w:hAnsi="Calibri" w:eastAsia="仿宋_GB2312" w:cs="仿宋_GB2312"/>
          <w:i w:val="0"/>
          <w:caps w:val="0"/>
          <w:color w:val="000000"/>
          <w:spacing w:val="0"/>
          <w:sz w:val="32"/>
          <w:szCs w:val="32"/>
          <w:shd w:val="clear" w:fill="FFFFFF"/>
        </w:rPr>
      </w:pPr>
      <w:r>
        <w:rPr>
          <w:rFonts w:hint="default" w:ascii="仿宋_GB2312" w:hAnsi="Calibri" w:eastAsia="仿宋_GB2312" w:cs="仿宋_GB2312"/>
          <w:i w:val="0"/>
          <w:caps w:val="0"/>
          <w:color w:val="000000"/>
          <w:spacing w:val="0"/>
          <w:sz w:val="32"/>
          <w:szCs w:val="32"/>
          <w:shd w:val="clear" w:fill="FFFFFF"/>
        </w:rPr>
        <w:t>八、名词解释</w:t>
      </w:r>
    </w:p>
    <w:p>
      <w:pPr>
        <w:rPr>
          <w:rFonts w:hint="default" w:ascii="仿宋_GB2312" w:hAnsi="Calibri" w:eastAsia="仿宋_GB2312" w:cs="仿宋_GB2312"/>
          <w:i w:val="0"/>
          <w:caps w:val="0"/>
          <w:color w:val="000000"/>
          <w:spacing w:val="0"/>
          <w:sz w:val="32"/>
          <w:szCs w:val="32"/>
          <w:shd w:val="clear" w:fill="FFFFFF"/>
        </w:rPr>
      </w:pPr>
      <w:r>
        <w:rPr>
          <w:rFonts w:hint="default" w:ascii="仿宋_GB2312" w:hAnsi="Calibri" w:eastAsia="仿宋_GB2312" w:cs="仿宋_GB2312"/>
          <w:i w:val="0"/>
          <w:caps w:val="0"/>
          <w:color w:val="000000"/>
          <w:spacing w:val="0"/>
          <w:sz w:val="32"/>
          <w:szCs w:val="32"/>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黑体" w:hAnsi="黑体" w:eastAsia="黑体" w:cs="黑体"/>
          <w:i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caps w:val="0"/>
          <w:color w:val="666666"/>
          <w:spacing w:val="0"/>
          <w:sz w:val="16"/>
          <w:szCs w:val="16"/>
        </w:rPr>
      </w:pPr>
      <w:r>
        <w:rPr>
          <w:rFonts w:hint="eastAsia" w:ascii="黑体" w:hAnsi="黑体" w:eastAsia="黑体" w:cs="黑体"/>
          <w:i w:val="0"/>
          <w:caps w:val="0"/>
          <w:color w:val="333333"/>
          <w:spacing w:val="0"/>
          <w:sz w:val="44"/>
          <w:szCs w:val="44"/>
          <w:shd w:val="clear" w:fill="FFFFFF"/>
        </w:rPr>
        <w:t>蓝山县交通运输局2021年部门预算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ascii="黑体" w:hAnsi="宋体" w:eastAsia="黑体" w:cs="黑体"/>
          <w:i w:val="0"/>
          <w:caps w:val="0"/>
          <w:color w:val="000000"/>
          <w:spacing w:val="0"/>
          <w:kern w:val="0"/>
          <w:sz w:val="32"/>
          <w:szCs w:val="32"/>
          <w:shd w:val="clear" w:fill="FFFFFF"/>
          <w:lang w:val="en-US" w:eastAsia="zh-CN" w:bidi="ar"/>
        </w:rPr>
        <w:t>一、部门基本情况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ascii="楷体_GB2312" w:hAnsi="Calibri" w:eastAsia="楷体_GB2312" w:cs="楷体_GB2312"/>
          <w:b/>
          <w:i w:val="0"/>
          <w:caps w:val="0"/>
          <w:color w:val="000000"/>
          <w:spacing w:val="0"/>
          <w:kern w:val="0"/>
          <w:sz w:val="32"/>
          <w:szCs w:val="32"/>
          <w:shd w:val="clear" w:fill="FFFFFF"/>
          <w:lang w:val="en-US" w:eastAsia="zh-CN" w:bidi="ar"/>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（1）贯彻执行国家有关交通行业的方针、政策和法律、法规及县委、县政府和上级主管部门的指示决定；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（2）根据交通行业发展规划编制全县公路建设、道路运输发展规划，负责县域范围内道路桥梁及设施的建设养护；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（3）负责全县公路旅客运输、货物运输和公路运政的安全管理；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（4）负责全县道路客货运输市场、站场经营、机动车维修市场、机动车驾驶员培训等行业的管理工作；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（5）负责交通运输和公路建设的科研工作，发展交通科技；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（6）负责交通战备工作；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（7）负责全县城市客运工作；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（8）负责全县农村公路交通建设质量安全监督工作；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（9）负责全县干线公路、县乡公路行政执法、路政管理、超限超载治理、按规定权限负责审批（核）公路行政许可事项；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（10）负责全县道路运输行政执法、按规定权限负责审批（核）道路运输行政许可事项；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（11）负责交通建设质量安全行政执法、按规定权限负责审批(核)交通建设质量安全行政许可事项；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（12）负责交通系统干部、职工的教育培训工作，按照干部的管理权限，管理直属单位的干部，指导全县交通行业的精神文明建设和法制建设；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（13）承办县委、县政府和上级有关部门交办的其他工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我局为正科级全额拨款行政、事业单位，设办公室（交通战备办）、财务审计股、政工股、安全法制股、基本建设股、路政管理股、运输股等七个内设股室；交通运输综合执法大队一个副科级行政执法单位；道路运输服务中心、交通建设质量安全监督站两个副科级事业单位和城市客运服务站一个正股级事业单位。交通运输综合执法大队设综合室、案件处理室和四个执法中队；道路运输服务中心设办公室、客货运管理股、安全管理股、机动车驾驶员培训管理股、机动车维修管理股、驻站管理股；交通建设质量安全监督管理站内设办公室、监督检测股、造价管理股；基本建设股下设11个建制工班</w:t>
      </w:r>
      <w:r>
        <w:rPr>
          <w:rFonts w:hint="eastAsia" w:ascii="宋体" w:hAnsi="宋体" w:eastAsia="宋体" w:cs="宋体"/>
          <w:i w:val="0"/>
          <w:caps w:val="0"/>
          <w:color w:val="666666"/>
          <w:spacing w:val="0"/>
          <w:sz w:val="32"/>
          <w:szCs w:val="32"/>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i w:val="0"/>
          <w:caps w:val="0"/>
          <w:color w:val="000000"/>
          <w:spacing w:val="0"/>
          <w:sz w:val="32"/>
          <w:szCs w:val="32"/>
          <w:shd w:val="clear" w:fill="FFFFFF"/>
        </w:rPr>
        <w:t>蓝山县交通运输局无纳入2021年部门预算编制范围的二级预算单位。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三、2021年度部门预算表（见附件）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四、2021年部门预算情况说明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（一）2021年部门收支总体情况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（1）收入预算。</w:t>
      </w:r>
      <w:r>
        <w:rPr>
          <w:rFonts w:hint="default" w:ascii="仿宋_GB2312" w:hAnsi="Calibri" w:eastAsia="仿宋_GB2312" w:cs="仿宋_GB2312"/>
          <w:i w:val="0"/>
          <w:caps w:val="0"/>
          <w:color w:val="000000"/>
          <w:spacing w:val="0"/>
          <w:kern w:val="0"/>
          <w:sz w:val="32"/>
          <w:szCs w:val="32"/>
          <w:shd w:val="clear" w:fill="FFFFFF"/>
          <w:lang w:val="en-US" w:eastAsia="zh-CN" w:bidi="ar"/>
        </w:rPr>
        <w:t>2021年年初预算数7805万元，其中，一般公共预算经费拨款3983万元，纳入预算管理的非税收入54万元，政府性基金预算拨款0万元，纳入财政专户管理的非税收入0万元，上级补助收入3768万元。收入较去年预算数8435万减少630万元，主要是专项上级补助收入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Calibri" w:hAnsi="Calibri" w:cs="Calibri"/>
          <w:i w:val="0"/>
          <w:caps w:val="0"/>
          <w:color w:val="666666"/>
          <w:spacing w:val="0"/>
          <w:sz w:val="16"/>
          <w:szCs w:val="16"/>
        </w:rPr>
      </w:pPr>
      <w:r>
        <w:rPr>
          <w:rFonts w:hint="default" w:ascii="仿宋_GB2312" w:hAnsi="Calibri" w:eastAsia="仿宋_GB2312" w:cs="仿宋_GB2312"/>
          <w:b/>
          <w:i w:val="0"/>
          <w:caps w:val="0"/>
          <w:color w:val="000000"/>
          <w:spacing w:val="0"/>
          <w:sz w:val="32"/>
          <w:szCs w:val="32"/>
          <w:shd w:val="clear" w:fill="FFFFFF"/>
        </w:rPr>
        <w:t>（2）支出预算。</w:t>
      </w:r>
      <w:r>
        <w:rPr>
          <w:rFonts w:hint="default" w:ascii="仿宋_GB2312" w:hAnsi="Calibri" w:eastAsia="仿宋_GB2312" w:cs="仿宋_GB2312"/>
          <w:i w:val="0"/>
          <w:caps w:val="0"/>
          <w:color w:val="000000"/>
          <w:spacing w:val="0"/>
          <w:sz w:val="32"/>
          <w:szCs w:val="32"/>
          <w:shd w:val="clear" w:fill="FFFFFF"/>
        </w:rPr>
        <w:t>2021年年初预算数7805万元，其中，基本支出1774万元，占比22.74%；项目支出6031占比77.26%，较去年2020年预算项目支出6607万元减少576万元减幅8.73%，基本支出比去年1828万元减少54万元减幅2.93%，主要是项目支出预算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（二）2021年一般公共预算拨款收支情况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一般公共预算拨款收入4037万元，具体安排情况如下：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1、基本支出。</w:t>
      </w:r>
      <w:r>
        <w:rPr>
          <w:rFonts w:hint="default" w:ascii="仿宋_GB2312" w:hAnsi="Calibri" w:eastAsia="仿宋_GB2312" w:cs="仿宋_GB2312"/>
          <w:i w:val="0"/>
          <w:caps w:val="0"/>
          <w:color w:val="000000"/>
          <w:spacing w:val="0"/>
          <w:kern w:val="0"/>
          <w:sz w:val="32"/>
          <w:szCs w:val="32"/>
          <w:shd w:val="clear" w:fill="FFFFFF"/>
          <w:lang w:val="en-US" w:eastAsia="zh-CN" w:bidi="ar"/>
        </w:rPr>
        <w:t>2021年年初预算数为1679.2万元，是指为保障单位机构正常运转、完成日常工作任务而发生的各项支出。其中：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①工资福利支出1553.8万元，包括用于基本工资、津贴补贴、社保缴费、住房公积金等。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②对个人和家庭补助支出18.9万元，包括离退休费、抚恤金、生活补助、助学金等。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③商品和服务支出106.5万元，包括办公费、交通费、会议费、印刷费、水电费、物业费、办公设备购置等日常公用经费。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eastAsia" w:ascii="微软雅黑" w:hAnsi="微软雅黑" w:eastAsia="微软雅黑" w:cs="微软雅黑"/>
          <w:b/>
          <w:i w:val="0"/>
          <w:caps w:val="0"/>
          <w:color w:val="000000"/>
          <w:spacing w:val="0"/>
          <w:kern w:val="0"/>
          <w:sz w:val="32"/>
          <w:szCs w:val="32"/>
          <w:shd w:val="clear" w:fill="FFFFFF"/>
          <w:lang w:val="en-US" w:eastAsia="zh-CN" w:bidi="ar"/>
        </w:rPr>
        <w:t>2、</w:t>
      </w:r>
      <w:r>
        <w:rPr>
          <w:rFonts w:hint="default" w:ascii="仿宋_GB2312" w:hAnsi="Calibri" w:eastAsia="仿宋_GB2312" w:cs="仿宋_GB2312"/>
          <w:b/>
          <w:i w:val="0"/>
          <w:caps w:val="0"/>
          <w:color w:val="000000"/>
          <w:spacing w:val="0"/>
          <w:kern w:val="0"/>
          <w:sz w:val="32"/>
          <w:szCs w:val="32"/>
          <w:shd w:val="clear" w:fill="FFFFFF"/>
          <w:lang w:val="en-US" w:eastAsia="zh-CN" w:bidi="ar"/>
        </w:rPr>
        <w:t>项目支出。</w:t>
      </w:r>
      <w:r>
        <w:rPr>
          <w:rFonts w:hint="default" w:ascii="仿宋_GB2312" w:hAnsi="Calibri" w:eastAsia="仿宋_GB2312" w:cs="仿宋_GB2312"/>
          <w:i w:val="0"/>
          <w:caps w:val="0"/>
          <w:color w:val="000000"/>
          <w:spacing w:val="0"/>
          <w:kern w:val="0"/>
          <w:sz w:val="32"/>
          <w:szCs w:val="32"/>
          <w:shd w:val="clear" w:fill="FFFFFF"/>
          <w:lang w:val="en-US" w:eastAsia="zh-CN" w:bidi="ar"/>
        </w:rPr>
        <w:t>2021年年初预算数为2358万元，主要用于农村通组公路、农村公路养护、公路其他支出、其他资本性支出等</w:t>
      </w:r>
      <w:r>
        <w:rPr>
          <w:rFonts w:hint="eastAsia" w:ascii="宋体" w:hAnsi="宋体" w:eastAsia="宋体" w:cs="宋体"/>
          <w:i w:val="0"/>
          <w:caps w:val="0"/>
          <w:color w:val="666666"/>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（三）2020年一般公共预算补助情况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一般公共预算补助收入3768万元，主要用于湘九公路建设工程、脱贫攻坚自然村通水泥路、农村公路养护等其他支出。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五、2021年一般公共预算安排“三公”经费预算情况说明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2021年一般公共预算安排“三公”经费预算数40 万元，其中：因公出国（境）费0万元，公务用车购置及运行费20 万元（其中：公务用车购置费0 万元，公务用车运行费20 万元），公务接待费20 万元。2021年“三公”经费预算和2020年预算持平。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六、关于2021年政府性基金预算支出情况说明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2021年无使用政府性基金预算拨款安排的支出。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七、其他重要事项的情况说明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2021年本单位机关运行经费财政拨款预算</w:t>
      </w:r>
      <w:r>
        <w:rPr>
          <w:rFonts w:hint="eastAsia" w:ascii="仿宋_GB2312" w:hAnsi="Calibri" w:eastAsia="仿宋_GB2312" w:cs="仿宋_GB2312"/>
          <w:i w:val="0"/>
          <w:caps w:val="0"/>
          <w:color w:val="000000"/>
          <w:spacing w:val="0"/>
          <w:kern w:val="0"/>
          <w:sz w:val="32"/>
          <w:szCs w:val="32"/>
          <w:shd w:val="clear" w:fill="FFFFFF"/>
          <w:lang w:val="en-US" w:eastAsia="zh-CN" w:bidi="ar"/>
        </w:rPr>
        <w:t>106.46</w:t>
      </w:r>
      <w:r>
        <w:rPr>
          <w:rFonts w:hint="default" w:ascii="仿宋_GB2312" w:hAnsi="Calibri" w:eastAsia="仿宋_GB2312" w:cs="仿宋_GB2312"/>
          <w:i w:val="0"/>
          <w:caps w:val="0"/>
          <w:color w:val="000000"/>
          <w:spacing w:val="0"/>
          <w:kern w:val="0"/>
          <w:sz w:val="32"/>
          <w:szCs w:val="32"/>
          <w:shd w:val="clear" w:fill="FFFFFF"/>
          <w:lang w:val="en-US" w:eastAsia="zh-CN" w:bidi="ar"/>
        </w:rPr>
        <w:t>万元，比</w:t>
      </w:r>
      <w:r>
        <w:rPr>
          <w:rFonts w:hint="eastAsia" w:ascii="仿宋_GB2312" w:hAnsi="Calibri" w:eastAsia="仿宋_GB2312" w:cs="仿宋_GB2312"/>
          <w:i w:val="0"/>
          <w:caps w:val="0"/>
          <w:color w:val="000000"/>
          <w:spacing w:val="0"/>
          <w:kern w:val="0"/>
          <w:sz w:val="32"/>
          <w:szCs w:val="32"/>
          <w:shd w:val="clear" w:fill="FFFFFF"/>
          <w:lang w:val="en-US" w:eastAsia="zh-CN" w:bidi="ar"/>
        </w:rPr>
        <w:t>2020</w:t>
      </w:r>
      <w:r>
        <w:rPr>
          <w:rFonts w:hint="default" w:ascii="仿宋_GB2312" w:hAnsi="Calibri" w:eastAsia="仿宋_GB2312" w:cs="仿宋_GB2312"/>
          <w:i w:val="0"/>
          <w:caps w:val="0"/>
          <w:color w:val="000000"/>
          <w:spacing w:val="0"/>
          <w:kern w:val="0"/>
          <w:sz w:val="32"/>
          <w:szCs w:val="32"/>
          <w:shd w:val="clear" w:fill="FFFFFF"/>
          <w:lang w:val="en-US" w:eastAsia="zh-CN" w:bidi="ar"/>
        </w:rPr>
        <w:t>年预算147.6万元减少</w:t>
      </w:r>
      <w:r>
        <w:rPr>
          <w:rFonts w:hint="eastAsia" w:ascii="仿宋_GB2312" w:hAnsi="Calibri" w:eastAsia="仿宋_GB2312" w:cs="仿宋_GB2312"/>
          <w:i w:val="0"/>
          <w:caps w:val="0"/>
          <w:color w:val="000000"/>
          <w:spacing w:val="0"/>
          <w:kern w:val="0"/>
          <w:sz w:val="32"/>
          <w:szCs w:val="32"/>
          <w:shd w:val="clear" w:fill="FFFFFF"/>
          <w:lang w:val="en-US" w:eastAsia="zh-CN" w:bidi="ar"/>
        </w:rPr>
        <w:t>41.14</w:t>
      </w:r>
      <w:r>
        <w:rPr>
          <w:rFonts w:hint="default" w:ascii="仿宋_GB2312" w:hAnsi="Calibri" w:eastAsia="仿宋_GB2312" w:cs="仿宋_GB2312"/>
          <w:i w:val="0"/>
          <w:caps w:val="0"/>
          <w:color w:val="000000"/>
          <w:spacing w:val="0"/>
          <w:kern w:val="0"/>
          <w:sz w:val="32"/>
          <w:szCs w:val="32"/>
          <w:shd w:val="clear" w:fill="FFFFFF"/>
          <w:lang w:val="en-US" w:eastAsia="zh-CN" w:bidi="ar"/>
        </w:rPr>
        <w:t>万元,下降</w:t>
      </w:r>
      <w:r>
        <w:rPr>
          <w:rFonts w:hint="eastAsia" w:ascii="仿宋_GB2312" w:hAnsi="Calibri" w:eastAsia="仿宋_GB2312" w:cs="仿宋_GB2312"/>
          <w:i w:val="0"/>
          <w:caps w:val="0"/>
          <w:color w:val="000000"/>
          <w:spacing w:val="0"/>
          <w:kern w:val="0"/>
          <w:sz w:val="32"/>
          <w:szCs w:val="32"/>
          <w:shd w:val="clear" w:fill="FFFFFF"/>
          <w:lang w:val="en-US" w:eastAsia="zh-CN" w:bidi="ar"/>
        </w:rPr>
        <w:t>27.87%</w:t>
      </w:r>
      <w:r>
        <w:rPr>
          <w:rFonts w:hint="default" w:ascii="仿宋_GB2312" w:hAnsi="Calibri" w:eastAsia="仿宋_GB2312" w:cs="仿宋_GB2312"/>
          <w:i w:val="0"/>
          <w:caps w:val="0"/>
          <w:color w:val="000000"/>
          <w:spacing w:val="0"/>
          <w:kern w:val="0"/>
          <w:sz w:val="32"/>
          <w:szCs w:val="32"/>
          <w:shd w:val="clear" w:fill="FFFFFF"/>
          <w:lang w:val="en-US" w:eastAsia="zh-CN" w:bidi="ar"/>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楷体_GB2312" w:hAnsi="Calibri" w:eastAsia="楷体_GB2312" w:cs="楷体_GB2312"/>
          <w:b/>
          <w:i w:val="0"/>
          <w:caps w:val="0"/>
          <w:color w:val="000000"/>
          <w:spacing w:val="0"/>
          <w:kern w:val="0"/>
          <w:sz w:val="32"/>
          <w:szCs w:val="32"/>
          <w:shd w:val="clear" w:fill="FFFFFF"/>
          <w:lang w:val="en-US" w:eastAsia="zh-CN" w:bidi="ar"/>
        </w:rPr>
      </w:pPr>
      <w:r>
        <w:rPr>
          <w:rFonts w:hint="default" w:ascii="楷体_GB2312" w:hAnsi="Calibri" w:eastAsia="楷体_GB2312" w:cs="楷体_GB2312"/>
          <w:b/>
          <w:i w:val="0"/>
          <w:caps w:val="0"/>
          <w:color w:val="000000"/>
          <w:spacing w:val="0"/>
          <w:kern w:val="0"/>
          <w:sz w:val="32"/>
          <w:szCs w:val="32"/>
          <w:shd w:val="clear" w:fill="FFFFFF"/>
          <w:lang w:val="en-US" w:eastAsia="zh-CN" w:bidi="ar"/>
        </w:rPr>
        <w:t>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caps w:val="0"/>
          <w:color w:val="000000"/>
          <w:spacing w:val="0"/>
          <w:kern w:val="0"/>
          <w:sz w:val="32"/>
          <w:szCs w:val="32"/>
          <w:shd w:val="clear" w:fill="FFFFFF"/>
          <w:lang w:val="en-US" w:eastAsia="zh-CN" w:bidi="ar"/>
        </w:rPr>
      </w:pPr>
      <w:r>
        <w:rPr>
          <w:rFonts w:hint="eastAsia" w:ascii="仿宋_GB2312" w:hAnsi="Calibri" w:eastAsia="仿宋_GB2312" w:cs="仿宋_GB2312"/>
          <w:i w:val="0"/>
          <w:caps w:val="0"/>
          <w:color w:val="000000"/>
          <w:spacing w:val="0"/>
          <w:kern w:val="0"/>
          <w:sz w:val="32"/>
          <w:szCs w:val="32"/>
          <w:shd w:val="clear" w:fill="FFFFFF"/>
          <w:lang w:val="en-US" w:eastAsia="zh-CN" w:bidi="ar"/>
        </w:rPr>
        <w:t>2021年本单位没有政府采购情况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（三）绩效目标设置情况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1、部门整体支出绩效目标情况。</w:t>
      </w:r>
      <w:r>
        <w:rPr>
          <w:rFonts w:hint="default" w:ascii="仿宋_GB2312" w:hAnsi="Calibri" w:eastAsia="仿宋_GB2312" w:cs="仿宋_GB2312"/>
          <w:i w:val="0"/>
          <w:caps w:val="0"/>
          <w:color w:val="000000"/>
          <w:spacing w:val="0"/>
          <w:kern w:val="0"/>
          <w:sz w:val="32"/>
          <w:szCs w:val="32"/>
          <w:shd w:val="clear" w:fill="FFFFFF"/>
          <w:lang w:val="en-US" w:eastAsia="zh-CN" w:bidi="ar"/>
        </w:rPr>
        <w:t>2021年部门整体支出绩效目标金额7805万元。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2、部门专项支出绩效目标情况。</w:t>
      </w:r>
      <w:r>
        <w:rPr>
          <w:rFonts w:hint="default" w:ascii="仿宋_GB2312" w:hAnsi="Calibri" w:eastAsia="仿宋_GB2312" w:cs="仿宋_GB2312"/>
          <w:i w:val="0"/>
          <w:caps w:val="0"/>
          <w:color w:val="000000"/>
          <w:spacing w:val="0"/>
          <w:kern w:val="0"/>
          <w:sz w:val="32"/>
          <w:szCs w:val="32"/>
          <w:shd w:val="clear" w:fill="FFFFFF"/>
          <w:lang w:val="en-US" w:eastAsia="zh-CN" w:bidi="ar"/>
        </w:rPr>
        <w:t>2021年专项整体支出绩效目标金额6030.5万元。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3、重点项目绩效目标情况。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default" w:ascii="仿宋_GB2312" w:hAnsi="Calibri" w:eastAsia="仿宋_GB2312" w:cs="仿宋_GB2312"/>
          <w:i w:val="0"/>
          <w:caps w:val="0"/>
          <w:color w:val="000000"/>
          <w:spacing w:val="0"/>
          <w:kern w:val="0"/>
          <w:sz w:val="32"/>
          <w:szCs w:val="32"/>
          <w:shd w:val="clear" w:fill="FFFFFF"/>
          <w:lang w:val="en-US" w:eastAsia="zh-CN" w:bidi="ar"/>
        </w:rPr>
        <w:t>2021年蓝山湘江源至宁远九嶷山公路蓝山湘江源（长铺）至高塘坪段为重点项目目标金额为3400万。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(四）国有资产占用使用情况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1、车辆占用使用情况。</w:t>
      </w:r>
      <w:r>
        <w:rPr>
          <w:rFonts w:hint="default" w:ascii="仿宋_GB2312" w:hAnsi="Calibri" w:eastAsia="仿宋_GB2312" w:cs="仿宋_GB2312"/>
          <w:i w:val="0"/>
          <w:caps w:val="0"/>
          <w:color w:val="000000"/>
          <w:spacing w:val="0"/>
          <w:kern w:val="0"/>
          <w:sz w:val="32"/>
          <w:szCs w:val="32"/>
          <w:shd w:val="clear" w:fill="FFFFFF"/>
          <w:lang w:val="en-US" w:eastAsia="zh-CN" w:bidi="ar"/>
        </w:rPr>
        <w:t>共有车辆1辆,其中：一般公务用车1辆、一般执法执勤用车0辆，特种专业技术用车0辆、其他用车0辆。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2、大型设备占用使用情况。</w:t>
      </w:r>
      <w:r>
        <w:rPr>
          <w:rFonts w:hint="default" w:ascii="仿宋_GB2312" w:hAnsi="Calibri" w:eastAsia="仿宋_GB2312" w:cs="仿宋_GB2312"/>
          <w:i w:val="0"/>
          <w:caps w:val="0"/>
          <w:color w:val="000000"/>
          <w:spacing w:val="0"/>
          <w:kern w:val="0"/>
          <w:sz w:val="32"/>
          <w:szCs w:val="32"/>
          <w:shd w:val="clear" w:fill="FFFFFF"/>
          <w:lang w:val="en-US" w:eastAsia="zh-CN" w:bidi="ar"/>
        </w:rPr>
        <w:t>共有单价50万元以上的通用设备0台，无单价100万元以上的专用设备。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19" w:right="0" w:firstLine="321"/>
        <w:jc w:val="both"/>
        <w:rPr>
          <w:rFonts w:hint="default" w:ascii="Calibri" w:hAnsi="Calibri" w:cs="Calibri"/>
          <w:i w:val="0"/>
          <w:caps w:val="0"/>
          <w:color w:val="666666"/>
          <w:spacing w:val="0"/>
          <w:sz w:val="21"/>
          <w:szCs w:val="21"/>
        </w:rPr>
      </w:pPr>
      <w:r>
        <w:rPr>
          <w:rFonts w:hint="default" w:ascii="仿宋_GB2312" w:hAnsi="Calibri" w:eastAsia="仿宋_GB2312" w:cs="仿宋_GB2312"/>
          <w:b/>
          <w:i w:val="0"/>
          <w:caps w:val="0"/>
          <w:color w:val="000000"/>
          <w:spacing w:val="0"/>
          <w:kern w:val="0"/>
          <w:sz w:val="32"/>
          <w:szCs w:val="32"/>
          <w:shd w:val="clear" w:fill="FFFFFF"/>
          <w:lang w:val="en-US" w:eastAsia="zh-CN" w:bidi="ar"/>
        </w:rPr>
        <w:t>3、房屋占用使用情况。</w:t>
      </w:r>
      <w:r>
        <w:rPr>
          <w:rFonts w:hint="default" w:ascii="仿宋_GB2312" w:hAnsi="Calibri" w:eastAsia="仿宋_GB2312" w:cs="仿宋_GB2312"/>
          <w:i w:val="0"/>
          <w:caps w:val="0"/>
          <w:color w:val="000000"/>
          <w:spacing w:val="0"/>
          <w:kern w:val="0"/>
          <w:sz w:val="32"/>
          <w:szCs w:val="32"/>
          <w:shd w:val="clear" w:fill="FFFFFF"/>
          <w:lang w:val="en-US" w:eastAsia="zh-CN" w:bidi="ar"/>
        </w:rPr>
        <w:t>办公用房510平方米，业务用房3451平方米，其他用房0平方米。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楷体_GB2312" w:hAnsi="Calibri" w:eastAsia="楷体_GB2312" w:cs="楷体_GB2312"/>
          <w:b/>
          <w:i w:val="0"/>
          <w:caps w:val="0"/>
          <w:color w:val="000000"/>
          <w:spacing w:val="0"/>
          <w:kern w:val="0"/>
          <w:sz w:val="32"/>
          <w:szCs w:val="32"/>
          <w:shd w:val="clear" w:fill="FFFFFF"/>
          <w:lang w:val="en-US" w:eastAsia="zh-CN" w:bidi="ar"/>
        </w:rPr>
      </w:pPr>
      <w:r>
        <w:rPr>
          <w:rFonts w:hint="default" w:ascii="仿宋_GB2312" w:hAnsi="Calibri" w:eastAsia="仿宋_GB2312" w:cs="仿宋_GB2312"/>
          <w:b/>
          <w:i w:val="0"/>
          <w:caps w:val="0"/>
          <w:color w:val="000000"/>
          <w:spacing w:val="0"/>
          <w:kern w:val="0"/>
          <w:sz w:val="32"/>
          <w:szCs w:val="32"/>
          <w:shd w:val="clear" w:fill="FFFFFF"/>
          <w:lang w:val="en-US" w:eastAsia="zh-CN" w:bidi="ar"/>
        </w:rPr>
        <w:t>4、其他国有资产占用使用情况。</w:t>
      </w:r>
      <w:r>
        <w:rPr>
          <w:rFonts w:hint="default" w:ascii="仿宋_GB2312" w:hAnsi="Calibri" w:eastAsia="仿宋_GB2312" w:cs="仿宋_GB2312"/>
          <w:i w:val="0"/>
          <w:caps w:val="0"/>
          <w:color w:val="000000"/>
          <w:spacing w:val="0"/>
          <w:kern w:val="0"/>
          <w:sz w:val="32"/>
          <w:szCs w:val="32"/>
          <w:shd w:val="clear" w:fill="FFFFFF"/>
          <w:lang w:val="en-US" w:eastAsia="zh-CN" w:bidi="ar"/>
        </w:rPr>
        <w:t>固定资产共计168.22 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楷体_GB2312" w:hAnsi="Calibri" w:eastAsia="楷体_GB2312" w:cs="楷体_GB2312"/>
          <w:b/>
          <w:i w:val="0"/>
          <w:caps w:val="0"/>
          <w:color w:val="000000"/>
          <w:spacing w:val="0"/>
          <w:kern w:val="0"/>
          <w:sz w:val="32"/>
          <w:szCs w:val="32"/>
          <w:shd w:val="clear" w:fill="FFFFFF"/>
          <w:lang w:val="en-US" w:eastAsia="zh-CN" w:bidi="ar"/>
        </w:rPr>
      </w:pPr>
      <w:r>
        <w:rPr>
          <w:rFonts w:hint="default" w:ascii="楷体_GB2312" w:hAnsi="Calibri" w:eastAsia="楷体_GB2312" w:cs="楷体_GB2312"/>
          <w:b/>
          <w:i w:val="0"/>
          <w:caps w:val="0"/>
          <w:color w:val="000000"/>
          <w:spacing w:val="0"/>
          <w:kern w:val="0"/>
          <w:sz w:val="32"/>
          <w:szCs w:val="32"/>
          <w:shd w:val="clear" w:fill="FFFFFF"/>
          <w:lang w:val="en-US" w:eastAsia="zh-CN" w:bidi="ar"/>
        </w:rPr>
        <w:t>（五）一般性支出情况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仿宋_GB2312" w:hAnsi="Calibri" w:eastAsia="仿宋_GB2312" w:cs="仿宋_GB2312"/>
          <w:i w:val="0"/>
          <w:caps w:val="0"/>
          <w:color w:val="000000"/>
          <w:spacing w:val="0"/>
          <w:kern w:val="0"/>
          <w:sz w:val="32"/>
          <w:szCs w:val="32"/>
          <w:shd w:val="clear" w:fill="FFFFFF"/>
          <w:lang w:val="en-US" w:eastAsia="zh-CN" w:bidi="ar"/>
        </w:rPr>
      </w:pPr>
      <w:r>
        <w:rPr>
          <w:rFonts w:hint="default" w:ascii="仿宋_GB2312" w:hAnsi="Calibri" w:eastAsia="仿宋_GB2312" w:cs="仿宋_GB2312"/>
          <w:i w:val="0"/>
          <w:caps w:val="0"/>
          <w:color w:val="000000"/>
          <w:spacing w:val="0"/>
          <w:kern w:val="0"/>
          <w:sz w:val="32"/>
          <w:szCs w:val="32"/>
          <w:shd w:val="clear" w:fill="FFFFFF"/>
          <w:lang w:val="en-US" w:eastAsia="zh-CN" w:bidi="ar"/>
        </w:rPr>
        <w:t>2021年本部门没有一般性支出情况说明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666666"/>
          <w:spacing w:val="0"/>
          <w:sz w:val="21"/>
          <w:szCs w:val="21"/>
        </w:rPr>
      </w:pPr>
      <w:r>
        <w:rPr>
          <w:rFonts w:hint="eastAsia" w:ascii="黑体" w:hAnsi="宋体" w:eastAsia="黑体" w:cs="黑体"/>
          <w:i w:val="0"/>
          <w:caps w:val="0"/>
          <w:color w:val="000000"/>
          <w:spacing w:val="0"/>
          <w:kern w:val="0"/>
          <w:sz w:val="32"/>
          <w:szCs w:val="32"/>
          <w:shd w:val="clear" w:fill="FFFFFF"/>
          <w:lang w:val="en-US" w:eastAsia="zh-CN" w:bidi="ar"/>
        </w:rPr>
        <w:t>八、名词解释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（一）机关运行经费</w:t>
      </w:r>
      <w:r>
        <w:rPr>
          <w:rFonts w:hint="default" w:ascii="仿宋_GB2312" w:hAnsi="Calibri" w:eastAsia="仿宋_GB2312" w:cs="仿宋_GB2312"/>
          <w:i w:val="0"/>
          <w:caps w:val="0"/>
          <w:color w:val="000000"/>
          <w:spacing w:val="0"/>
          <w:kern w:val="0"/>
          <w:sz w:val="32"/>
          <w:szCs w:val="32"/>
          <w:shd w:val="clear" w:fill="FFFFFF"/>
          <w:lang w:val="en-US" w:eastAsia="zh-CN" w:bidi="ar"/>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（二）“三公”经费。</w:t>
      </w:r>
      <w:r>
        <w:rPr>
          <w:rFonts w:hint="default" w:ascii="仿宋_GB2312" w:hAnsi="Calibri" w:eastAsia="仿宋_GB2312" w:cs="仿宋_GB2312"/>
          <w:i w:val="0"/>
          <w:caps w:val="0"/>
          <w:color w:val="000000"/>
          <w:spacing w:val="0"/>
          <w:kern w:val="0"/>
          <w:sz w:val="32"/>
          <w:szCs w:val="32"/>
          <w:shd w:val="clear" w:fill="FFFFFF"/>
          <w:lang w:val="en-US" w:eastAsia="zh-CN" w:bidi="ar"/>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（三）基本支出。</w:t>
      </w:r>
      <w:r>
        <w:rPr>
          <w:rFonts w:hint="default" w:ascii="仿宋_GB2312" w:hAnsi="Calibri" w:eastAsia="仿宋_GB2312" w:cs="仿宋_GB2312"/>
          <w:i w:val="0"/>
          <w:caps w:val="0"/>
          <w:color w:val="000000"/>
          <w:spacing w:val="0"/>
          <w:kern w:val="0"/>
          <w:sz w:val="32"/>
          <w:szCs w:val="32"/>
          <w:shd w:val="clear" w:fill="FFFFFF"/>
          <w:lang w:val="en-US" w:eastAsia="zh-CN" w:bidi="ar"/>
        </w:rPr>
        <w:t>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caps w:val="0"/>
          <w:color w:val="666666"/>
          <w:spacing w:val="0"/>
          <w:sz w:val="21"/>
          <w:szCs w:val="21"/>
        </w:rPr>
      </w:pPr>
      <w:r>
        <w:rPr>
          <w:rFonts w:hint="default" w:ascii="楷体_GB2312" w:hAnsi="Calibri" w:eastAsia="楷体_GB2312" w:cs="楷体_GB2312"/>
          <w:b/>
          <w:i w:val="0"/>
          <w:caps w:val="0"/>
          <w:color w:val="000000"/>
          <w:spacing w:val="0"/>
          <w:kern w:val="0"/>
          <w:sz w:val="32"/>
          <w:szCs w:val="32"/>
          <w:shd w:val="clear" w:fill="FFFFFF"/>
          <w:lang w:val="en-US" w:eastAsia="zh-CN" w:bidi="ar"/>
        </w:rPr>
        <w:t>（四）项目支出。</w:t>
      </w:r>
      <w:r>
        <w:rPr>
          <w:rFonts w:hint="default" w:ascii="仿宋_GB2312" w:hAnsi="Calibri" w:eastAsia="仿宋_GB2312" w:cs="仿宋_GB2312"/>
          <w:i w:val="0"/>
          <w:caps w:val="0"/>
          <w:color w:val="000000"/>
          <w:spacing w:val="0"/>
          <w:kern w:val="0"/>
          <w:sz w:val="32"/>
          <w:szCs w:val="32"/>
          <w:shd w:val="clear" w:fill="FFFFFF"/>
          <w:lang w:val="en-US" w:eastAsia="zh-CN" w:bidi="ar"/>
        </w:rPr>
        <w:t>指在基本支出之外为完成特定行政任务和事业发展目标所发生的支出。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34CDDA"/>
    <w:multiLevelType w:val="singleLevel"/>
    <w:tmpl w:val="E834CD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C7D73"/>
    <w:rsid w:val="31907913"/>
    <w:rsid w:val="4E5C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2022-07-29T02:39:00Z</dcterms:created>
  <dc:creator>Sun king.</dc:creator>
  <cp:lastModifiedBy>Sun king.</cp:lastModifiedBy>
  <dcterms:modified xsi:type="dcterms:W3CDTF">2022-08-03T07:29:34Z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