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Default Extension="xlsx" ContentType="application/vnd.openxmlformats-officedocument.spreadsheetml.sheet"/>
  <Default Extension="png" ContentType="image/png"/>
  <Override PartName="/word/settings.xml" ContentType="application/vnd.openxmlformats-officedocument.wordprocessingml.setting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body>
    <w:p>
      <w:pPr>
        <w:widowControl/>
        <w:jc w:val="left"/>
        <w:rPr>
          <w:rFonts w:ascii="方正小标宋简体" w:eastAsia="方正小标宋简体"/>
          <w:sz w:val="36"/>
          <w:szCs w:val="36"/>
        </w:rPr>
        <w:sectPr>
          <w:headerReference w:type="default" r:id="rId2"/>
          <w:headerReference w:type="first" r:id="rId3"/>
          <w:footerReference w:type="default" r:id="rId4"/>
          <w:footerReference w:type="first" r:id="rId5"/>
          <w:pgSz w:w="11906" w:h="16838"/>
          <w:pgMar w:top="1440" w:right="1800" w:bottom="1440" w:left="1800" w:header="851" w:footer="992" w:gutter="0"/>
          <w:docGrid w:type="lines" w:linePitch="312" w:charSpace="0"/>
        </w:sectPr>
      </w:pPr>
      <w:bookmarkStart w:id="0" w:name="_Hlk218602596"/>
      <w:bookmarkEnd w:id="0"/>
      <w:r>
        <w:rPr>
          <w:rFonts w:ascii="方正小标宋简体" w:eastAsia="方正小标宋简体"/>
          <w:sz w:val="36"/>
          <w:szCs w:val="36"/>
        </w:rPr>
        <mc:AlternateContent>
          <mc:Choice Requires="wps">
            <w:drawing>
              <wp:anchor distT="0" distB="0" distL="114298" distR="114298" simplePos="0" relativeHeight="145" behindDoc="0" locked="0" layoutInCell="1" hidden="0" allowOverlap="1">
                <wp:simplePos x="0" y="0"/>
                <wp:positionH relativeFrom="margin">
                  <wp:posOffset>1661795</wp:posOffset>
                </wp:positionH>
                <wp:positionV relativeFrom="paragraph">
                  <wp:posOffset>8766810</wp:posOffset>
                </wp:positionV>
                <wp:extent cx="2318385" cy="487680"/>
                <wp:effectExtent l="0" t="0" r="0" b="0"/>
                <wp:wrapNone/>
                <wp:docPr id="1" name="文本框 2"/>
                <wp:cNvGraphicFramePr>
                  <a:graphicFrameLocks noChangeAspect="0"/>
                </wp:cNvGraphicFramePr>
                <a:graphic>
                  <a:graphicData uri="http://schemas.microsoft.com/office/word/2010/wordprocessingShape">
                    <wps:wsp>
                      <wps:cNvSpPr/>
                      <wps:spPr>
                        <a:xfrm rot="0">
                          <a:off x="0" y="0"/>
                          <a:ext cx="2318385" cy="487680"/>
                        </a:xfrm>
                        <a:prstGeom prst="rect"/>
                        <a:noFill/>
                        <a:ln w="9525" cmpd="sng" cap="flat">
                          <a:noFill/>
                          <a:prstDash val="solid"/>
                          <a:miter/>
                        </a:ln>
                      </wps:spPr>
                      <wps:txbx id="2">
                        <w:txbxContent>
                          <w:p>
                            <w:pPr>
                              <w:rPr>
                                <w:rFonts w:ascii="楷体" w:eastAsia="楷体"/>
                                <w:color w:val="FFFFFF"/>
                                <w:sz w:val="44"/>
                                <w:szCs w:val="44"/>
                              </w:rPr>
                            </w:pPr>
                            <w:r>
                              <w:rPr>
                                <w:rFonts w:ascii="楷体" w:eastAsia="楷体" w:hint="eastAsia"/>
                                <w:color w:val="FFFFFF"/>
                                <w:sz w:val="44"/>
                                <w:szCs w:val="44"/>
                              </w:rPr>
                              <w:t>永州市教育局</w:t>
                            </w:r>
                          </w:p>
                        </w:txbxContent>
                      </wps:txbx>
                      <wps:bodyPr vert="horz" wrap="square" lIns="91440" tIns="45720" rIns="91440" bIns="45720" anchor="t" anchorCtr="0" upright="0">
                        <a:spAutoFit/>
                      </wps:bodyPr>
                    </wps:wsp>
                  </a:graphicData>
                </a:graphic>
              </wp:anchor>
            </w:drawing>
          </mc:Choice>
          <mc:Fallback>
            <w:pict>
              <v:rect type="#_x0000_t1" id="文本框 2 3" o:spid="_x0000_s3" filled="f" stroked="f" style="position:absolute;margin-left:130.85pt;margin-top:690.3pt;width:182.55pt;height:38.40002pt;z-index:145;mso-position-horizontal:absolute;mso-position-horizontal-relative:margin;mso-position-vertical:absolute;mso-wrap-distance-left:8.999863pt;mso-wrap-distance-right:8.999863pt;mso-wrap-style:square;">
                <v:stroke color="#000000"/>
                <v:textbox id="892" inset="2.54mm,1.27mm,2.54mm,1.27mm" o:insetmode="custom" style="layout-flow:horizontal;v-text-anchor:top;mso-fit-shape-to-text:t;">
                  <w:txbxContent>
                    <w:p>
                      <w:pPr>
                        <w:rPr>
                          <w:rFonts w:ascii="楷体" w:eastAsia="楷体"/>
                          <w:color w:val="FFFFFF"/>
                          <w:sz w:val="44"/>
                          <w:szCs w:val="44"/>
                        </w:rPr>
                      </w:pPr>
                      <w:r>
                        <w:rPr>
                          <w:rFonts w:ascii="楷体" w:eastAsia="楷体" w:hint="eastAsia"/>
                          <w:color w:val="FFFFFF"/>
                          <w:sz w:val="44"/>
                          <w:szCs w:val="44"/>
                        </w:rPr>
                        <w:t>永州市教育局</w:t>
                      </w:r>
                    </w:p>
                  </w:txbxContent>
                </v:textbox>
              </v:rect>
            </w:pict>
          </mc:Fallback>
        </mc:AlternateContent>
      </w:r>
      <w:r>
        <w:rPr>
          <w:rFonts w:ascii="方正小标宋简体" w:eastAsia="方正小标宋简体"/>
          <w:sz w:val="36"/>
          <w:szCs w:val="36"/>
        </w:rPr>
        <mc:AlternateContent>
          <mc:Choice Requires="wps">
            <w:drawing>
              <wp:anchor distT="45720" distB="45720" distL="113665" distR="113665" simplePos="0" relativeHeight="147" behindDoc="0" locked="0" layoutInCell="1" hidden="0" allowOverlap="1">
                <wp:simplePos x="0" y="0"/>
                <wp:positionH relativeFrom="column">
                  <wp:posOffset>1036320</wp:posOffset>
                </wp:positionH>
                <wp:positionV relativeFrom="paragraph">
                  <wp:posOffset>2190115</wp:posOffset>
                </wp:positionV>
                <wp:extent cx="3615054" cy="685800"/>
                <wp:effectExtent l="0" t="0" r="0" b="0"/>
                <wp:wrapSquare wrapText="bothSides"/>
                <wp:docPr id="4" name="文本框 2"/>
                <wp:cNvGraphicFramePr>
                  <a:graphicFrameLocks noChangeAspect="0"/>
                </wp:cNvGraphicFramePr>
                <a:graphic>
                  <a:graphicData uri="http://schemas.microsoft.com/office/word/2010/wordprocessingShape">
                    <wps:wsp>
                      <wps:cNvSpPr/>
                      <wps:spPr>
                        <a:xfrm rot="0">
                          <a:off x="0" y="0"/>
                          <a:ext cx="3615054" cy="685800"/>
                        </a:xfrm>
                        <a:prstGeom prst="rect"/>
                        <a:noFill/>
                        <a:ln w="9525" cmpd="sng" cap="flat">
                          <a:noFill/>
                          <a:prstDash val="solid"/>
                          <a:miter/>
                        </a:ln>
                      </wps:spPr>
                      <wps:txbx id="5">
                        <w:txbxContent>
                          <w:p>
                            <w:pPr>
                              <w:rPr>
                                <w:rFonts w:ascii="黑体" w:eastAsia="黑体"/>
                                <w:color w:val="0070C0"/>
                                <w:sz w:val="60"/>
                                <w:szCs w:val="60"/>
                              </w:rPr>
                            </w:pPr>
                            <w:r>
                              <w:rPr>
                                <w:rFonts w:ascii="黑体" w:eastAsia="黑体"/>
                                <w:color w:val="0070C0"/>
                                <w:sz w:val="60"/>
                                <w:szCs w:val="60"/>
                              </w:rPr>
                              <w:t>聚焦</w:t>
                            </w:r>
                            <w:r>
                              <w:rPr>
                                <w:rFonts w:ascii="黑体" w:eastAsia="黑体" w:hint="eastAsia"/>
                                <w:color w:val="0070C0"/>
                                <w:sz w:val="60"/>
                                <w:szCs w:val="60"/>
                              </w:rPr>
                              <w:t>质量</w:t>
                            </w:r>
                            <w:r>
                              <w:rPr>
                                <w:rFonts w:ascii="黑体" w:eastAsia="黑体"/>
                                <w:color w:val="0070C0"/>
                                <w:sz w:val="60"/>
                                <w:szCs w:val="60"/>
                              </w:rPr>
                              <w:sym w:font="Wingdings" w:char="F077"/>
                            </w:r>
                            <w:r>
                              <w:rPr>
                                <w:rFonts w:ascii="黑体" w:eastAsia="黑体"/>
                                <w:color w:val="0070C0"/>
                                <w:sz w:val="60"/>
                                <w:szCs w:val="60"/>
                              </w:rPr>
                              <w:t>赋能</w:t>
                            </w:r>
                            <w:r>
                              <w:rPr>
                                <w:rFonts w:ascii="黑体" w:eastAsia="黑体" w:hint="eastAsia"/>
                                <w:color w:val="0070C0"/>
                                <w:sz w:val="60"/>
                                <w:szCs w:val="60"/>
                              </w:rPr>
                              <w:t>未来</w:t>
                            </w:r>
                          </w:p>
                        </w:txbxContent>
                      </wps:txbx>
                      <wps:bodyPr vert="horz" wrap="square" lIns="91440" tIns="45720" rIns="91440" bIns="45720" anchor="t" anchorCtr="0" upright="0">
                        <a:spAutoFit/>
                      </wps:bodyPr>
                    </wps:wsp>
                  </a:graphicData>
                </a:graphic>
              </wp:anchor>
            </w:drawing>
          </mc:Choice>
          <mc:Fallback>
            <w:pict>
              <v:rect type="#_x0000_t1" id="文本框 2 6" o:spid="_x0000_s6" filled="f" stroked="f" style="position:absolute;margin-left:81.6pt;margin-top:172.45pt;width:284.65pt;height:54.0pt;z-index:147;mso-position-horizontal:absolute;mso-position-vertical:absolute;mso-wrap-distance-top:3.6000001pt;mso-wrap-distance-left:8.95pt;mso-wrap-distance-bottom:3.6000001pt;mso-wrap-distance-right:8.95pt;mso-wrap-style:square;">
                <v:stroke color="#000000"/>
                <v:textbox id="893" inset="2.54mm,1.27mm,2.54mm,1.27mm" o:insetmode="custom" style="layout-flow:horizontal;v-text-anchor:top;mso-fit-shape-to-text:t;">
                  <w:txbxContent>
                    <w:p>
                      <w:pPr>
                        <w:rPr>
                          <w:rFonts w:ascii="黑体" w:eastAsia="黑体"/>
                          <w:color w:val="0070C0"/>
                          <w:sz w:val="60"/>
                          <w:szCs w:val="60"/>
                        </w:rPr>
                      </w:pPr>
                      <w:r>
                        <w:rPr>
                          <w:rFonts w:ascii="黑体" w:eastAsia="黑体"/>
                          <w:color w:val="0070C0"/>
                          <w:sz w:val="60"/>
                          <w:szCs w:val="60"/>
                        </w:rPr>
                        <w:t>聚焦</w:t>
                      </w:r>
                      <w:r>
                        <w:rPr>
                          <w:rFonts w:ascii="黑体" w:eastAsia="黑体" w:hint="eastAsia"/>
                          <w:color w:val="0070C0"/>
                          <w:sz w:val="60"/>
                          <w:szCs w:val="60"/>
                        </w:rPr>
                        <w:t>质量</w:t>
                      </w:r>
                      <w:r>
                        <w:rPr>
                          <w:rFonts w:ascii="黑体" w:eastAsia="黑体"/>
                          <w:color w:val="0070C0"/>
                          <w:sz w:val="60"/>
                          <w:szCs w:val="60"/>
                        </w:rPr>
                        <w:sym w:font="Wingdings" w:char="F077"/>
                      </w:r>
                      <w:r>
                        <w:rPr>
                          <w:rFonts w:ascii="黑体" w:eastAsia="黑体"/>
                          <w:color w:val="0070C0"/>
                          <w:sz w:val="60"/>
                          <w:szCs w:val="60"/>
                        </w:rPr>
                        <w:t>赋能</w:t>
                      </w:r>
                      <w:r>
                        <w:rPr>
                          <w:rFonts w:ascii="黑体" w:eastAsia="黑体" w:hint="eastAsia"/>
                          <w:color w:val="0070C0"/>
                          <w:sz w:val="60"/>
                          <w:szCs w:val="60"/>
                        </w:rPr>
                        <w:t>未来</w:t>
                      </w:r>
                    </w:p>
                  </w:txbxContent>
                </v:textbox>
                <w10:wrap type="square"/>
              </v:rect>
            </w:pict>
          </mc:Fallback>
        </mc:AlternateContent>
      </w:r>
      <w:r>
        <w:rPr>
          <w:rFonts w:ascii="方正小标宋简体" w:eastAsia="方正小标宋简体"/>
          <w:sz w:val="36"/>
          <w:szCs w:val="36"/>
        </w:rPr>
        <mc:AlternateContent>
          <mc:Choice Requires="wps">
            <w:drawing>
              <wp:anchor distT="45720" distB="45720" distL="113665" distR="113665" simplePos="0" relativeHeight="149" behindDoc="0" locked="0" layoutInCell="1" hidden="0" allowOverlap="1">
                <wp:simplePos x="0" y="0"/>
                <wp:positionH relativeFrom="margin">
                  <wp:posOffset>-440690</wp:posOffset>
                </wp:positionH>
                <wp:positionV relativeFrom="paragraph">
                  <wp:posOffset>520700</wp:posOffset>
                </wp:positionV>
                <wp:extent cx="6315709" cy="2051685"/>
                <wp:effectExtent l="0" t="0" r="0" b="0"/>
                <wp:wrapSquare wrapText="bothSides"/>
                <wp:docPr id="7" name="文本框 2"/>
                <wp:cNvGraphicFramePr>
                  <a:graphicFrameLocks noChangeAspect="0"/>
                </wp:cNvGraphicFramePr>
                <a:graphic>
                  <a:graphicData uri="http://schemas.microsoft.com/office/word/2010/wordprocessingShape">
                    <wps:wsp>
                      <wps:cNvSpPr/>
                      <wps:spPr>
                        <a:xfrm rot="0">
                          <a:off x="0" y="0"/>
                          <a:ext cx="6315709" cy="2051685"/>
                        </a:xfrm>
                        <a:prstGeom prst="rect"/>
                        <a:noFill/>
                        <a:ln w="9525" cmpd="sng" cap="flat">
                          <a:noFill/>
                          <a:prstDash val="solid"/>
                          <a:miter/>
                        </a:ln>
                      </wps:spPr>
                      <wps:txbx id="8">
                        <w:txbxContent>
                          <w:p>
                            <w:pPr>
                              <w:spacing w:line="1200" w:lineRule="exact"/>
                              <w:rPr>
                                <w:rFonts w:ascii="黑体" w:eastAsia="黑体"/>
                                <w:b/>
                                <w:bCs/>
                                <w:color w:val="002060"/>
                                <w:sz w:val="100"/>
                                <w:szCs w:val="100"/>
                              </w:rPr>
                            </w:pPr>
                            <w:r>
                              <w:rPr>
                                <w:rFonts w:ascii="黑体" w:eastAsia="黑体"/>
                                <w:b/>
                                <w:bCs/>
                                <w:color w:val="002060"/>
                                <w:sz w:val="100"/>
                                <w:szCs w:val="100"/>
                              </w:rPr>
                              <w:t>永州市</w:t>
                            </w:r>
                            <w:r>
                              <w:rPr>
                                <w:rFonts w:ascii="黑体" w:eastAsia="黑体" w:hint="eastAsia"/>
                                <w:b/>
                                <w:bCs/>
                                <w:color w:val="002060"/>
                                <w:sz w:val="100"/>
                                <w:szCs w:val="100"/>
                              </w:rPr>
                              <w:t>中等职业教育质量报告（2</w:t>
                            </w:r>
                            <w:r>
                              <w:rPr>
                                <w:rFonts w:ascii="黑体" w:eastAsia="黑体"/>
                                <w:b/>
                                <w:bCs/>
                                <w:color w:val="002060"/>
                                <w:sz w:val="100"/>
                                <w:szCs w:val="100"/>
                              </w:rPr>
                              <w:t>025年度</w:t>
                            </w:r>
                            <w:r>
                              <w:rPr>
                                <w:rFonts w:ascii="黑体" w:eastAsia="黑体" w:hint="eastAsia"/>
                                <w:b/>
                                <w:bCs/>
                                <w:color w:val="002060"/>
                                <w:sz w:val="100"/>
                                <w:szCs w:val="100"/>
                              </w:rPr>
                              <w:t>）</w:t>
                            </w:r>
                          </w:p>
                        </w:txbxContent>
                      </wps:txbx>
                      <wps:bodyPr vert="horz" wrap="square" lIns="91440" tIns="45720" rIns="91440" bIns="45720" anchor="t" anchorCtr="0" upright="0">
                        <a:noAutofit/>
                      </wps:bodyPr>
                    </wps:wsp>
                  </a:graphicData>
                </a:graphic>
              </wp:anchor>
            </w:drawing>
          </mc:Choice>
          <mc:Fallback>
            <w:pict>
              <v:rect type="#_x0000_t1" id="文本框 2 9" o:spid="_x0000_s9" filled="f" stroked="f" style="position:absolute;margin-left:-34.7pt;margin-top:41.0pt;width:497.29996pt;height:161.55002pt;z-index:149;mso-position-horizontal:absolute;mso-position-horizontal-relative:margin;mso-position-vertical:absolute;mso-wrap-distance-top:3.6000001pt;mso-wrap-distance-left:8.95pt;mso-wrap-distance-bottom:3.6000001pt;mso-wrap-distance-right:8.95pt;mso-wrap-style:square;">
                <v:stroke color="#000000"/>
                <v:textbox id="894" inset="2.54mm,1.27mm,2.54mm,1.27mm" o:insetmode="custom" style="layout-flow:horizontal;v-text-anchor:top;">
                  <w:txbxContent>
                    <w:p>
                      <w:pPr>
                        <w:spacing w:line="1200" w:lineRule="exact"/>
                        <w:rPr>
                          <w:rFonts w:ascii="黑体" w:eastAsia="黑体"/>
                          <w:b/>
                          <w:bCs/>
                          <w:color w:val="002060"/>
                          <w:sz w:val="100"/>
                          <w:szCs w:val="100"/>
                        </w:rPr>
                      </w:pPr>
                      <w:r>
                        <w:rPr>
                          <w:rFonts w:ascii="黑体" w:eastAsia="黑体"/>
                          <w:b/>
                          <w:bCs/>
                          <w:color w:val="002060"/>
                          <w:sz w:val="100"/>
                          <w:szCs w:val="100"/>
                        </w:rPr>
                        <w:t>永州市</w:t>
                      </w:r>
                      <w:r>
                        <w:rPr>
                          <w:rFonts w:ascii="黑体" w:eastAsia="黑体" w:hint="eastAsia"/>
                          <w:b/>
                          <w:bCs/>
                          <w:color w:val="002060"/>
                          <w:sz w:val="100"/>
                          <w:szCs w:val="100"/>
                        </w:rPr>
                        <w:t>中等职业教育质量报告（2</w:t>
                      </w:r>
                      <w:r>
                        <w:rPr>
                          <w:rFonts w:ascii="黑体" w:eastAsia="黑体"/>
                          <w:b/>
                          <w:bCs/>
                          <w:color w:val="002060"/>
                          <w:sz w:val="100"/>
                          <w:szCs w:val="100"/>
                        </w:rPr>
                        <w:t>025年度</w:t>
                      </w:r>
                      <w:r>
                        <w:rPr>
                          <w:rFonts w:ascii="黑体" w:eastAsia="黑体" w:hint="eastAsia"/>
                          <w:b/>
                          <w:bCs/>
                          <w:color w:val="002060"/>
                          <w:sz w:val="100"/>
                          <w:szCs w:val="100"/>
                        </w:rPr>
                        <w:t>）</w:t>
                      </w:r>
                    </w:p>
                  </w:txbxContent>
                </v:textbox>
                <w10:wrap type="square"/>
              </v:rect>
            </w:pict>
          </mc:Fallback>
        </mc:AlternateContent>
      </w:r>
      <w:r>
        <w:rPr>
          <w:rFonts w:ascii="方正小标宋简体" w:eastAsia="方正小标宋简体"/>
          <w:sz w:val="36"/>
          <w:szCs w:val="36"/>
        </w:rPr>
        <w:drawing>
          <wp:anchor distT="0" distB="0" distL="114300" distR="114300" simplePos="0" relativeHeight="2" behindDoc="1" locked="0" layoutInCell="1" hidden="0" allowOverlap="1">
            <wp:simplePos x="0" y="0"/>
            <wp:positionH relativeFrom="page">
              <wp:align>right</wp:align>
            </wp:positionH>
            <wp:positionV relativeFrom="paragraph">
              <wp:posOffset>-903605</wp:posOffset>
            </wp:positionV>
            <wp:extent cx="7538085" cy="10643235"/>
            <wp:effectExtent l="0" t="0" r="0" b="0"/>
            <wp:wrapNone/>
            <wp:docPr id="10" name="图片 39"/>
            <wp:cNvGraphicFramePr>
              <a:graphicFrameLocks noChangeAspect="1"/>
            </wp:cNvGraphicFramePr>
            <a:graphic>
              <a:graphicData uri="http://schemas.openxmlformats.org/drawingml/2006/picture">
                <pic:pic>
                  <pic:nvPicPr>
                    <pic:cNvPr id="12" name="图片 39 12"/>
                    <pic:cNvPicPr/>
                  </pic:nvPicPr>
                  <pic:blipFill>
                    <a:blip r:embed="rId6"/>
                    <a:stretch>
                      <a:fillRect/>
                    </a:stretch>
                  </pic:blipFill>
                  <pic:spPr>
                    <a:xfrm rot="0">
                      <a:off x="0" y="0"/>
                      <a:ext cx="7538085" cy="10643235"/>
                    </a:xfrm>
                    <a:prstGeom prst="rect"/>
                    <a:noFill/>
                    <a:ln w="9525" cmpd="sng" cap="flat">
                      <a:noFill/>
                      <a:prstDash val="solid"/>
                      <a:round/>
                    </a:ln>
                  </pic:spPr>
                </pic:pic>
              </a:graphicData>
            </a:graphic>
          </wp:anchor>
        </w:drawing>
      </w:r>
      <w:r>
        <w:rPr>
          <w:rFonts w:ascii="方正小标宋简体" w:eastAsia="方正小标宋简体"/>
          <w:sz w:val="36"/>
          <w:szCs w:val="36"/>
        </w:rPr>
        <w:br w:type="page"/>
      </w:r>
    </w:p>
    <w:p>
      <w:pPr>
        <w:widowControl/>
        <w:jc w:val="center"/>
        <w:rPr>
          <w:rFonts w:ascii="方正小标宋简体" w:eastAsia="方正小标宋简体"/>
          <w:color w:val="002060"/>
          <w:sz w:val="36"/>
          <w:szCs w:val="36"/>
        </w:rPr>
      </w:pPr>
      <w:r>
        <w:rPr>
          <w:rFonts w:ascii="方正小标宋简体" w:eastAsia="方正小标宋简体" w:hint="eastAsia"/>
          <w:color w:val="002060"/>
          <w:sz w:val="36"/>
          <w:szCs w:val="36"/>
        </w:rPr>
        <w:t>内容真实性责任声明</w:t>
      </w:r>
    </w:p>
    <w:p>
      <w:pPr>
        <w:ind w:firstLineChars="150" w:firstLine="480"/>
        <w:rPr>
          <w:rFonts w:ascii="仿宋_GB2312" w:eastAsia="仿宋_GB2312" w:cs="黑体"/>
          <w:color w:val="000000"/>
          <w:kern w:val="0"/>
          <w:sz w:val="32"/>
          <w:szCs w:val="32"/>
        </w:rPr>
      </w:pPr>
    </w:p>
    <w:p>
      <w:pPr>
        <w:ind w:firstLineChars="150" w:firstLine="480"/>
        <w:rPr>
          <w:rFonts w:ascii="仿宋_GB2312" w:eastAsia="仿宋_GB2312" w:cs="黑体"/>
          <w:color w:val="000000"/>
          <w:kern w:val="0"/>
          <w:sz w:val="32"/>
          <w:szCs w:val="32"/>
        </w:rPr>
      </w:pPr>
    </w:p>
    <w:p>
      <w:pPr>
        <w:ind w:firstLineChars="150" w:firstLine="480"/>
        <w:rPr>
          <w:rFonts w:ascii="仿宋_GB2312" w:eastAsia="仿宋_GB2312" w:cs="黑体" w:hint="eastAsia"/>
          <w:color w:val="000000"/>
          <w:kern w:val="0"/>
          <w:sz w:val="32"/>
          <w:szCs w:val="32"/>
        </w:rPr>
      </w:pPr>
      <w:r>
        <w:rPr>
          <w:rFonts w:ascii="仿宋_GB2312" w:eastAsia="仿宋_GB2312" w:cs="黑体" w:hint="eastAsia"/>
          <w:color w:val="000000"/>
          <w:kern w:val="0"/>
          <w:sz w:val="32"/>
          <w:szCs w:val="32"/>
        </w:rPr>
        <w:t>单位对</w:t>
      </w:r>
      <w:r>
        <w:rPr>
          <w:rFonts w:ascii="仿宋_GB2312" w:eastAsia="仿宋_GB2312" w:cs="黑体" w:hint="eastAsia"/>
          <w:color w:val="000000"/>
          <w:kern w:val="0"/>
          <w:sz w:val="32"/>
          <w:szCs w:val="32"/>
          <w:u w:val="single"/>
        </w:rPr>
        <w:t>永州市</w:t>
      </w:r>
      <w:r>
        <w:rPr>
          <w:rFonts w:ascii="仿宋_GB2312" w:eastAsia="仿宋_GB2312" w:cs="黑体" w:hint="eastAsia"/>
          <w:color w:val="000000"/>
          <w:kern w:val="0"/>
          <w:sz w:val="32"/>
          <w:szCs w:val="32"/>
        </w:rPr>
        <w:t>中等职业教育质量年度报告(2024年度）及相关附件的真实性、完整性和准确性负责。</w:t>
      </w:r>
    </w:p>
    <w:p>
      <w:pPr>
        <w:ind w:firstLineChars="150" w:firstLine="480"/>
        <w:rPr>
          <w:rFonts w:ascii="仿宋_GB2312" w:eastAsia="仿宋_GB2312" w:cs="黑体" w:hint="eastAsia"/>
          <w:color w:val="000000"/>
          <w:kern w:val="0"/>
          <w:sz w:val="32"/>
          <w:szCs w:val="32"/>
        </w:rPr>
      </w:pPr>
      <w:r>
        <w:rPr>
          <w:rFonts w:ascii="仿宋_GB2312" w:eastAsia="仿宋_GB2312" w:cs="黑体" w:hint="eastAsia"/>
          <w:color w:val="000000"/>
          <w:kern w:val="0"/>
          <w:sz w:val="32"/>
          <w:szCs w:val="32"/>
        </w:rPr>
        <w:t>特此申明。</w:t>
      </w:r>
    </w:p>
    <w:p>
      <w:pPr>
        <w:rPr>
          <w:rFonts w:ascii="仿宋_GB2312" w:eastAsia="仿宋_GB2312" w:cs="黑体" w:hint="eastAsia"/>
          <w:color w:val="000000"/>
          <w:kern w:val="0"/>
          <w:sz w:val="32"/>
          <w:szCs w:val="32"/>
        </w:rPr>
      </w:pPr>
    </w:p>
    <w:p>
      <w:pPr>
        <w:rPr>
          <w:rFonts w:ascii="仿宋_GB2312" w:eastAsia="仿宋_GB2312" w:cs="黑体" w:hint="eastAsia"/>
          <w:color w:val="000000"/>
          <w:kern w:val="0"/>
          <w:sz w:val="32"/>
          <w:szCs w:val="32"/>
        </w:rPr>
      </w:pPr>
    </w:p>
    <w:p>
      <w:pPr>
        <w:rPr>
          <w:rFonts w:ascii="仿宋_GB2312" w:eastAsia="仿宋_GB2312" w:cs="黑体" w:hint="eastAsia"/>
          <w:color w:val="000000"/>
          <w:kern w:val="0"/>
          <w:sz w:val="32"/>
          <w:szCs w:val="32"/>
        </w:rPr>
      </w:pPr>
    </w:p>
    <w:p>
      <w:pPr>
        <w:rPr>
          <w:rFonts w:ascii="仿宋_GB2312" w:eastAsia="仿宋_GB2312" w:cs="黑体" w:hint="eastAsia"/>
          <w:color w:val="000000"/>
          <w:kern w:val="0"/>
          <w:sz w:val="32"/>
          <w:szCs w:val="32"/>
        </w:rPr>
      </w:pPr>
    </w:p>
    <w:p>
      <w:pPr>
        <w:jc w:val="right"/>
        <w:rPr>
          <w:rFonts w:ascii="仿宋_GB2312" w:eastAsia="仿宋_GB2312" w:cs="黑体" w:hint="eastAsia"/>
          <w:color w:val="000000"/>
          <w:kern w:val="0"/>
          <w:sz w:val="32"/>
          <w:szCs w:val="32"/>
        </w:rPr>
      </w:pPr>
      <w:r>
        <w:rPr>
          <w:rFonts w:ascii="仿宋_GB2312" w:eastAsia="仿宋_GB2312" w:cs="黑体" w:hint="eastAsia"/>
          <w:color w:val="000000"/>
          <w:kern w:val="0"/>
          <w:sz w:val="32"/>
          <w:szCs w:val="32"/>
        </w:rPr>
        <w:t>单位名称（盖章）永州市教育局</w:t>
      </w:r>
    </w:p>
    <w:p>
      <w:pPr>
        <w:jc w:val="right"/>
        <w:rPr>
          <w:rFonts w:ascii="仿宋_GB2312" w:eastAsia="仿宋_GB2312" w:cs="黑体" w:hint="eastAsia"/>
          <w:color w:val="000000"/>
          <w:kern w:val="0"/>
          <w:sz w:val="32"/>
          <w:szCs w:val="32"/>
        </w:rPr>
      </w:pPr>
      <w:r>
        <w:rPr>
          <w:rFonts w:ascii="仿宋_GB2312" w:eastAsia="仿宋_GB2312" w:cs="黑体" w:hint="eastAsia"/>
          <w:color w:val="000000"/>
          <w:kern w:val="0"/>
          <w:sz w:val="32"/>
          <w:szCs w:val="32"/>
        </w:rPr>
        <w:t>法定代表人（签名）</w:t>
      </w:r>
    </w:p>
    <w:p>
      <w:pPr>
        <w:widowControl/>
        <w:jc w:val="left"/>
        <w:rPr>
          <w:rFonts w:ascii="方正小标宋简体" w:eastAsia="方正小标宋简体"/>
          <w:color w:val="002060"/>
          <w:sz w:val="36"/>
          <w:szCs w:val="36"/>
        </w:rPr>
      </w:pPr>
    </w:p>
    <w:p>
      <w:pPr>
        <w:widowControl/>
        <w:jc w:val="center"/>
        <w:rPr>
          <w:rFonts w:ascii="方正小标宋简体" w:eastAsia="方正小标宋简体"/>
          <w:color w:val="002060"/>
          <w:sz w:val="36"/>
          <w:szCs w:val="36"/>
        </w:rPr>
      </w:pPr>
    </w:p>
    <w:p>
      <w:pPr>
        <w:widowControl/>
        <w:jc w:val="center"/>
        <w:rPr>
          <w:rFonts w:ascii="方正小标宋简体" w:eastAsia="方正小标宋简体"/>
          <w:color w:val="002060"/>
          <w:sz w:val="36"/>
          <w:szCs w:val="36"/>
        </w:rPr>
      </w:pPr>
    </w:p>
    <w:p>
      <w:pPr>
        <w:widowControl/>
        <w:jc w:val="center"/>
        <w:rPr>
          <w:rFonts w:ascii="方正小标宋简体" w:eastAsia="方正小标宋简体"/>
          <w:color w:val="002060"/>
          <w:sz w:val="36"/>
          <w:szCs w:val="36"/>
        </w:rPr>
      </w:pPr>
    </w:p>
    <w:p>
      <w:pPr>
        <w:widowControl/>
        <w:jc w:val="center"/>
        <w:rPr>
          <w:rFonts w:ascii="方正小标宋简体" w:eastAsia="方正小标宋简体"/>
          <w:color w:val="002060"/>
          <w:sz w:val="36"/>
          <w:szCs w:val="36"/>
        </w:rPr>
      </w:pPr>
    </w:p>
    <w:p>
      <w:pPr>
        <w:widowControl/>
        <w:jc w:val="center"/>
        <w:rPr>
          <w:rFonts w:ascii="方正小标宋简体" w:eastAsia="方正小标宋简体"/>
          <w:color w:val="002060"/>
          <w:sz w:val="36"/>
          <w:szCs w:val="36"/>
        </w:rPr>
      </w:pPr>
    </w:p>
    <w:p>
      <w:pPr>
        <w:widowControl/>
        <w:jc w:val="center"/>
        <w:rPr>
          <w:rFonts w:ascii="方正小标宋简体" w:eastAsia="方正小标宋简体"/>
          <w:color w:val="002060"/>
          <w:sz w:val="36"/>
          <w:szCs w:val="36"/>
        </w:rPr>
      </w:pPr>
    </w:p>
    <w:p>
      <w:pPr>
        <w:widowControl/>
        <w:jc w:val="center"/>
        <w:rPr>
          <w:rFonts w:ascii="方正小标宋简体" w:eastAsia="方正小标宋简体"/>
          <w:color w:val="002060"/>
          <w:sz w:val="36"/>
          <w:szCs w:val="36"/>
        </w:rPr>
      </w:pPr>
    </w:p>
    <w:p>
      <w:pPr>
        <w:widowControl/>
        <w:jc w:val="center"/>
        <w:rPr>
          <w:rFonts w:ascii="方正小标宋简体" w:eastAsia="方正小标宋简体"/>
          <w:color w:val="002060"/>
          <w:sz w:val="36"/>
          <w:szCs w:val="36"/>
        </w:rPr>
      </w:pPr>
    </w:p>
    <w:p>
      <w:pPr>
        <w:widowControl/>
        <w:jc w:val="center"/>
        <w:rPr>
          <w:rFonts w:ascii="方正小标宋简体" w:eastAsia="方正小标宋简体"/>
          <w:color w:val="002060"/>
          <w:sz w:val="36"/>
          <w:szCs w:val="36"/>
        </w:rPr>
      </w:pPr>
    </w:p>
    <w:p>
      <w:pPr>
        <w:widowControl/>
        <w:jc w:val="center"/>
        <w:rPr>
          <w:rFonts w:ascii="方正小标宋简体" w:eastAsia="方正小标宋简体"/>
          <w:color w:val="002060"/>
          <w:sz w:val="36"/>
          <w:szCs w:val="36"/>
        </w:rPr>
      </w:pPr>
      <w:bookmarkStart w:id="1" w:name="_GoBack"/>
      <w:bookmarkEnd w:id="1"/>
      <w:r>
        <w:rPr>
          <w:rFonts w:ascii="方正小标宋简体" w:eastAsia="方正小标宋简体" w:hint="eastAsia"/>
          <w:color w:val="002060"/>
          <w:sz w:val="36"/>
          <w:szCs w:val="36"/>
        </w:rPr>
        <w:t>年报公开形式及网址</w:t>
      </w:r>
    </w:p>
    <w:p>
      <w:pPr>
        <w:widowControl/>
        <w:jc w:val="center"/>
        <w:rPr>
          <w:rFonts w:ascii="方正小标宋简体" w:eastAsia="方正小标宋简体"/>
          <w:color w:val="002060"/>
          <w:sz w:val="36"/>
          <w:szCs w:val="36"/>
        </w:rPr>
      </w:pPr>
    </w:p>
    <w:p>
      <w:pPr>
        <w:widowControl/>
        <w:jc w:val="center"/>
        <w:rPr>
          <w:rFonts w:ascii="方正小标宋简体" w:eastAsia="方正小标宋简体"/>
          <w:color w:val="002060"/>
          <w:sz w:val="36"/>
          <w:szCs w:val="36"/>
        </w:rPr>
      </w:pPr>
    </w:p>
    <w:p>
      <w:pPr>
        <w:widowControl/>
        <w:jc w:val="center"/>
        <w:rPr>
          <w:rFonts w:ascii="方正小标宋简体" w:eastAsia="方正小标宋简体"/>
          <w:color w:val="002060"/>
          <w:sz w:val="36"/>
          <w:szCs w:val="36"/>
        </w:rPr>
      </w:pPr>
    </w:p>
    <w:p>
      <w:pPr>
        <w:widowControl/>
        <w:jc w:val="center"/>
        <w:rPr>
          <w:rFonts w:ascii="方正小标宋简体" w:eastAsia="方正小标宋简体"/>
          <w:color w:val="002060"/>
          <w:sz w:val="36"/>
          <w:szCs w:val="36"/>
        </w:rPr>
      </w:pPr>
      <w:r>
        <w:rPr>
          <w:rFonts w:ascii="方正小标宋简体" w:eastAsia="方正小标宋简体"/>
          <w:color w:val="002060"/>
          <w:sz w:val="36"/>
          <w:szCs w:val="36"/>
        </w:rPr>
        <w:br w:type="page"/>
      </w:r>
    </w:p>
    <w:p>
      <w:pPr>
        <w:widowControl/>
        <w:jc w:val="center"/>
        <w:rPr>
          <w:rFonts w:ascii="方正小标宋简体" w:eastAsia="方正小标宋简体"/>
          <w:color w:val="002060"/>
          <w:sz w:val="36"/>
          <w:szCs w:val="36"/>
        </w:rPr>
      </w:pPr>
      <w:r>
        <w:rPr>
          <w:rFonts w:ascii="方正小标宋简体" w:eastAsia="方正小标宋简体" w:hint="eastAsia"/>
          <w:color w:val="002060"/>
          <w:sz w:val="36"/>
          <w:szCs w:val="36"/>
        </w:rPr>
        <w:t>目 录</w:t>
      </w:r>
    </w:p>
    <w:p>
      <w:pPr>
        <w:pStyle w:val="20"/>
        <w:tabs>
          <w:tab w:val="right" w:leader="dot" w:pos="8296"/>
        </w:tabs>
      </w:pPr>
      <w:r>
        <w:rPr>
          <w:rFonts w:ascii="方正小标宋简体" w:eastAsia="方正小标宋简体" w:hint="eastAsia"/>
          <w:sz w:val="36"/>
          <w:szCs w:val="36"/>
        </w:rPr>
        <w:fldChar w:fldCharType="begin"/>
      </w:r>
      <w:r>
        <w:rPr>
          <w:rFonts w:ascii="方正小标宋简体" w:eastAsia="方正小标宋简体"/>
          <w:sz w:val="36"/>
          <w:szCs w:val="36"/>
        </w:rPr>
        <w:instrText xml:space="preserve"> </w:instrText>
      </w:r>
      <w:r>
        <w:rPr>
          <w:rFonts w:ascii="方正小标宋简体" w:eastAsia="方正小标宋简体" w:hint="eastAsia"/>
          <w:sz w:val="36"/>
          <w:szCs w:val="36"/>
        </w:rPr>
        <w:instrText>TOC \o "1-2" \h \z \u</w:instrText>
      </w:r>
      <w:r>
        <w:rPr>
          <w:rFonts w:ascii="方正小标宋简体" w:eastAsia="方正小标宋简体"/>
          <w:sz w:val="36"/>
          <w:szCs w:val="36"/>
        </w:rPr>
        <w:instrText xml:space="preserve"> </w:instrText>
      </w:r>
      <w:r>
        <w:rPr>
          <w:rFonts w:ascii="方正小标宋简体" w:eastAsia="方正小标宋简体"/>
          <w:sz w:val="36"/>
          <w:szCs w:val="36"/>
        </w:rPr>
        <w:fldChar w:fldCharType="separate"/>
      </w:r>
      <w:r>
        <w:fldChar w:fldCharType="begin"/>
      </w:r>
      <w:r>
        <w:instrText xml:space="preserve"> HYPERLINK \l "_Toc218688906" </w:instrText>
      </w:r>
      <w:r>
        <w:fldChar w:fldCharType="separate"/>
      </w:r>
      <w:r>
        <w:rPr>
          <w:rFonts w:ascii="黑体" w:eastAsia="黑体"/>
          <w:shd w:val="clear" w:color="auto" w:fill="FFFFFF"/>
        </w:rPr>
        <w:t>前言</w:t>
      </w:r>
      <w:r>
        <w:tab/>
      </w:r>
      <w:r>
        <w:fldChar w:fldCharType="begin"/>
      </w:r>
      <w:r>
        <w:instrText xml:space="preserve"> PAGEREF _Toc218688906 \h </w:instrText>
      </w:r>
      <w:r>
        <w:fldChar w:fldCharType="separate"/>
      </w:r>
      <w:r>
        <w:t>1</w:t>
      </w:r>
      <w:r>
        <w:fldChar w:fldCharType="end"/>
      </w:r>
      <w:r>
        <w:fldChar w:fldCharType="end"/>
      </w:r>
    </w:p>
    <w:p>
      <w:pPr>
        <w:pStyle w:val="20"/>
        <w:tabs>
          <w:tab w:val="right" w:leader="dot" w:pos="8296"/>
        </w:tabs>
      </w:pPr>
      <w:r>
        <w:fldChar w:fldCharType="begin"/>
      </w:r>
      <w:r>
        <w:instrText xml:space="preserve"> HYPERLINK \l "_Toc218688907" </w:instrText>
      </w:r>
      <w:r>
        <w:fldChar w:fldCharType="separate"/>
      </w:r>
      <w:r>
        <w:rPr>
          <w:rFonts w:ascii="黑体" w:eastAsia="黑体"/>
          <w:shd w:val="clear" w:color="auto" w:fill="FFFFFF"/>
        </w:rPr>
        <w:t>1. 发展概览</w:t>
      </w:r>
      <w:r>
        <w:tab/>
      </w:r>
      <w:r>
        <w:fldChar w:fldCharType="begin"/>
      </w:r>
      <w:r>
        <w:instrText xml:space="preserve"> PAGEREF _Toc218688907 \h </w:instrText>
      </w:r>
      <w:r>
        <w:fldChar w:fldCharType="separate"/>
      </w:r>
      <w:r>
        <w:t>3</w:t>
      </w:r>
      <w:r>
        <w:fldChar w:fldCharType="end"/>
      </w:r>
      <w:r>
        <w:fldChar w:fldCharType="end"/>
      </w:r>
    </w:p>
    <w:p>
      <w:pPr>
        <w:pStyle w:val="22"/>
        <w:tabs>
          <w:tab w:val="right" w:leader="dot" w:pos="8296"/>
        </w:tabs>
      </w:pPr>
      <w:r>
        <w:fldChar w:fldCharType="begin"/>
      </w:r>
      <w:r>
        <w:instrText xml:space="preserve"> HYPERLINK \l "_Toc218688908" </w:instrText>
      </w:r>
      <w:r>
        <w:fldChar w:fldCharType="separate"/>
      </w:r>
      <w:r>
        <w:rPr>
          <w:rFonts w:ascii="楷体" w:eastAsia="楷体"/>
          <w:shd w:val="clear" w:color="auto" w:fill="FFFFFF"/>
        </w:rPr>
        <w:t>1.1学校概况</w:t>
      </w:r>
      <w:r>
        <w:tab/>
      </w:r>
      <w:r>
        <w:fldChar w:fldCharType="begin"/>
      </w:r>
      <w:r>
        <w:instrText xml:space="preserve"> PAGEREF _Toc218688908 \h </w:instrText>
      </w:r>
      <w:r>
        <w:fldChar w:fldCharType="separate"/>
      </w:r>
      <w:r>
        <w:t>4</w:t>
      </w:r>
      <w:r>
        <w:fldChar w:fldCharType="end"/>
      </w:r>
      <w:r>
        <w:fldChar w:fldCharType="end"/>
      </w:r>
    </w:p>
    <w:p>
      <w:pPr>
        <w:pStyle w:val="22"/>
        <w:tabs>
          <w:tab w:val="right" w:leader="dot" w:pos="8296"/>
        </w:tabs>
      </w:pPr>
      <w:r>
        <w:fldChar w:fldCharType="begin"/>
      </w:r>
      <w:r>
        <w:instrText xml:space="preserve"> HYPERLINK \l "_Toc218688909" </w:instrText>
      </w:r>
      <w:r>
        <w:fldChar w:fldCharType="separate"/>
      </w:r>
      <w:r>
        <w:rPr>
          <w:rFonts w:ascii="楷体" w:eastAsia="楷体"/>
          <w:shd w:val="clear" w:color="auto" w:fill="FFFFFF"/>
        </w:rPr>
        <w:t>1.2专业情况</w:t>
      </w:r>
      <w:r>
        <w:tab/>
      </w:r>
      <w:r>
        <w:fldChar w:fldCharType="begin"/>
      </w:r>
      <w:r>
        <w:instrText xml:space="preserve"> PAGEREF _Toc218688909 \h </w:instrText>
      </w:r>
      <w:r>
        <w:fldChar w:fldCharType="separate"/>
      </w:r>
      <w:r>
        <w:t>5</w:t>
      </w:r>
      <w:r>
        <w:fldChar w:fldCharType="end"/>
      </w:r>
      <w:r>
        <w:fldChar w:fldCharType="end"/>
      </w:r>
    </w:p>
    <w:p>
      <w:pPr>
        <w:pStyle w:val="22"/>
        <w:tabs>
          <w:tab w:val="right" w:leader="dot" w:pos="8296"/>
        </w:tabs>
      </w:pPr>
      <w:r>
        <w:fldChar w:fldCharType="begin"/>
      </w:r>
      <w:r>
        <w:instrText xml:space="preserve"> HYPERLINK \l "_Toc218688910" </w:instrText>
      </w:r>
      <w:r>
        <w:fldChar w:fldCharType="separate"/>
      </w:r>
      <w:r>
        <w:rPr>
          <w:rFonts w:ascii="楷体" w:eastAsia="楷体"/>
          <w:shd w:val="clear" w:color="auto" w:fill="FFFFFF"/>
        </w:rPr>
        <w:t>1.3 学生情况</w:t>
      </w:r>
      <w:r>
        <w:tab/>
      </w:r>
      <w:r>
        <w:fldChar w:fldCharType="begin"/>
      </w:r>
      <w:r>
        <w:instrText xml:space="preserve"> PAGEREF _Toc218688910 \h </w:instrText>
      </w:r>
      <w:r>
        <w:fldChar w:fldCharType="separate"/>
      </w:r>
      <w:r>
        <w:t>7</w:t>
      </w:r>
      <w:r>
        <w:fldChar w:fldCharType="end"/>
      </w:r>
      <w:r>
        <w:fldChar w:fldCharType="end"/>
      </w:r>
    </w:p>
    <w:p>
      <w:pPr>
        <w:pStyle w:val="22"/>
        <w:tabs>
          <w:tab w:val="right" w:leader="dot" w:pos="8296"/>
        </w:tabs>
      </w:pPr>
      <w:r>
        <w:fldChar w:fldCharType="begin"/>
      </w:r>
      <w:r>
        <w:instrText xml:space="preserve"> HYPERLINK \l "_Toc218688911" </w:instrText>
      </w:r>
      <w:r>
        <w:fldChar w:fldCharType="separate"/>
      </w:r>
      <w:r>
        <w:rPr>
          <w:rFonts w:ascii="楷体" w:eastAsia="楷体"/>
          <w:shd w:val="clear" w:color="auto" w:fill="FFFFFF"/>
        </w:rPr>
        <w:t>1.4教师队伍</w:t>
      </w:r>
      <w:r>
        <w:tab/>
      </w:r>
      <w:r>
        <w:fldChar w:fldCharType="begin"/>
      </w:r>
      <w:r>
        <w:instrText xml:space="preserve"> PAGEREF _Toc218688911 \h </w:instrText>
      </w:r>
      <w:r>
        <w:fldChar w:fldCharType="separate"/>
      </w:r>
      <w:r>
        <w:t>9</w:t>
      </w:r>
      <w:r>
        <w:fldChar w:fldCharType="end"/>
      </w:r>
      <w:r>
        <w:fldChar w:fldCharType="end"/>
      </w:r>
    </w:p>
    <w:p>
      <w:pPr>
        <w:pStyle w:val="22"/>
        <w:tabs>
          <w:tab w:val="right" w:leader="dot" w:pos="8296"/>
        </w:tabs>
      </w:pPr>
      <w:r>
        <w:fldChar w:fldCharType="begin"/>
      </w:r>
      <w:r>
        <w:instrText xml:space="preserve"> HYPERLINK \l "_Toc218688912" </w:instrText>
      </w:r>
      <w:r>
        <w:fldChar w:fldCharType="separate"/>
      </w:r>
      <w:r>
        <w:rPr>
          <w:rFonts w:ascii="楷体" w:eastAsia="楷体"/>
          <w:shd w:val="clear" w:color="auto" w:fill="FFFFFF"/>
        </w:rPr>
        <w:t>1.5办学条件</w:t>
      </w:r>
      <w:r>
        <w:tab/>
      </w:r>
      <w:r>
        <w:fldChar w:fldCharType="begin"/>
      </w:r>
      <w:r>
        <w:instrText xml:space="preserve"> PAGEREF _Toc218688912 \h </w:instrText>
      </w:r>
      <w:r>
        <w:fldChar w:fldCharType="separate"/>
      </w:r>
      <w:r>
        <w:t>10</w:t>
      </w:r>
      <w:r>
        <w:fldChar w:fldCharType="end"/>
      </w:r>
      <w:r>
        <w:fldChar w:fldCharType="end"/>
      </w:r>
    </w:p>
    <w:p>
      <w:pPr>
        <w:pStyle w:val="20"/>
        <w:tabs>
          <w:tab w:val="right" w:leader="dot" w:pos="8296"/>
        </w:tabs>
      </w:pPr>
      <w:r>
        <w:fldChar w:fldCharType="begin"/>
      </w:r>
      <w:r>
        <w:instrText xml:space="preserve"> HYPERLINK \l "_Toc218688913" </w:instrText>
      </w:r>
      <w:r>
        <w:fldChar w:fldCharType="separate"/>
      </w:r>
      <w:r>
        <w:rPr>
          <w:rFonts w:ascii="黑体" w:eastAsia="黑体"/>
          <w:shd w:val="clear" w:color="auto" w:fill="FFFFFF"/>
        </w:rPr>
        <w:t>2. 人才培养</w:t>
      </w:r>
      <w:r>
        <w:tab/>
      </w:r>
      <w:r>
        <w:fldChar w:fldCharType="begin"/>
      </w:r>
      <w:r>
        <w:instrText xml:space="preserve"> PAGEREF _Toc218688913 \h </w:instrText>
      </w:r>
      <w:r>
        <w:fldChar w:fldCharType="separate"/>
      </w:r>
      <w:r>
        <w:t>12</w:t>
      </w:r>
      <w:r>
        <w:fldChar w:fldCharType="end"/>
      </w:r>
      <w:r>
        <w:fldChar w:fldCharType="end"/>
      </w:r>
    </w:p>
    <w:p>
      <w:pPr>
        <w:pStyle w:val="22"/>
        <w:tabs>
          <w:tab w:val="right" w:leader="dot" w:pos="8296"/>
        </w:tabs>
      </w:pPr>
      <w:r>
        <w:fldChar w:fldCharType="begin"/>
      </w:r>
      <w:r>
        <w:instrText xml:space="preserve"> HYPERLINK \l "_Toc218688914" </w:instrText>
      </w:r>
      <w:r>
        <w:fldChar w:fldCharType="separate"/>
      </w:r>
      <w:r>
        <w:rPr>
          <w:rFonts w:ascii="楷体" w:eastAsia="楷体"/>
          <w:shd w:val="clear" w:color="auto" w:fill="FFFFFF"/>
        </w:rPr>
        <w:t>2.1专业动态调整</w:t>
      </w:r>
      <w:r>
        <w:tab/>
      </w:r>
      <w:r>
        <w:fldChar w:fldCharType="begin"/>
      </w:r>
      <w:r>
        <w:instrText xml:space="preserve"> PAGEREF _Toc218688914 \h </w:instrText>
      </w:r>
      <w:r>
        <w:fldChar w:fldCharType="separate"/>
      </w:r>
      <w:r>
        <w:t>12</w:t>
      </w:r>
      <w:r>
        <w:fldChar w:fldCharType="end"/>
      </w:r>
      <w:r>
        <w:fldChar w:fldCharType="end"/>
      </w:r>
    </w:p>
    <w:p>
      <w:pPr>
        <w:pStyle w:val="22"/>
        <w:tabs>
          <w:tab w:val="right" w:leader="dot" w:pos="8296"/>
        </w:tabs>
      </w:pPr>
      <w:r>
        <w:fldChar w:fldCharType="begin"/>
      </w:r>
      <w:r>
        <w:instrText xml:space="preserve"> HYPERLINK \l "_Toc218688915" </w:instrText>
      </w:r>
      <w:r>
        <w:fldChar w:fldCharType="separate"/>
      </w:r>
      <w:r>
        <w:rPr>
          <w:rFonts w:ascii="楷体" w:eastAsia="楷体"/>
          <w:shd w:val="clear" w:color="auto" w:fill="FFFFFF"/>
        </w:rPr>
        <w:t>2.2“岗课赛证”融合实践</w:t>
      </w:r>
      <w:r>
        <w:tab/>
      </w:r>
      <w:r>
        <w:fldChar w:fldCharType="begin"/>
      </w:r>
      <w:r>
        <w:instrText xml:space="preserve"> PAGEREF _Toc218688915 \h </w:instrText>
      </w:r>
      <w:r>
        <w:fldChar w:fldCharType="separate"/>
      </w:r>
      <w:r>
        <w:t>15</w:t>
      </w:r>
      <w:r>
        <w:fldChar w:fldCharType="end"/>
      </w:r>
      <w:r>
        <w:fldChar w:fldCharType="end"/>
      </w:r>
    </w:p>
    <w:p>
      <w:pPr>
        <w:pStyle w:val="22"/>
        <w:tabs>
          <w:tab w:val="right" w:leader="dot" w:pos="8296"/>
        </w:tabs>
      </w:pPr>
      <w:r>
        <w:fldChar w:fldCharType="begin"/>
      </w:r>
      <w:r>
        <w:instrText xml:space="preserve"> HYPERLINK \l "_Toc218688916" </w:instrText>
      </w:r>
      <w:r>
        <w:fldChar w:fldCharType="separate"/>
      </w:r>
      <w:r>
        <w:rPr>
          <w:rFonts w:ascii="楷体" w:eastAsia="楷体"/>
          <w:shd w:val="clear" w:color="auto" w:fill="FFFFFF"/>
        </w:rPr>
        <w:t>2.3“双师型”教师建设</w:t>
      </w:r>
      <w:r>
        <w:tab/>
      </w:r>
      <w:r>
        <w:fldChar w:fldCharType="begin"/>
      </w:r>
      <w:r>
        <w:instrText xml:space="preserve"> PAGEREF _Toc218688916 \h </w:instrText>
      </w:r>
      <w:r>
        <w:fldChar w:fldCharType="separate"/>
      </w:r>
      <w:r>
        <w:t>20</w:t>
      </w:r>
      <w:r>
        <w:fldChar w:fldCharType="end"/>
      </w:r>
      <w:r>
        <w:fldChar w:fldCharType="end"/>
      </w:r>
    </w:p>
    <w:p>
      <w:pPr>
        <w:pStyle w:val="22"/>
        <w:tabs>
          <w:tab w:val="right" w:leader="dot" w:pos="8296"/>
        </w:tabs>
      </w:pPr>
      <w:r>
        <w:fldChar w:fldCharType="begin"/>
      </w:r>
      <w:r>
        <w:instrText xml:space="preserve"> HYPERLINK \l "_Toc218688917" </w:instrText>
      </w:r>
      <w:r>
        <w:fldChar w:fldCharType="separate"/>
      </w:r>
      <w:r>
        <w:rPr>
          <w:rFonts w:ascii="楷体" w:eastAsia="楷体"/>
          <w:shd w:val="clear" w:color="auto" w:fill="FFFFFF"/>
        </w:rPr>
        <w:t>2.4实习实训管理</w:t>
      </w:r>
      <w:r>
        <w:tab/>
      </w:r>
      <w:r>
        <w:fldChar w:fldCharType="begin"/>
      </w:r>
      <w:r>
        <w:instrText xml:space="preserve"> PAGEREF _Toc218688917 \h </w:instrText>
      </w:r>
      <w:r>
        <w:fldChar w:fldCharType="separate"/>
      </w:r>
      <w:r>
        <w:t>23</w:t>
      </w:r>
      <w:r>
        <w:fldChar w:fldCharType="end"/>
      </w:r>
      <w:r>
        <w:fldChar w:fldCharType="end"/>
      </w:r>
    </w:p>
    <w:p>
      <w:pPr>
        <w:pStyle w:val="22"/>
        <w:tabs>
          <w:tab w:val="right" w:leader="dot" w:pos="8296"/>
        </w:tabs>
      </w:pPr>
      <w:r>
        <w:fldChar w:fldCharType="begin"/>
      </w:r>
      <w:r>
        <w:instrText xml:space="preserve"> HYPERLINK \l "_Toc218688918" </w:instrText>
      </w:r>
      <w:r>
        <w:fldChar w:fldCharType="separate"/>
      </w:r>
      <w:r>
        <w:rPr>
          <w:rFonts w:ascii="楷体" w:eastAsia="楷体"/>
          <w:shd w:val="clear" w:color="auto" w:fill="FFFFFF"/>
        </w:rPr>
        <w:t>2.5技能竞赛</w:t>
      </w:r>
      <w:r>
        <w:tab/>
      </w:r>
      <w:r>
        <w:fldChar w:fldCharType="begin"/>
      </w:r>
      <w:r>
        <w:instrText xml:space="preserve"> PAGEREF _Toc218688918 \h </w:instrText>
      </w:r>
      <w:r>
        <w:fldChar w:fldCharType="separate"/>
      </w:r>
      <w:r>
        <w:t>25</w:t>
      </w:r>
      <w:r>
        <w:fldChar w:fldCharType="end"/>
      </w:r>
      <w:r>
        <w:fldChar w:fldCharType="end"/>
      </w:r>
    </w:p>
    <w:p>
      <w:pPr>
        <w:pStyle w:val="22"/>
        <w:tabs>
          <w:tab w:val="right" w:leader="dot" w:pos="8296"/>
        </w:tabs>
      </w:pPr>
      <w:r>
        <w:fldChar w:fldCharType="begin"/>
      </w:r>
      <w:r>
        <w:instrText xml:space="preserve"> HYPERLINK \l "_Toc218688919" </w:instrText>
      </w:r>
      <w:r>
        <w:fldChar w:fldCharType="separate"/>
      </w:r>
      <w:r>
        <w:rPr>
          <w:rFonts w:ascii="楷体" w:eastAsia="楷体"/>
          <w:shd w:val="clear" w:color="auto" w:fill="FFFFFF"/>
        </w:rPr>
        <w:t>2.6职业培训开展</w:t>
      </w:r>
      <w:r>
        <w:tab/>
      </w:r>
      <w:r>
        <w:fldChar w:fldCharType="begin"/>
      </w:r>
      <w:r>
        <w:instrText xml:space="preserve"> PAGEREF _Toc218688919 \h </w:instrText>
      </w:r>
      <w:r>
        <w:fldChar w:fldCharType="separate"/>
      </w:r>
      <w:r>
        <w:t>28</w:t>
      </w:r>
      <w:r>
        <w:fldChar w:fldCharType="end"/>
      </w:r>
      <w:r>
        <w:fldChar w:fldCharType="end"/>
      </w:r>
    </w:p>
    <w:p>
      <w:pPr>
        <w:pStyle w:val="22"/>
        <w:tabs>
          <w:tab w:val="right" w:leader="dot" w:pos="8296"/>
        </w:tabs>
      </w:pPr>
      <w:r>
        <w:fldChar w:fldCharType="begin"/>
      </w:r>
      <w:r>
        <w:instrText xml:space="preserve"> HYPERLINK \l "_Toc218688920" </w:instrText>
      </w:r>
      <w:r>
        <w:fldChar w:fldCharType="separate"/>
      </w:r>
      <w:r>
        <w:rPr>
          <w:rFonts w:ascii="楷体" w:eastAsia="楷体"/>
          <w:shd w:val="clear" w:color="auto" w:fill="FFFFFF"/>
        </w:rPr>
        <w:t>2.7毕业生质量跟踪</w:t>
      </w:r>
      <w:r>
        <w:tab/>
      </w:r>
      <w:r>
        <w:fldChar w:fldCharType="begin"/>
      </w:r>
      <w:r>
        <w:instrText xml:space="preserve"> PAGEREF _Toc218688920 \h </w:instrText>
      </w:r>
      <w:r>
        <w:fldChar w:fldCharType="separate"/>
      </w:r>
      <w:r>
        <w:t>32</w:t>
      </w:r>
      <w:r>
        <w:fldChar w:fldCharType="end"/>
      </w:r>
      <w:r>
        <w:fldChar w:fldCharType="end"/>
      </w:r>
    </w:p>
    <w:p>
      <w:pPr>
        <w:pStyle w:val="20"/>
        <w:tabs>
          <w:tab w:val="right" w:leader="dot" w:pos="8296"/>
        </w:tabs>
      </w:pPr>
      <w:r>
        <w:fldChar w:fldCharType="begin"/>
      </w:r>
      <w:r>
        <w:instrText xml:space="preserve"> HYPERLINK \l "_Toc218688921" </w:instrText>
      </w:r>
      <w:r>
        <w:fldChar w:fldCharType="separate"/>
      </w:r>
      <w:r>
        <w:rPr>
          <w:rFonts w:ascii="黑体" w:eastAsia="黑体"/>
          <w:shd w:val="clear" w:color="auto" w:fill="FFFFFF"/>
        </w:rPr>
        <w:t>3. 服务贡献</w:t>
      </w:r>
      <w:r>
        <w:tab/>
      </w:r>
      <w:r>
        <w:fldChar w:fldCharType="begin"/>
      </w:r>
      <w:r>
        <w:instrText xml:space="preserve"> PAGEREF _Toc218688921 \h </w:instrText>
      </w:r>
      <w:r>
        <w:fldChar w:fldCharType="separate"/>
      </w:r>
      <w:r>
        <w:t>35</w:t>
      </w:r>
      <w:r>
        <w:fldChar w:fldCharType="end"/>
      </w:r>
      <w:r>
        <w:fldChar w:fldCharType="end"/>
      </w:r>
    </w:p>
    <w:p>
      <w:pPr>
        <w:pStyle w:val="22"/>
        <w:tabs>
          <w:tab w:val="right" w:leader="dot" w:pos="8296"/>
        </w:tabs>
      </w:pPr>
      <w:r>
        <w:fldChar w:fldCharType="begin"/>
      </w:r>
      <w:r>
        <w:instrText xml:space="preserve"> HYPERLINK \l "_Toc218688922" </w:instrText>
      </w:r>
      <w:r>
        <w:fldChar w:fldCharType="separate"/>
      </w:r>
      <w:r>
        <w:rPr>
          <w:rFonts w:ascii="楷体" w:eastAsia="楷体"/>
          <w:shd w:val="clear" w:color="auto" w:fill="FFFFFF"/>
        </w:rPr>
        <w:t>3.1本地产业人才输送</w:t>
      </w:r>
      <w:r>
        <w:tab/>
      </w:r>
      <w:r>
        <w:fldChar w:fldCharType="begin"/>
      </w:r>
      <w:r>
        <w:instrText xml:space="preserve"> PAGEREF _Toc218688922 \h </w:instrText>
      </w:r>
      <w:r>
        <w:fldChar w:fldCharType="separate"/>
      </w:r>
      <w:r>
        <w:t>36</w:t>
      </w:r>
      <w:r>
        <w:fldChar w:fldCharType="end"/>
      </w:r>
      <w:r>
        <w:fldChar w:fldCharType="end"/>
      </w:r>
    </w:p>
    <w:p>
      <w:pPr>
        <w:pStyle w:val="22"/>
        <w:tabs>
          <w:tab w:val="right" w:leader="dot" w:pos="8296"/>
        </w:tabs>
      </w:pPr>
      <w:r>
        <w:fldChar w:fldCharType="begin"/>
      </w:r>
      <w:r>
        <w:instrText xml:space="preserve"> HYPERLINK \l "_Toc218688923" </w:instrText>
      </w:r>
      <w:r>
        <w:fldChar w:fldCharType="separate"/>
      </w:r>
      <w:r>
        <w:rPr>
          <w:rFonts w:ascii="楷体" w:eastAsia="楷体"/>
          <w:shd w:val="clear" w:color="auto" w:fill="FFFFFF"/>
        </w:rPr>
        <w:t>3.2 乡村振兴帮扶</w:t>
      </w:r>
      <w:r>
        <w:tab/>
      </w:r>
      <w:r>
        <w:fldChar w:fldCharType="begin"/>
      </w:r>
      <w:r>
        <w:instrText xml:space="preserve"> PAGEREF _Toc218688923 \h </w:instrText>
      </w:r>
      <w:r>
        <w:fldChar w:fldCharType="separate"/>
      </w:r>
      <w:r>
        <w:t>38</w:t>
      </w:r>
      <w:r>
        <w:fldChar w:fldCharType="end"/>
      </w:r>
      <w:r>
        <w:fldChar w:fldCharType="end"/>
      </w:r>
    </w:p>
    <w:p>
      <w:pPr>
        <w:pStyle w:val="22"/>
        <w:tabs>
          <w:tab w:val="right" w:leader="dot" w:pos="8296"/>
        </w:tabs>
      </w:pPr>
      <w:r>
        <w:fldChar w:fldCharType="begin"/>
      </w:r>
      <w:r>
        <w:instrText xml:space="preserve"> HYPERLINK \l "_Toc218688924" </w:instrText>
      </w:r>
      <w:r>
        <w:fldChar w:fldCharType="separate"/>
      </w:r>
      <w:r>
        <w:rPr>
          <w:rFonts w:ascii="楷体" w:eastAsia="楷体"/>
          <w:shd w:val="clear" w:color="auto" w:fill="FFFFFF"/>
        </w:rPr>
        <w:t>3.3 社区服务支持</w:t>
      </w:r>
      <w:r>
        <w:tab/>
      </w:r>
      <w:r>
        <w:fldChar w:fldCharType="begin"/>
      </w:r>
      <w:r>
        <w:instrText xml:space="preserve"> PAGEREF _Toc218688924 \h </w:instrText>
      </w:r>
      <w:r>
        <w:fldChar w:fldCharType="separate"/>
      </w:r>
      <w:r>
        <w:t>40</w:t>
      </w:r>
      <w:r>
        <w:fldChar w:fldCharType="end"/>
      </w:r>
      <w:r>
        <w:fldChar w:fldCharType="end"/>
      </w:r>
    </w:p>
    <w:p>
      <w:pPr>
        <w:pStyle w:val="22"/>
        <w:tabs>
          <w:tab w:val="right" w:leader="dot" w:pos="8296"/>
        </w:tabs>
      </w:pPr>
      <w:r>
        <w:fldChar w:fldCharType="begin"/>
      </w:r>
      <w:r>
        <w:instrText xml:space="preserve"> HYPERLINK \l "_Toc218688925" </w:instrText>
      </w:r>
      <w:r>
        <w:fldChar w:fldCharType="separate"/>
      </w:r>
      <w:r>
        <w:rPr>
          <w:rFonts w:ascii="楷体" w:eastAsia="楷体"/>
          <w:shd w:val="clear" w:color="auto" w:fill="FFFFFF"/>
        </w:rPr>
        <w:t>3.4 校校合作帮扶</w:t>
      </w:r>
      <w:r>
        <w:tab/>
      </w:r>
      <w:r>
        <w:fldChar w:fldCharType="begin"/>
      </w:r>
      <w:r>
        <w:instrText xml:space="preserve"> PAGEREF _Toc218688925 \h </w:instrText>
      </w:r>
      <w:r>
        <w:fldChar w:fldCharType="separate"/>
      </w:r>
      <w:r>
        <w:t>42</w:t>
      </w:r>
      <w:r>
        <w:fldChar w:fldCharType="end"/>
      </w:r>
      <w:r>
        <w:fldChar w:fldCharType="end"/>
      </w:r>
    </w:p>
    <w:p>
      <w:pPr>
        <w:pStyle w:val="22"/>
        <w:tabs>
          <w:tab w:val="right" w:leader="dot" w:pos="8296"/>
        </w:tabs>
      </w:pPr>
      <w:r>
        <w:fldChar w:fldCharType="begin"/>
      </w:r>
      <w:r>
        <w:instrText xml:space="preserve"> HYPERLINK \l "_Toc218688926" </w:instrText>
      </w:r>
      <w:r>
        <w:fldChar w:fldCharType="separate"/>
      </w:r>
      <w:r>
        <w:rPr>
          <w:rFonts w:ascii="楷体" w:eastAsia="楷体"/>
          <w:shd w:val="clear" w:color="auto" w:fill="FFFFFF"/>
        </w:rPr>
        <w:t>3.5 中小企业服务</w:t>
      </w:r>
      <w:r>
        <w:tab/>
      </w:r>
      <w:r>
        <w:fldChar w:fldCharType="begin"/>
      </w:r>
      <w:r>
        <w:instrText xml:space="preserve"> PAGEREF _Toc218688926 \h </w:instrText>
      </w:r>
      <w:r>
        <w:fldChar w:fldCharType="separate"/>
      </w:r>
      <w:r>
        <w:t>45</w:t>
      </w:r>
      <w:r>
        <w:fldChar w:fldCharType="end"/>
      </w:r>
      <w:r>
        <w:fldChar w:fldCharType="end"/>
      </w:r>
    </w:p>
    <w:p>
      <w:pPr>
        <w:pStyle w:val="20"/>
        <w:tabs>
          <w:tab w:val="right" w:leader="dot" w:pos="8296"/>
        </w:tabs>
      </w:pPr>
      <w:r>
        <w:fldChar w:fldCharType="begin"/>
      </w:r>
      <w:r>
        <w:instrText xml:space="preserve"> HYPERLINK \l "_Toc218688927" </w:instrText>
      </w:r>
      <w:r>
        <w:fldChar w:fldCharType="separate"/>
      </w:r>
      <w:r>
        <w:rPr>
          <w:rFonts w:ascii="黑体" w:eastAsia="黑体"/>
          <w:shd w:val="clear" w:color="auto" w:fill="FFFFFF"/>
        </w:rPr>
        <w:t>4. 文化传承</w:t>
      </w:r>
      <w:r>
        <w:tab/>
      </w:r>
      <w:r>
        <w:fldChar w:fldCharType="begin"/>
      </w:r>
      <w:r>
        <w:instrText xml:space="preserve"> PAGEREF _Toc218688927 \h </w:instrText>
      </w:r>
      <w:r>
        <w:fldChar w:fldCharType="separate"/>
      </w:r>
      <w:r>
        <w:t>47</w:t>
      </w:r>
      <w:r>
        <w:fldChar w:fldCharType="end"/>
      </w:r>
      <w:r>
        <w:fldChar w:fldCharType="end"/>
      </w:r>
    </w:p>
    <w:p>
      <w:pPr>
        <w:pStyle w:val="22"/>
        <w:tabs>
          <w:tab w:val="right" w:leader="dot" w:pos="8296"/>
        </w:tabs>
      </w:pPr>
      <w:r>
        <w:fldChar w:fldCharType="begin"/>
      </w:r>
      <w:r>
        <w:instrText xml:space="preserve"> HYPERLINK \l "_Toc218688928" </w:instrText>
      </w:r>
      <w:r>
        <w:fldChar w:fldCharType="separate"/>
      </w:r>
      <w:r>
        <w:rPr>
          <w:rFonts w:ascii="楷体" w:eastAsia="楷体"/>
          <w:shd w:val="clear" w:color="auto" w:fill="FFFFFF"/>
        </w:rPr>
        <w:t>4.1传承工匠精神</w:t>
      </w:r>
      <w:r>
        <w:tab/>
      </w:r>
      <w:r>
        <w:fldChar w:fldCharType="begin"/>
      </w:r>
      <w:r>
        <w:instrText xml:space="preserve"> PAGEREF _Toc218688928 \h </w:instrText>
      </w:r>
      <w:r>
        <w:fldChar w:fldCharType="separate"/>
      </w:r>
      <w:r>
        <w:t>47</w:t>
      </w:r>
      <w:r>
        <w:fldChar w:fldCharType="end"/>
      </w:r>
      <w:r>
        <w:fldChar w:fldCharType="end"/>
      </w:r>
    </w:p>
    <w:p>
      <w:pPr>
        <w:pStyle w:val="22"/>
        <w:tabs>
          <w:tab w:val="right" w:leader="dot" w:pos="8296"/>
        </w:tabs>
      </w:pPr>
      <w:r>
        <w:fldChar w:fldCharType="begin"/>
      </w:r>
      <w:r>
        <w:instrText xml:space="preserve"> HYPERLINK \l "_Toc218688929" </w:instrText>
      </w:r>
      <w:r>
        <w:fldChar w:fldCharType="separate"/>
      </w:r>
      <w:r>
        <w:rPr>
          <w:rFonts w:ascii="楷体" w:eastAsia="楷体"/>
          <w:shd w:val="clear" w:color="auto" w:fill="FFFFFF"/>
        </w:rPr>
        <w:t>4.2 传承红色基因</w:t>
      </w:r>
      <w:r>
        <w:tab/>
      </w:r>
      <w:r>
        <w:fldChar w:fldCharType="begin"/>
      </w:r>
      <w:r>
        <w:instrText xml:space="preserve"> PAGEREF _Toc218688929 \h </w:instrText>
      </w:r>
      <w:r>
        <w:fldChar w:fldCharType="separate"/>
      </w:r>
      <w:r>
        <w:t>51</w:t>
      </w:r>
      <w:r>
        <w:fldChar w:fldCharType="end"/>
      </w:r>
      <w:r>
        <w:fldChar w:fldCharType="end"/>
      </w:r>
    </w:p>
    <w:p>
      <w:pPr>
        <w:pStyle w:val="22"/>
        <w:tabs>
          <w:tab w:val="right" w:leader="dot" w:pos="8296"/>
        </w:tabs>
      </w:pPr>
      <w:r>
        <w:fldChar w:fldCharType="begin"/>
      </w:r>
      <w:r>
        <w:instrText xml:space="preserve"> HYPERLINK \l "_Toc218688930" </w:instrText>
      </w:r>
      <w:r>
        <w:fldChar w:fldCharType="separate"/>
      </w:r>
      <w:r>
        <w:rPr>
          <w:rFonts w:ascii="楷体" w:eastAsia="楷体"/>
          <w:shd w:val="clear" w:color="auto" w:fill="FFFFFF"/>
        </w:rPr>
        <w:t>4.3传承中华优秀传统文化</w:t>
      </w:r>
      <w:r>
        <w:tab/>
      </w:r>
      <w:r>
        <w:fldChar w:fldCharType="begin"/>
      </w:r>
      <w:r>
        <w:instrText xml:space="preserve"> PAGEREF _Toc218688930 \h </w:instrText>
      </w:r>
      <w:r>
        <w:fldChar w:fldCharType="separate"/>
      </w:r>
      <w:r>
        <w:t>53</w:t>
      </w:r>
      <w:r>
        <w:fldChar w:fldCharType="end"/>
      </w:r>
      <w:r>
        <w:fldChar w:fldCharType="end"/>
      </w:r>
    </w:p>
    <w:p>
      <w:pPr>
        <w:pStyle w:val="22"/>
        <w:tabs>
          <w:tab w:val="right" w:leader="dot" w:pos="8296"/>
        </w:tabs>
      </w:pPr>
      <w:r>
        <w:fldChar w:fldCharType="begin"/>
      </w:r>
      <w:r>
        <w:instrText xml:space="preserve"> HYPERLINK \l "_Toc218688931" </w:instrText>
      </w:r>
      <w:r>
        <w:fldChar w:fldCharType="separate"/>
      </w:r>
      <w:r>
        <w:rPr>
          <w:rFonts w:ascii="楷体" w:eastAsia="楷体"/>
          <w:shd w:val="clear" w:color="auto" w:fill="FFFFFF"/>
        </w:rPr>
        <w:t>4.4 校园文化活动</w:t>
      </w:r>
      <w:r>
        <w:tab/>
      </w:r>
      <w:r>
        <w:fldChar w:fldCharType="begin"/>
      </w:r>
      <w:r>
        <w:instrText xml:space="preserve"> PAGEREF _Toc218688931 \h </w:instrText>
      </w:r>
      <w:r>
        <w:fldChar w:fldCharType="separate"/>
      </w:r>
      <w:r>
        <w:t>57</w:t>
      </w:r>
      <w:r>
        <w:fldChar w:fldCharType="end"/>
      </w:r>
      <w:r>
        <w:fldChar w:fldCharType="end"/>
      </w:r>
    </w:p>
    <w:p>
      <w:pPr>
        <w:pStyle w:val="20"/>
        <w:tabs>
          <w:tab w:val="right" w:leader="dot" w:pos="8296"/>
        </w:tabs>
      </w:pPr>
      <w:r>
        <w:fldChar w:fldCharType="begin"/>
      </w:r>
      <w:r>
        <w:instrText xml:space="preserve"> HYPERLINK \l "_Toc218688932" </w:instrText>
      </w:r>
      <w:r>
        <w:fldChar w:fldCharType="separate"/>
      </w:r>
      <w:r>
        <w:rPr>
          <w:rFonts w:ascii="黑体" w:eastAsia="黑体"/>
          <w:shd w:val="clear" w:color="auto" w:fill="FFFFFF"/>
        </w:rPr>
        <w:t>5. 国际合作</w:t>
      </w:r>
      <w:r>
        <w:tab/>
      </w:r>
      <w:r>
        <w:fldChar w:fldCharType="begin"/>
      </w:r>
      <w:r>
        <w:instrText xml:space="preserve"> PAGEREF _Toc218688932 \h </w:instrText>
      </w:r>
      <w:r>
        <w:fldChar w:fldCharType="separate"/>
      </w:r>
      <w:r>
        <w:t>61</w:t>
      </w:r>
      <w:r>
        <w:fldChar w:fldCharType="end"/>
      </w:r>
      <w:r>
        <w:fldChar w:fldCharType="end"/>
      </w:r>
    </w:p>
    <w:p>
      <w:pPr>
        <w:pStyle w:val="22"/>
        <w:tabs>
          <w:tab w:val="right" w:leader="dot" w:pos="8296"/>
        </w:tabs>
      </w:pPr>
      <w:r>
        <w:fldChar w:fldCharType="begin"/>
      </w:r>
      <w:r>
        <w:instrText xml:space="preserve"> HYPERLINK \l "_Toc218688933" </w:instrText>
      </w:r>
      <w:r>
        <w:fldChar w:fldCharType="separate"/>
      </w:r>
      <w:r>
        <w:rPr>
          <w:rFonts w:ascii="楷体" w:eastAsia="楷体"/>
          <w:shd w:val="clear" w:color="auto" w:fill="FFFFFF"/>
        </w:rPr>
        <w:t>5.1 构建国际合作网络与推进资源融合</w:t>
      </w:r>
      <w:r>
        <w:tab/>
      </w:r>
      <w:r>
        <w:fldChar w:fldCharType="begin"/>
      </w:r>
      <w:r>
        <w:instrText xml:space="preserve"> PAGEREF _Toc218688933 \h </w:instrText>
      </w:r>
      <w:r>
        <w:fldChar w:fldCharType="separate"/>
      </w:r>
      <w:r>
        <w:t>62</w:t>
      </w:r>
      <w:r>
        <w:fldChar w:fldCharType="end"/>
      </w:r>
      <w:r>
        <w:fldChar w:fldCharType="end"/>
      </w:r>
    </w:p>
    <w:p>
      <w:pPr>
        <w:pStyle w:val="22"/>
        <w:tabs>
          <w:tab w:val="right" w:leader="dot" w:pos="8296"/>
        </w:tabs>
      </w:pPr>
      <w:r>
        <w:fldChar w:fldCharType="begin"/>
      </w:r>
      <w:r>
        <w:instrText xml:space="preserve"> HYPERLINK \l "_Toc218688934" </w:instrText>
      </w:r>
      <w:r>
        <w:fldChar w:fldCharType="separate"/>
      </w:r>
      <w:r>
        <w:rPr>
          <w:rFonts w:ascii="楷体_GB2312" w:eastAsia="楷体_GB2312" w:cs="楷体_GB2312"/>
          <w:shd w:val="clear" w:color="auto" w:fill="FFFFFF"/>
        </w:rPr>
        <w:t>5.2 推动国际标准开发与对接</w:t>
      </w:r>
      <w:r>
        <w:tab/>
      </w:r>
      <w:r>
        <w:fldChar w:fldCharType="begin"/>
      </w:r>
      <w:r>
        <w:instrText xml:space="preserve"> PAGEREF _Toc218688934 \h </w:instrText>
      </w:r>
      <w:r>
        <w:fldChar w:fldCharType="separate"/>
      </w:r>
      <w:r>
        <w:t>65</w:t>
      </w:r>
      <w:r>
        <w:fldChar w:fldCharType="end"/>
      </w:r>
      <w:r>
        <w:fldChar w:fldCharType="end"/>
      </w:r>
    </w:p>
    <w:p>
      <w:pPr>
        <w:pStyle w:val="22"/>
        <w:tabs>
          <w:tab w:val="right" w:leader="dot" w:pos="8296"/>
        </w:tabs>
      </w:pPr>
      <w:r>
        <w:fldChar w:fldCharType="begin"/>
      </w:r>
      <w:r>
        <w:instrText xml:space="preserve"> HYPERLINK \l "_Toc218688935" </w:instrText>
      </w:r>
      <w:r>
        <w:fldChar w:fldCharType="separate"/>
      </w:r>
      <w:r>
        <w:rPr>
          <w:rFonts w:ascii="楷体_GB2312" w:eastAsia="楷体_GB2312" w:cs="楷体_GB2312"/>
          <w:shd w:val="clear" w:color="auto" w:fill="FFFFFF"/>
        </w:rPr>
        <w:t>5.3 精准服务“一带一路”倡议</w:t>
      </w:r>
      <w:r>
        <w:tab/>
      </w:r>
      <w:r>
        <w:fldChar w:fldCharType="begin"/>
      </w:r>
      <w:r>
        <w:instrText xml:space="preserve"> PAGEREF _Toc218688935 \h </w:instrText>
      </w:r>
      <w:r>
        <w:fldChar w:fldCharType="separate"/>
      </w:r>
      <w:r>
        <w:t>67</w:t>
      </w:r>
      <w:r>
        <w:fldChar w:fldCharType="end"/>
      </w:r>
      <w:r>
        <w:fldChar w:fldCharType="end"/>
      </w:r>
    </w:p>
    <w:p>
      <w:pPr>
        <w:pStyle w:val="22"/>
        <w:tabs>
          <w:tab w:val="right" w:leader="dot" w:pos="8296"/>
        </w:tabs>
      </w:pPr>
      <w:r>
        <w:fldChar w:fldCharType="begin"/>
      </w:r>
      <w:r>
        <w:instrText xml:space="preserve"> HYPERLINK \l "_Toc218688936" </w:instrText>
      </w:r>
      <w:r>
        <w:fldChar w:fldCharType="separate"/>
      </w:r>
      <w:r>
        <w:rPr>
          <w:rFonts w:ascii="楷体_GB2312" w:eastAsia="楷体_GB2312" w:cs="楷体_GB2312"/>
          <w:shd w:val="clear" w:color="auto" w:fill="FFFFFF"/>
        </w:rPr>
        <w:t>5.4 显著提升师生国际竞争力</w:t>
      </w:r>
      <w:r>
        <w:tab/>
      </w:r>
      <w:r>
        <w:fldChar w:fldCharType="begin"/>
      </w:r>
      <w:r>
        <w:instrText xml:space="preserve"> PAGEREF _Toc218688936 \h </w:instrText>
      </w:r>
      <w:r>
        <w:fldChar w:fldCharType="separate"/>
      </w:r>
      <w:r>
        <w:t>69</w:t>
      </w:r>
      <w:r>
        <w:fldChar w:fldCharType="end"/>
      </w:r>
      <w:r>
        <w:fldChar w:fldCharType="end"/>
      </w:r>
    </w:p>
    <w:p>
      <w:pPr>
        <w:pStyle w:val="20"/>
        <w:tabs>
          <w:tab w:val="right" w:leader="dot" w:pos="8296"/>
        </w:tabs>
      </w:pPr>
      <w:r>
        <w:fldChar w:fldCharType="begin"/>
      </w:r>
      <w:r>
        <w:instrText xml:space="preserve"> HYPERLINK \l "_Toc218688937" </w:instrText>
      </w:r>
      <w:r>
        <w:fldChar w:fldCharType="separate"/>
      </w:r>
      <w:r>
        <w:rPr>
          <w:rFonts w:ascii="黑体" w:eastAsia="黑体"/>
          <w:shd w:val="clear" w:color="auto" w:fill="FFFFFF"/>
        </w:rPr>
        <w:t>6. 产教融合</w:t>
      </w:r>
      <w:r>
        <w:tab/>
      </w:r>
      <w:r>
        <w:fldChar w:fldCharType="begin"/>
      </w:r>
      <w:r>
        <w:instrText xml:space="preserve"> PAGEREF _Toc218688937 \h </w:instrText>
      </w:r>
      <w:r>
        <w:fldChar w:fldCharType="separate"/>
      </w:r>
      <w:r>
        <w:t>73</w:t>
      </w:r>
      <w:r>
        <w:fldChar w:fldCharType="end"/>
      </w:r>
      <w:r>
        <w:fldChar w:fldCharType="end"/>
      </w:r>
    </w:p>
    <w:p>
      <w:pPr>
        <w:pStyle w:val="22"/>
        <w:tabs>
          <w:tab w:val="right" w:leader="dot" w:pos="8296"/>
        </w:tabs>
      </w:pPr>
      <w:r>
        <w:fldChar w:fldCharType="begin"/>
      </w:r>
      <w:r>
        <w:instrText xml:space="preserve"> HYPERLINK \l "_Toc218688938" </w:instrText>
      </w:r>
      <w:r>
        <w:fldChar w:fldCharType="separate"/>
      </w:r>
      <w:r>
        <w:rPr>
          <w:rFonts w:ascii="楷体_GB2312" w:eastAsia="楷体_GB2312" w:cs="楷体_GB2312"/>
          <w:shd w:val="clear" w:color="auto" w:fill="FFFFFF"/>
        </w:rPr>
        <w:t>6.1 机制共筑：系统构建长效化制度保障体系</w:t>
      </w:r>
      <w:r>
        <w:tab/>
      </w:r>
      <w:r>
        <w:fldChar w:fldCharType="begin"/>
      </w:r>
      <w:r>
        <w:instrText xml:space="preserve"> PAGEREF _Toc218688938 \h </w:instrText>
      </w:r>
      <w:r>
        <w:fldChar w:fldCharType="separate"/>
      </w:r>
      <w:r>
        <w:t>73</w:t>
      </w:r>
      <w:r>
        <w:fldChar w:fldCharType="end"/>
      </w:r>
      <w:r>
        <w:fldChar w:fldCharType="end"/>
      </w:r>
    </w:p>
    <w:p>
      <w:pPr>
        <w:pStyle w:val="22"/>
        <w:tabs>
          <w:tab w:val="right" w:leader="dot" w:pos="8296"/>
        </w:tabs>
      </w:pPr>
      <w:r>
        <w:fldChar w:fldCharType="begin"/>
      </w:r>
      <w:r>
        <w:instrText xml:space="preserve"> HYPERLINK \l "_Toc218688939" </w:instrText>
      </w:r>
      <w:r>
        <w:fldChar w:fldCharType="separate"/>
      </w:r>
      <w:r>
        <w:rPr>
          <w:rFonts w:ascii="楷体_GB2312" w:eastAsia="楷体_GB2312" w:cs="楷体_GB2312"/>
          <w:shd w:val="clear" w:color="auto" w:fill="FFFFFF"/>
        </w:rPr>
        <w:t>6.2 资源共建：深度推进优势要素互补与共享</w:t>
      </w:r>
      <w:r>
        <w:tab/>
      </w:r>
      <w:r>
        <w:fldChar w:fldCharType="begin"/>
      </w:r>
      <w:r>
        <w:instrText xml:space="preserve"> PAGEREF _Toc218688939 \h </w:instrText>
      </w:r>
      <w:r>
        <w:fldChar w:fldCharType="separate"/>
      </w:r>
      <w:r>
        <w:t>76</w:t>
      </w:r>
      <w:r>
        <w:fldChar w:fldCharType="end"/>
      </w:r>
      <w:r>
        <w:fldChar w:fldCharType="end"/>
      </w:r>
    </w:p>
    <w:p>
      <w:pPr>
        <w:pStyle w:val="22"/>
        <w:tabs>
          <w:tab w:val="right" w:leader="dot" w:pos="8296"/>
        </w:tabs>
      </w:pPr>
      <w:r>
        <w:fldChar w:fldCharType="begin"/>
      </w:r>
      <w:r>
        <w:instrText xml:space="preserve"> HYPERLINK \l "_Toc218688940" </w:instrText>
      </w:r>
      <w:r>
        <w:fldChar w:fldCharType="separate"/>
      </w:r>
      <w:r>
        <w:rPr>
          <w:rFonts w:ascii="楷体_GB2312" w:eastAsia="楷体_GB2312" w:cs="楷体_GB2312"/>
          <w:shd w:val="clear" w:color="auto" w:fill="FFFFFF"/>
        </w:rPr>
        <w:t>6.3 双师共培：着力打造理实融通的复合型师资队伍</w:t>
      </w:r>
      <w:r>
        <w:tab/>
      </w:r>
      <w:r>
        <w:fldChar w:fldCharType="begin"/>
      </w:r>
      <w:r>
        <w:instrText xml:space="preserve"> PAGEREF _Toc218688940 \h </w:instrText>
      </w:r>
      <w:r>
        <w:fldChar w:fldCharType="separate"/>
      </w:r>
      <w:r>
        <w:t>78</w:t>
      </w:r>
      <w:r>
        <w:fldChar w:fldCharType="end"/>
      </w:r>
      <w:r>
        <w:fldChar w:fldCharType="end"/>
      </w:r>
    </w:p>
    <w:p>
      <w:pPr>
        <w:pStyle w:val="22"/>
        <w:tabs>
          <w:tab w:val="right" w:leader="dot" w:pos="8296"/>
        </w:tabs>
      </w:pPr>
      <w:r>
        <w:fldChar w:fldCharType="begin"/>
      </w:r>
      <w:r>
        <w:instrText xml:space="preserve"> HYPERLINK \l "_Toc218688941" </w:instrText>
      </w:r>
      <w:r>
        <w:fldChar w:fldCharType="separate"/>
      </w:r>
      <w:r>
        <w:rPr>
          <w:rFonts w:ascii="楷体" w:eastAsia="楷体"/>
          <w:shd w:val="clear" w:color="auto" w:fill="FFFFFF"/>
        </w:rPr>
        <w:t>6.4 集团化办学：积极探索资源共享与集约发展的有效路径</w:t>
      </w:r>
      <w:r>
        <w:tab/>
      </w:r>
      <w:r>
        <w:fldChar w:fldCharType="begin"/>
      </w:r>
      <w:r>
        <w:instrText xml:space="preserve"> PAGEREF _Toc218688941 \h </w:instrText>
      </w:r>
      <w:r>
        <w:fldChar w:fldCharType="separate"/>
      </w:r>
      <w:r>
        <w:t>80</w:t>
      </w:r>
      <w:r>
        <w:fldChar w:fldCharType="end"/>
      </w:r>
      <w:r>
        <w:fldChar w:fldCharType="end"/>
      </w:r>
    </w:p>
    <w:p>
      <w:pPr>
        <w:pStyle w:val="22"/>
        <w:tabs>
          <w:tab w:val="right" w:leader="dot" w:pos="8296"/>
        </w:tabs>
      </w:pPr>
      <w:r>
        <w:fldChar w:fldCharType="begin"/>
      </w:r>
      <w:r>
        <w:instrText xml:space="preserve"> HYPERLINK \l "_Toc218688942" </w:instrText>
      </w:r>
      <w:r>
        <w:fldChar w:fldCharType="separate"/>
      </w:r>
      <w:r>
        <w:rPr>
          <w:rFonts w:ascii="楷体" w:eastAsia="楷体"/>
          <w:shd w:val="clear" w:color="auto" w:fill="FFFFFF"/>
        </w:rPr>
        <w:t>6.5 校企订单培养：精准对接市场需求实现定向输送</w:t>
      </w:r>
      <w:r>
        <w:tab/>
      </w:r>
      <w:r>
        <w:fldChar w:fldCharType="begin"/>
      </w:r>
      <w:r>
        <w:instrText xml:space="preserve"> PAGEREF _Toc218688942 \h </w:instrText>
      </w:r>
      <w:r>
        <w:fldChar w:fldCharType="separate"/>
      </w:r>
      <w:r>
        <w:t>83</w:t>
      </w:r>
      <w:r>
        <w:fldChar w:fldCharType="end"/>
      </w:r>
      <w:r>
        <w:fldChar w:fldCharType="end"/>
      </w:r>
    </w:p>
    <w:p>
      <w:pPr>
        <w:pStyle w:val="22"/>
        <w:tabs>
          <w:tab w:val="right" w:leader="dot" w:pos="8296"/>
        </w:tabs>
      </w:pPr>
      <w:r>
        <w:fldChar w:fldCharType="begin"/>
      </w:r>
      <w:r>
        <w:instrText xml:space="preserve"> HYPERLINK \l "_Toc218688943" </w:instrText>
      </w:r>
      <w:r>
        <w:fldChar w:fldCharType="separate"/>
      </w:r>
      <w:r>
        <w:rPr>
          <w:rFonts w:ascii="楷体" w:eastAsia="楷体"/>
          <w:shd w:val="clear" w:color="auto" w:fill="FFFFFF"/>
        </w:rPr>
        <w:t>6.6 校企协同育人：全面深化教育教学过程融合</w:t>
      </w:r>
      <w:r>
        <w:tab/>
      </w:r>
      <w:r>
        <w:fldChar w:fldCharType="begin"/>
      </w:r>
      <w:r>
        <w:instrText xml:space="preserve"> PAGEREF _Toc218688943 \h </w:instrText>
      </w:r>
      <w:r>
        <w:fldChar w:fldCharType="separate"/>
      </w:r>
      <w:r>
        <w:t>85</w:t>
      </w:r>
      <w:r>
        <w:fldChar w:fldCharType="end"/>
      </w:r>
      <w:r>
        <w:fldChar w:fldCharType="end"/>
      </w:r>
    </w:p>
    <w:p>
      <w:pPr>
        <w:pStyle w:val="22"/>
        <w:tabs>
          <w:tab w:val="right" w:leader="dot" w:pos="8296"/>
        </w:tabs>
      </w:pPr>
      <w:r>
        <w:fldChar w:fldCharType="begin"/>
      </w:r>
      <w:r>
        <w:instrText xml:space="preserve"> HYPERLINK \l "_Toc218688944" </w:instrText>
      </w:r>
      <w:r>
        <w:fldChar w:fldCharType="separate"/>
      </w:r>
      <w:r>
        <w:rPr>
          <w:rFonts w:ascii="楷体" w:eastAsia="楷体"/>
          <w:shd w:val="clear" w:color="auto" w:fill="FFFFFF"/>
        </w:rPr>
        <w:t>6.7 生产性实训基地建设：聚力打造“教学做创”一体化平台</w:t>
      </w:r>
      <w:r>
        <w:tab/>
      </w:r>
      <w:r>
        <w:fldChar w:fldCharType="begin"/>
      </w:r>
      <w:r>
        <w:instrText xml:space="preserve"> PAGEREF _Toc218688944 \h </w:instrText>
      </w:r>
      <w:r>
        <w:fldChar w:fldCharType="separate"/>
      </w:r>
      <w:r>
        <w:t>88</w:t>
      </w:r>
      <w:r>
        <w:fldChar w:fldCharType="end"/>
      </w:r>
      <w:r>
        <w:fldChar w:fldCharType="end"/>
      </w:r>
    </w:p>
    <w:p>
      <w:pPr>
        <w:pStyle w:val="20"/>
        <w:tabs>
          <w:tab w:val="right" w:leader="dot" w:pos="8296"/>
        </w:tabs>
      </w:pPr>
      <w:r>
        <w:fldChar w:fldCharType="begin"/>
      </w:r>
      <w:r>
        <w:instrText xml:space="preserve"> HYPERLINK \l "_Toc218688945" </w:instrText>
      </w:r>
      <w:r>
        <w:fldChar w:fldCharType="separate"/>
      </w:r>
      <w:r>
        <w:rPr>
          <w:rFonts w:ascii="黑体" w:eastAsia="黑体"/>
          <w:shd w:val="clear" w:color="auto" w:fill="FFFFFF"/>
        </w:rPr>
        <w:t>7. 发展保障</w:t>
      </w:r>
      <w:r>
        <w:tab/>
      </w:r>
      <w:r>
        <w:fldChar w:fldCharType="begin"/>
      </w:r>
      <w:r>
        <w:instrText xml:space="preserve"> PAGEREF _Toc218688945 \h </w:instrText>
      </w:r>
      <w:r>
        <w:fldChar w:fldCharType="separate"/>
      </w:r>
      <w:r>
        <w:t>90</w:t>
      </w:r>
      <w:r>
        <w:fldChar w:fldCharType="end"/>
      </w:r>
      <w:r>
        <w:fldChar w:fldCharType="end"/>
      </w:r>
    </w:p>
    <w:p>
      <w:pPr>
        <w:pStyle w:val="22"/>
        <w:tabs>
          <w:tab w:val="right" w:leader="dot" w:pos="8296"/>
        </w:tabs>
      </w:pPr>
      <w:r>
        <w:fldChar w:fldCharType="begin"/>
      </w:r>
      <w:r>
        <w:instrText xml:space="preserve"> HYPERLINK \l "_Toc218688946" </w:instrText>
      </w:r>
      <w:r>
        <w:fldChar w:fldCharType="separate"/>
      </w:r>
      <w:r>
        <w:rPr>
          <w:rFonts w:ascii="楷体" w:eastAsia="楷体"/>
          <w:shd w:val="clear" w:color="auto" w:fill="FFFFFF"/>
        </w:rPr>
        <w:t>7.1政策落实</w:t>
      </w:r>
      <w:r>
        <w:tab/>
      </w:r>
      <w:r>
        <w:fldChar w:fldCharType="begin"/>
      </w:r>
      <w:r>
        <w:instrText xml:space="preserve"> PAGEREF _Toc218688946 \h </w:instrText>
      </w:r>
      <w:r>
        <w:fldChar w:fldCharType="separate"/>
      </w:r>
      <w:r>
        <w:t>90</w:t>
      </w:r>
      <w:r>
        <w:fldChar w:fldCharType="end"/>
      </w:r>
      <w:r>
        <w:fldChar w:fldCharType="end"/>
      </w:r>
    </w:p>
    <w:p>
      <w:pPr>
        <w:pStyle w:val="22"/>
        <w:tabs>
          <w:tab w:val="right" w:leader="dot" w:pos="8296"/>
        </w:tabs>
      </w:pPr>
      <w:r>
        <w:fldChar w:fldCharType="begin"/>
      </w:r>
      <w:r>
        <w:instrText xml:space="preserve"> HYPERLINK \l "_Toc218688947" </w:instrText>
      </w:r>
      <w:r>
        <w:fldChar w:fldCharType="separate"/>
      </w:r>
      <w:r>
        <w:rPr>
          <w:rFonts w:ascii="楷体" w:eastAsia="楷体"/>
          <w:shd w:val="clear" w:color="auto" w:fill="FFFFFF"/>
        </w:rPr>
        <w:t>7.2经费保障</w:t>
      </w:r>
      <w:r>
        <w:tab/>
      </w:r>
      <w:r>
        <w:fldChar w:fldCharType="begin"/>
      </w:r>
      <w:r>
        <w:instrText xml:space="preserve"> PAGEREF _Toc218688947 \h </w:instrText>
      </w:r>
      <w:r>
        <w:fldChar w:fldCharType="separate"/>
      </w:r>
      <w:r>
        <w:t>92</w:t>
      </w:r>
      <w:r>
        <w:fldChar w:fldCharType="end"/>
      </w:r>
      <w:r>
        <w:fldChar w:fldCharType="end"/>
      </w:r>
    </w:p>
    <w:p>
      <w:pPr>
        <w:pStyle w:val="22"/>
        <w:tabs>
          <w:tab w:val="right" w:leader="dot" w:pos="8296"/>
        </w:tabs>
      </w:pPr>
      <w:r>
        <w:fldChar w:fldCharType="begin"/>
      </w:r>
      <w:r>
        <w:instrText xml:space="preserve"> HYPERLINK \l "_Toc218688948" </w:instrText>
      </w:r>
      <w:r>
        <w:fldChar w:fldCharType="separate"/>
      </w:r>
      <w:r>
        <w:rPr>
          <w:rFonts w:ascii="楷体" w:eastAsia="楷体"/>
          <w:shd w:val="clear" w:color="auto" w:fill="FFFFFF"/>
        </w:rPr>
        <w:t>7.3师资保障</w:t>
      </w:r>
      <w:r>
        <w:tab/>
      </w:r>
      <w:r>
        <w:fldChar w:fldCharType="begin"/>
      </w:r>
      <w:r>
        <w:instrText xml:space="preserve"> PAGEREF _Toc218688948 \h </w:instrText>
      </w:r>
      <w:r>
        <w:fldChar w:fldCharType="separate"/>
      </w:r>
      <w:r>
        <w:t>93</w:t>
      </w:r>
      <w:r>
        <w:fldChar w:fldCharType="end"/>
      </w:r>
      <w:r>
        <w:fldChar w:fldCharType="end"/>
      </w:r>
    </w:p>
    <w:p>
      <w:pPr>
        <w:pStyle w:val="22"/>
        <w:tabs>
          <w:tab w:val="right" w:leader="dot" w:pos="8296"/>
        </w:tabs>
      </w:pPr>
      <w:r>
        <w:fldChar w:fldCharType="begin"/>
      </w:r>
      <w:r>
        <w:instrText xml:space="preserve"> HYPERLINK \l "_Toc218688949" </w:instrText>
      </w:r>
      <w:r>
        <w:fldChar w:fldCharType="separate"/>
      </w:r>
      <w:r>
        <w:rPr>
          <w:rFonts w:ascii="楷体" w:eastAsia="楷体"/>
          <w:shd w:val="clear" w:color="auto" w:fill="FFFFFF"/>
        </w:rPr>
        <w:t>7.4教学条件改善</w:t>
      </w:r>
      <w:r>
        <w:tab/>
      </w:r>
      <w:r>
        <w:fldChar w:fldCharType="begin"/>
      </w:r>
      <w:r>
        <w:instrText xml:space="preserve"> PAGEREF _Toc218688949 \h </w:instrText>
      </w:r>
      <w:r>
        <w:fldChar w:fldCharType="separate"/>
      </w:r>
      <w:r>
        <w:t>95</w:t>
      </w:r>
      <w:r>
        <w:fldChar w:fldCharType="end"/>
      </w:r>
      <w:r>
        <w:fldChar w:fldCharType="end"/>
      </w:r>
    </w:p>
    <w:p>
      <w:pPr>
        <w:pStyle w:val="22"/>
        <w:tabs>
          <w:tab w:val="right" w:leader="dot" w:pos="8296"/>
        </w:tabs>
      </w:pPr>
      <w:r>
        <w:fldChar w:fldCharType="begin"/>
      </w:r>
      <w:r>
        <w:instrText xml:space="preserve"> HYPERLINK \l "_Toc218688950" </w:instrText>
      </w:r>
      <w:r>
        <w:fldChar w:fldCharType="separate"/>
      </w:r>
      <w:r>
        <w:rPr>
          <w:rFonts w:ascii="楷体" w:eastAsia="楷体"/>
          <w:shd w:val="clear" w:color="auto" w:fill="FFFFFF"/>
        </w:rPr>
        <w:t>7.5质量监控</w:t>
      </w:r>
      <w:r>
        <w:tab/>
      </w:r>
      <w:r>
        <w:fldChar w:fldCharType="begin"/>
      </w:r>
      <w:r>
        <w:instrText xml:space="preserve"> PAGEREF _Toc218688950 \h </w:instrText>
      </w:r>
      <w:r>
        <w:fldChar w:fldCharType="separate"/>
      </w:r>
      <w:r>
        <w:t>97</w:t>
      </w:r>
      <w:r>
        <w:fldChar w:fldCharType="end"/>
      </w:r>
      <w:r>
        <w:fldChar w:fldCharType="end"/>
      </w:r>
    </w:p>
    <w:p>
      <w:pPr>
        <w:pStyle w:val="22"/>
        <w:tabs>
          <w:tab w:val="right" w:leader="dot" w:pos="8296"/>
        </w:tabs>
      </w:pPr>
      <w:r>
        <w:fldChar w:fldCharType="begin"/>
      </w:r>
      <w:r>
        <w:instrText xml:space="preserve"> HYPERLINK \l "_Toc218688951" </w:instrText>
      </w:r>
      <w:r>
        <w:fldChar w:fldCharType="separate"/>
      </w:r>
      <w:r>
        <w:rPr>
          <w:rFonts w:ascii="楷体" w:eastAsia="楷体"/>
          <w:shd w:val="clear" w:color="auto" w:fill="FFFFFF"/>
        </w:rPr>
        <w:t>7.6安全管理</w:t>
      </w:r>
      <w:r>
        <w:tab/>
      </w:r>
      <w:r>
        <w:fldChar w:fldCharType="begin"/>
      </w:r>
      <w:r>
        <w:instrText xml:space="preserve"> PAGEREF _Toc218688951 \h </w:instrText>
      </w:r>
      <w:r>
        <w:fldChar w:fldCharType="separate"/>
      </w:r>
      <w:r>
        <w:t>99</w:t>
      </w:r>
      <w:r>
        <w:fldChar w:fldCharType="end"/>
      </w:r>
      <w:r>
        <w:fldChar w:fldCharType="end"/>
      </w:r>
    </w:p>
    <w:p>
      <w:pPr>
        <w:pStyle w:val="20"/>
        <w:tabs>
          <w:tab w:val="right" w:leader="dot" w:pos="8296"/>
        </w:tabs>
      </w:pPr>
      <w:r>
        <w:fldChar w:fldCharType="begin"/>
      </w:r>
      <w:r>
        <w:instrText xml:space="preserve"> HYPERLINK \l "_Toc218688952" </w:instrText>
      </w:r>
      <w:r>
        <w:fldChar w:fldCharType="separate"/>
      </w:r>
      <w:r>
        <w:rPr>
          <w:rFonts w:ascii="黑体" w:eastAsia="黑体"/>
          <w:shd w:val="clear" w:color="auto" w:fill="FFFFFF"/>
        </w:rPr>
        <w:t>8. 面临挑战</w:t>
      </w:r>
      <w:r>
        <w:tab/>
      </w:r>
      <w:r>
        <w:fldChar w:fldCharType="begin"/>
      </w:r>
      <w:r>
        <w:instrText xml:space="preserve"> PAGEREF _Toc218688952 \h </w:instrText>
      </w:r>
      <w:r>
        <w:fldChar w:fldCharType="separate"/>
      </w:r>
      <w:r>
        <w:t>104</w:t>
      </w:r>
      <w:r>
        <w:fldChar w:fldCharType="end"/>
      </w:r>
      <w:r>
        <w:fldChar w:fldCharType="end"/>
      </w:r>
    </w:p>
    <w:p>
      <w:pPr>
        <w:pStyle w:val="20"/>
        <w:tabs>
          <w:tab w:val="right" w:leader="dot" w:pos="8296"/>
        </w:tabs>
      </w:pPr>
      <w:r>
        <w:fldChar w:fldCharType="begin"/>
      </w:r>
      <w:r>
        <w:instrText xml:space="preserve"> HYPERLINK \l "_Toc218688953" </w:instrText>
      </w:r>
      <w:r>
        <w:fldChar w:fldCharType="separate"/>
      </w:r>
      <w:r>
        <w:rPr>
          <w:rFonts w:ascii="黑体" w:eastAsia="黑体"/>
          <w:shd w:val="clear" w:color="auto" w:fill="FFFFFF"/>
        </w:rPr>
        <w:t>9. 附录</w:t>
      </w:r>
      <w:r>
        <w:tab/>
      </w:r>
      <w:r>
        <w:fldChar w:fldCharType="begin"/>
      </w:r>
      <w:r>
        <w:instrText xml:space="preserve"> PAGEREF _Toc218688953 \h </w:instrText>
      </w:r>
      <w:r>
        <w:fldChar w:fldCharType="separate"/>
      </w:r>
      <w:r>
        <w:t>107</w:t>
      </w:r>
      <w:r>
        <w:fldChar w:fldCharType="end"/>
      </w:r>
      <w:r>
        <w:fldChar w:fldCharType="end"/>
      </w:r>
    </w:p>
    <w:p>
      <w:pPr>
        <w:pStyle w:val="22"/>
        <w:tabs>
          <w:tab w:val="right" w:leader="dot" w:pos="8296"/>
        </w:tabs>
      </w:pPr>
      <w:r>
        <w:fldChar w:fldCharType="begin"/>
      </w:r>
      <w:r>
        <w:instrText xml:space="preserve"> HYPERLINK \l "_Toc218688954" </w:instrText>
      </w:r>
      <w:r>
        <w:fldChar w:fldCharType="separate"/>
      </w:r>
      <w:r>
        <w:rPr>
          <w:rFonts w:ascii="楷体" w:eastAsia="楷体"/>
          <w:shd w:val="clear" w:color="auto" w:fill="FFFFFF"/>
        </w:rPr>
        <w:t>9.1人才培养质量计分表</w:t>
      </w:r>
      <w:r>
        <w:tab/>
      </w:r>
      <w:r>
        <w:fldChar w:fldCharType="begin"/>
      </w:r>
      <w:r>
        <w:instrText xml:space="preserve"> PAGEREF _Toc218688954 \h </w:instrText>
      </w:r>
      <w:r>
        <w:fldChar w:fldCharType="separate"/>
      </w:r>
      <w:r>
        <w:t>107</w:t>
      </w:r>
      <w:r>
        <w:fldChar w:fldCharType="end"/>
      </w:r>
      <w:r>
        <w:fldChar w:fldCharType="end"/>
      </w:r>
    </w:p>
    <w:p>
      <w:pPr>
        <w:pStyle w:val="22"/>
        <w:tabs>
          <w:tab w:val="right" w:leader="dot" w:pos="8296"/>
        </w:tabs>
      </w:pPr>
      <w:r>
        <w:fldChar w:fldCharType="begin"/>
      </w:r>
      <w:r>
        <w:instrText xml:space="preserve"> HYPERLINK \l "_Toc218688955" </w:instrText>
      </w:r>
      <w:r>
        <w:fldChar w:fldCharType="separate"/>
      </w:r>
      <w:r>
        <w:rPr>
          <w:rFonts w:ascii="楷体" w:eastAsia="楷体"/>
          <w:shd w:val="clear" w:color="auto" w:fill="FFFFFF"/>
        </w:rPr>
        <w:t>9.2满意度调查表</w:t>
      </w:r>
      <w:r>
        <w:tab/>
      </w:r>
      <w:r>
        <w:fldChar w:fldCharType="begin"/>
      </w:r>
      <w:r>
        <w:instrText xml:space="preserve"> PAGEREF _Toc218688955 \h </w:instrText>
      </w:r>
      <w:r>
        <w:fldChar w:fldCharType="separate"/>
      </w:r>
      <w:r>
        <w:t>107</w:t>
      </w:r>
      <w:r>
        <w:fldChar w:fldCharType="end"/>
      </w:r>
      <w:r>
        <w:fldChar w:fldCharType="end"/>
      </w:r>
    </w:p>
    <w:p>
      <w:pPr>
        <w:pStyle w:val="22"/>
        <w:tabs>
          <w:tab w:val="right" w:leader="dot" w:pos="8296"/>
        </w:tabs>
      </w:pPr>
      <w:r>
        <w:fldChar w:fldCharType="begin"/>
      </w:r>
      <w:r>
        <w:instrText xml:space="preserve"> HYPERLINK \l "_Toc218688956" </w:instrText>
      </w:r>
      <w:r>
        <w:fldChar w:fldCharType="separate"/>
      </w:r>
      <w:r>
        <w:rPr>
          <w:rFonts w:ascii="楷体" w:eastAsia="楷体"/>
          <w:shd w:val="clear" w:color="auto" w:fill="FFFFFF"/>
        </w:rPr>
        <w:t>9.3教学资源表</w:t>
      </w:r>
      <w:r>
        <w:tab/>
      </w:r>
      <w:r>
        <w:fldChar w:fldCharType="begin"/>
      </w:r>
      <w:r>
        <w:instrText xml:space="preserve"> PAGEREF _Toc218688956 \h </w:instrText>
      </w:r>
      <w:r>
        <w:fldChar w:fldCharType="separate"/>
      </w:r>
      <w:r>
        <w:t>108</w:t>
      </w:r>
      <w:r>
        <w:fldChar w:fldCharType="end"/>
      </w:r>
      <w:r>
        <w:fldChar w:fldCharType="end"/>
      </w:r>
    </w:p>
    <w:p>
      <w:pPr>
        <w:pStyle w:val="22"/>
        <w:tabs>
          <w:tab w:val="right" w:leader="dot" w:pos="8296"/>
        </w:tabs>
      </w:pPr>
      <w:r>
        <w:fldChar w:fldCharType="begin"/>
      </w:r>
      <w:r>
        <w:instrText xml:space="preserve"> HYPERLINK \l "_Toc218688957" </w:instrText>
      </w:r>
      <w:r>
        <w:fldChar w:fldCharType="separate"/>
      </w:r>
      <w:r>
        <w:rPr>
          <w:rFonts w:ascii="楷体" w:eastAsia="楷体"/>
          <w:shd w:val="clear" w:color="auto" w:fill="FFFFFF"/>
        </w:rPr>
        <w:t>9.4服务贡献表</w:t>
      </w:r>
      <w:r>
        <w:tab/>
      </w:r>
      <w:r>
        <w:fldChar w:fldCharType="begin"/>
      </w:r>
      <w:r>
        <w:instrText xml:space="preserve"> PAGEREF _Toc218688957 \h </w:instrText>
      </w:r>
      <w:r>
        <w:fldChar w:fldCharType="separate"/>
      </w:r>
      <w:r>
        <w:t>109</w:t>
      </w:r>
      <w:r>
        <w:fldChar w:fldCharType="end"/>
      </w:r>
      <w:r>
        <w:fldChar w:fldCharType="end"/>
      </w:r>
    </w:p>
    <w:p>
      <w:pPr>
        <w:pStyle w:val="22"/>
        <w:tabs>
          <w:tab w:val="right" w:leader="dot" w:pos="8296"/>
        </w:tabs>
      </w:pPr>
      <w:r>
        <w:fldChar w:fldCharType="begin"/>
      </w:r>
      <w:r>
        <w:instrText xml:space="preserve"> HYPERLINK \l "_Toc218688958" </w:instrText>
      </w:r>
      <w:r>
        <w:fldChar w:fldCharType="separate"/>
      </w:r>
      <w:r>
        <w:rPr>
          <w:rFonts w:ascii="楷体" w:eastAsia="楷体"/>
          <w:shd w:val="clear" w:color="auto" w:fill="FFFFFF"/>
        </w:rPr>
        <w:t>9.5国际影响表</w:t>
      </w:r>
      <w:r>
        <w:tab/>
      </w:r>
      <w:r>
        <w:fldChar w:fldCharType="begin"/>
      </w:r>
      <w:r>
        <w:instrText xml:space="preserve"> PAGEREF _Toc218688958 \h </w:instrText>
      </w:r>
      <w:r>
        <w:fldChar w:fldCharType="separate"/>
      </w:r>
      <w:r>
        <w:t>110</w:t>
      </w:r>
      <w:r>
        <w:fldChar w:fldCharType="end"/>
      </w:r>
      <w:r>
        <w:fldChar w:fldCharType="end"/>
      </w:r>
    </w:p>
    <w:p>
      <w:pPr>
        <w:pStyle w:val="22"/>
        <w:tabs>
          <w:tab w:val="right" w:leader="dot" w:pos="8296"/>
        </w:tabs>
      </w:pPr>
      <w:r>
        <w:fldChar w:fldCharType="begin"/>
      </w:r>
      <w:r>
        <w:instrText xml:space="preserve"> HYPERLINK \l "_Toc218688959" </w:instrText>
      </w:r>
      <w:r>
        <w:fldChar w:fldCharType="separate"/>
      </w:r>
      <w:r>
        <w:rPr>
          <w:rFonts w:ascii="楷体" w:eastAsia="楷体"/>
          <w:shd w:val="clear" w:color="auto" w:fill="FFFFFF"/>
        </w:rPr>
        <w:t>9.6落实政策表</w:t>
      </w:r>
      <w:r>
        <w:tab/>
      </w:r>
      <w:r>
        <w:fldChar w:fldCharType="begin"/>
      </w:r>
      <w:r>
        <w:instrText xml:space="preserve"> PAGEREF _Toc218688959 \h </w:instrText>
      </w:r>
      <w:r>
        <w:fldChar w:fldCharType="separate"/>
      </w:r>
      <w:r>
        <w:t>111</w:t>
      </w:r>
      <w:r>
        <w:fldChar w:fldCharType="end"/>
      </w:r>
      <w:r>
        <w:fldChar w:fldCharType="end"/>
      </w:r>
    </w:p>
    <w:p>
      <w:pPr>
        <w:widowControl/>
        <w:jc w:val="left"/>
        <w:rPr>
          <w:rFonts w:ascii="方正小标宋简体" w:eastAsia="方正小标宋简体"/>
          <w:sz w:val="36"/>
          <w:szCs w:val="36"/>
        </w:rPr>
      </w:pPr>
      <w:r>
        <w:rPr>
          <w:rFonts w:ascii="方正小标宋简体" w:eastAsia="方正小标宋简体"/>
          <w:sz w:val="36"/>
          <w:szCs w:val="36"/>
        </w:rPr>
        <w:fldChar w:fldCharType="end"/>
      </w:r>
    </w:p>
    <w:p>
      <w:pPr>
        <w:widowControl/>
        <w:jc w:val="left"/>
        <w:rPr>
          <w:rFonts w:ascii="方正小标宋简体" w:eastAsia="方正小标宋简体"/>
          <w:sz w:val="36"/>
          <w:szCs w:val="36"/>
        </w:rPr>
      </w:pPr>
      <w:r>
        <w:rPr>
          <w:rFonts w:ascii="方正小标宋简体" w:eastAsia="方正小标宋简体"/>
          <w:sz w:val="36"/>
          <w:szCs w:val="36"/>
        </w:rPr>
        <w:br w:type="page"/>
      </w:r>
    </w:p>
    <w:p>
      <w:pPr>
        <w:widowControl/>
        <w:jc w:val="center"/>
        <w:rPr>
          <w:rFonts w:ascii="方正小标宋简体" w:eastAsia="方正小标宋简体"/>
          <w:color w:val="002060"/>
          <w:sz w:val="36"/>
          <w:szCs w:val="36"/>
        </w:rPr>
      </w:pPr>
      <w:r>
        <w:rPr>
          <w:rFonts w:ascii="方正小标宋简体" w:eastAsia="方正小标宋简体" w:hint="eastAsia"/>
          <w:color w:val="002060"/>
          <w:sz w:val="36"/>
          <w:szCs w:val="36"/>
        </w:rPr>
        <w:t>图目录</w:t>
      </w:r>
    </w:p>
    <w:p>
      <w:pPr>
        <w:pStyle w:val="17"/>
        <w:tabs>
          <w:tab w:val="right" w:leader="dot" w:pos="8296"/>
        </w:tabs>
        <w:ind w:leftChars="0" w:left="0"/>
        <w:rPr>
          <w:rFonts w:ascii="楷体" w:eastAsia="楷体"/>
        </w:rPr>
      </w:pPr>
      <w:r>
        <w:rPr>
          <w:rFonts w:ascii="楷体" w:eastAsia="楷体"/>
          <w:szCs w:val="21"/>
        </w:rPr>
        <w:fldChar w:fldCharType="begin"/>
      </w:r>
      <w:r>
        <w:rPr>
          <w:rFonts w:ascii="楷体" w:eastAsia="楷体"/>
          <w:szCs w:val="21"/>
        </w:rPr>
        <w:instrText xml:space="preserve"> TOC \o "3-3" \h \z \u </w:instrText>
      </w:r>
      <w:r>
        <w:rPr>
          <w:rFonts w:ascii="楷体" w:eastAsia="楷体"/>
          <w:szCs w:val="21"/>
        </w:rPr>
        <w:fldChar w:fldCharType="separate"/>
      </w:r>
      <w:r>
        <w:fldChar w:fldCharType="begin"/>
      </w:r>
      <w:r>
        <w:instrText xml:space="preserve"> HYPERLINK \l "_Toc218688621" </w:instrText>
      </w:r>
      <w:r>
        <w:fldChar w:fldCharType="separate"/>
      </w:r>
      <w:r>
        <w:rPr>
          <w:rFonts w:ascii="楷体" w:eastAsia="楷体"/>
          <w:kern w:val="0"/>
        </w:rPr>
        <w:t>图1-1 永州市中职学校发展概况</w:t>
      </w:r>
      <w:r>
        <w:rPr>
          <w:rFonts w:ascii="楷体" w:eastAsia="楷体"/>
        </w:rPr>
        <w:tab/>
      </w:r>
      <w:r>
        <w:rPr>
          <w:rFonts w:ascii="楷体" w:eastAsia="楷体"/>
        </w:rPr>
        <w:fldChar w:fldCharType="begin"/>
      </w:r>
      <w:r>
        <w:rPr>
          <w:rFonts w:ascii="楷体" w:eastAsia="楷体"/>
        </w:rPr>
        <w:instrText xml:space="preserve"> PAGEREF _Toc218688621 \h </w:instrText>
      </w:r>
      <w:r>
        <w:rPr>
          <w:rFonts w:ascii="楷体" w:eastAsia="楷体"/>
        </w:rPr>
        <w:fldChar w:fldCharType="separate"/>
      </w:r>
      <w:r>
        <w:rPr>
          <w:rFonts w:ascii="楷体" w:eastAsia="楷体"/>
        </w:rPr>
        <w:t>5</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"_Toc218688622" </w:instrText>
      </w:r>
      <w:r>
        <w:fldChar w:fldCharType="separate"/>
      </w:r>
      <w:r>
        <w:rPr>
          <w:rFonts w:ascii="楷体" w:eastAsia="楷体"/>
          <w:kern w:val="0"/>
        </w:rPr>
        <w:t>图1-2 2024年与2025年教材与实训资源对比</w:t>
      </w:r>
      <w:r>
        <w:rPr>
          <w:rFonts w:ascii="楷体" w:eastAsia="楷体"/>
        </w:rPr>
        <w:tab/>
      </w:r>
      <w:r>
        <w:rPr>
          <w:rFonts w:ascii="楷体" w:eastAsia="楷体"/>
        </w:rPr>
        <w:fldChar w:fldCharType="begin"/>
      </w:r>
      <w:r>
        <w:rPr>
          <w:rFonts w:ascii="楷体" w:eastAsia="楷体"/>
        </w:rPr>
        <w:instrText xml:space="preserve"> PAGEREF _Toc218688622 \h </w:instrText>
      </w:r>
      <w:r>
        <w:rPr>
          <w:rFonts w:ascii="楷体" w:eastAsia="楷体"/>
        </w:rPr>
        <w:fldChar w:fldCharType="separate"/>
      </w:r>
      <w:r>
        <w:rPr>
          <w:rFonts w:ascii="楷体" w:eastAsia="楷体"/>
        </w:rPr>
        <w:t>7</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"_Toc218688623" </w:instrText>
      </w:r>
      <w:r>
        <w:fldChar w:fldCharType="separate"/>
      </w:r>
      <w:r>
        <w:rPr>
          <w:rFonts w:ascii="楷体" w:eastAsia="楷体" w:cs="Times New Roman"/>
          <w:kern w:val="0"/>
        </w:rPr>
        <w:t>图1-3 永州市2024年与2025年学生就业情况对比</w:t>
      </w:r>
      <w:r>
        <w:rPr>
          <w:rFonts w:ascii="楷体" w:eastAsia="楷体"/>
        </w:rPr>
        <w:tab/>
      </w:r>
      <w:r>
        <w:rPr>
          <w:rFonts w:ascii="楷体" w:eastAsia="楷体"/>
        </w:rPr>
        <w:fldChar w:fldCharType="begin"/>
      </w:r>
      <w:r>
        <w:rPr>
          <w:rFonts w:ascii="楷体" w:eastAsia="楷体"/>
        </w:rPr>
        <w:instrText xml:space="preserve"> PAGEREF _Toc218688623 \h </w:instrText>
      </w:r>
      <w:r>
        <w:rPr>
          <w:rFonts w:ascii="楷体" w:eastAsia="楷体"/>
        </w:rPr>
        <w:fldChar w:fldCharType="separate"/>
      </w:r>
      <w:r>
        <w:rPr>
          <w:rFonts w:ascii="楷体" w:eastAsia="楷体"/>
        </w:rPr>
        <w:t>8</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"_Toc218688624" </w:instrText>
      </w:r>
      <w:r>
        <w:fldChar w:fldCharType="separate"/>
      </w:r>
      <w:r>
        <w:rPr>
          <w:rFonts w:ascii="楷体" w:eastAsia="楷体"/>
          <w:kern w:val="0"/>
        </w:rPr>
        <w:t>图1-4 永州市中职学校2024年与2025年师资情况对比</w:t>
      </w:r>
      <w:r>
        <w:rPr>
          <w:rFonts w:ascii="楷体" w:eastAsia="楷体"/>
        </w:rPr>
        <w:tab/>
      </w:r>
      <w:r>
        <w:rPr>
          <w:rFonts w:ascii="楷体" w:eastAsia="楷体"/>
        </w:rPr>
        <w:fldChar w:fldCharType="begin"/>
      </w:r>
      <w:r>
        <w:rPr>
          <w:rFonts w:ascii="楷体" w:eastAsia="楷体"/>
        </w:rPr>
        <w:instrText xml:space="preserve"> PAGEREF _Toc218688624 \h </w:instrText>
      </w:r>
      <w:r>
        <w:rPr>
          <w:rFonts w:ascii="楷体" w:eastAsia="楷体"/>
        </w:rPr>
        <w:fldChar w:fldCharType="separate"/>
      </w:r>
      <w:r>
        <w:rPr>
          <w:rFonts w:ascii="楷体" w:eastAsia="楷体"/>
        </w:rPr>
        <w:t>9</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"_Toc218688625" </w:instrText>
      </w:r>
      <w:r>
        <w:fldChar w:fldCharType="separate"/>
      </w:r>
      <w:r>
        <w:rPr>
          <w:rFonts w:ascii="楷体" w:eastAsia="楷体"/>
        </w:rPr>
        <w:t>图2-1江华职中智慧健康养老专业学生实操训练现场</w:t>
        <w:tab/>
      </w:r>
      <w:r>
        <w:rPr>
          <w:rFonts w:ascii="楷体" w:eastAsia="楷体"/>
        </w:rPr>
        <w:fldChar w:fldCharType="begin"/>
      </w:r>
      <w:r>
        <w:rPr>
          <w:rFonts w:ascii="楷体" w:eastAsia="楷体"/>
        </w:rPr>
        <w:instrText xml:space="preserve"> PAGEREF _Toc218688625 \h </w:instrText>
      </w:r>
      <w:r>
        <w:rPr>
          <w:rFonts w:ascii="楷体" w:eastAsia="楷体"/>
        </w:rPr>
        <w:fldChar w:fldCharType="separate"/>
      </w:r>
      <w:r>
        <w:rPr>
          <w:rFonts w:ascii="楷体" w:eastAsia="楷体"/>
        </w:rPr>
        <w:t>15</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"_Toc218688626" </w:instrText>
      </w:r>
      <w:r>
        <w:fldChar w:fldCharType="separate"/>
      </w:r>
      <w:r>
        <w:rPr>
          <w:rFonts w:ascii="楷体" w:eastAsia="楷体"/>
        </w:rPr>
        <w:t>图2-2 祁阳职中在湖南省教师教学设计与展示交流活动中获奖</w:t>
        <w:tab/>
      </w:r>
      <w:r>
        <w:rPr>
          <w:rFonts w:ascii="楷体" w:eastAsia="楷体"/>
        </w:rPr>
        <w:fldChar w:fldCharType="begin"/>
      </w:r>
      <w:r>
        <w:rPr>
          <w:rFonts w:ascii="楷体" w:eastAsia="楷体"/>
        </w:rPr>
        <w:instrText xml:space="preserve"> PAGEREF _Toc218688626 \h </w:instrText>
      </w:r>
      <w:r>
        <w:rPr>
          <w:rFonts w:ascii="楷体" w:eastAsia="楷体"/>
        </w:rPr>
        <w:fldChar w:fldCharType="separate"/>
      </w:r>
      <w:r>
        <w:rPr>
          <w:rFonts w:ascii="楷体" w:eastAsia="楷体"/>
        </w:rPr>
        <w:t>17</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"_Toc218688627" </w:instrText>
      </w:r>
      <w:r>
        <w:fldChar w:fldCharType="separate"/>
      </w:r>
      <w:r>
        <w:rPr>
          <w:rFonts w:ascii="楷体" w:eastAsia="楷体"/>
        </w:rPr>
        <w:t>图2-3 新田职中获2025世界职业院校技能大赛铜奖</w:t>
        <w:tab/>
      </w:r>
      <w:r>
        <w:rPr>
          <w:rFonts w:ascii="楷体" w:eastAsia="楷体"/>
        </w:rPr>
        <w:fldChar w:fldCharType="begin"/>
      </w:r>
      <w:r>
        <w:rPr>
          <w:rFonts w:ascii="楷体" w:eastAsia="楷体"/>
        </w:rPr>
        <w:instrText xml:space="preserve"> PAGEREF _Toc218688627 \h </w:instrText>
      </w:r>
      <w:r>
        <w:rPr>
          <w:rFonts w:ascii="楷体" w:eastAsia="楷体"/>
        </w:rPr>
        <w:fldChar w:fldCharType="separate"/>
      </w:r>
      <w:r>
        <w:rPr>
          <w:rFonts w:ascii="楷体" w:eastAsia="楷体"/>
        </w:rPr>
        <w:t>19</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"_Toc218688628" </w:instrText>
      </w:r>
      <w:r>
        <w:fldChar w:fldCharType="separate"/>
      </w:r>
      <w:r>
        <w:rPr>
          <w:rFonts w:ascii="楷体" w:eastAsia="楷体"/>
        </w:rPr>
        <w:t>图2-4 蓝山职中送培到校精准培训开班仪式</w:t>
        <w:tab/>
      </w:r>
      <w:r>
        <w:rPr>
          <w:rFonts w:ascii="楷体" w:eastAsia="楷体"/>
        </w:rPr>
        <w:fldChar w:fldCharType="begin"/>
      </w:r>
      <w:r>
        <w:rPr>
          <w:rFonts w:ascii="楷体" w:eastAsia="楷体"/>
        </w:rPr>
        <w:instrText xml:space="preserve"> PAGEREF _Toc218688628 \h </w:instrText>
      </w:r>
      <w:r>
        <w:rPr>
          <w:rFonts w:ascii="楷体" w:eastAsia="楷体"/>
        </w:rPr>
        <w:fldChar w:fldCharType="separate"/>
      </w:r>
      <w:r>
        <w:rPr>
          <w:rFonts w:ascii="楷体" w:eastAsia="楷体"/>
        </w:rPr>
        <w:t>22</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"_Toc218688629" </w:instrText>
      </w:r>
      <w:r>
        <w:fldChar w:fldCharType="separate"/>
      </w:r>
      <w:r>
        <w:rPr>
          <w:rFonts w:ascii="楷体" w:eastAsia="楷体"/>
        </w:rPr>
        <w:t>图2-5 江华职中学生参加产教融合实训活动</w:t>
        <w:tab/>
      </w:r>
      <w:r>
        <w:rPr>
          <w:rFonts w:ascii="楷体" w:eastAsia="楷体"/>
        </w:rPr>
        <w:fldChar w:fldCharType="begin"/>
      </w:r>
      <w:r>
        <w:rPr>
          <w:rFonts w:ascii="楷体" w:eastAsia="楷体"/>
        </w:rPr>
        <w:instrText xml:space="preserve"> PAGEREF _Toc218688629 \h </w:instrText>
      </w:r>
      <w:r>
        <w:rPr>
          <w:rFonts w:ascii="楷体" w:eastAsia="楷体"/>
        </w:rPr>
        <w:fldChar w:fldCharType="separate"/>
      </w:r>
      <w:r>
        <w:rPr>
          <w:rFonts w:ascii="楷体" w:eastAsia="楷体"/>
        </w:rPr>
        <w:t>25</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"_Toc218688630" </w:instrText>
      </w:r>
      <w:r>
        <w:fldChar w:fldCharType="separate"/>
      </w:r>
      <w:r>
        <w:rPr>
          <w:rFonts w:ascii="楷体" w:eastAsia="楷体"/>
          <w:kern w:val="0"/>
        </w:rPr>
        <w:t>图2-6 永州市部分中职学校省级技能竞赛获奖数量对比</w:t>
      </w:r>
      <w:r>
        <w:rPr>
          <w:rFonts w:ascii="楷体" w:eastAsia="楷体"/>
        </w:rPr>
        <w:tab/>
      </w:r>
      <w:r>
        <w:rPr>
          <w:rFonts w:ascii="楷体" w:eastAsia="楷体"/>
        </w:rPr>
        <w:fldChar w:fldCharType="begin"/>
      </w:r>
      <w:r>
        <w:rPr>
          <w:rFonts w:ascii="楷体" w:eastAsia="楷体"/>
        </w:rPr>
        <w:instrText xml:space="preserve"> PAGEREF _Toc218688630 \h </w:instrText>
      </w:r>
      <w:r>
        <w:rPr>
          <w:rFonts w:ascii="楷体" w:eastAsia="楷体"/>
        </w:rPr>
        <w:fldChar w:fldCharType="separate"/>
      </w:r>
      <w:r>
        <w:rPr>
          <w:rFonts w:ascii="楷体" w:eastAsia="楷体"/>
        </w:rPr>
        <w:t>27</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"_Toc218688631" </w:instrText>
      </w:r>
      <w:r>
        <w:fldChar w:fldCharType="separate"/>
      </w:r>
      <w:r>
        <w:rPr>
          <w:rFonts w:ascii="楷体" w:eastAsia="楷体"/>
          <w:kern w:val="0"/>
        </w:rPr>
        <w:t>图2-7永州市部分中职学校职业培训人次对比图</w:t>
      </w:r>
      <w:r>
        <w:rPr>
          <w:rFonts w:ascii="楷体" w:eastAsia="楷体"/>
        </w:rPr>
        <w:tab/>
      </w:r>
      <w:r>
        <w:rPr>
          <w:rFonts w:ascii="楷体" w:eastAsia="楷体"/>
        </w:rPr>
        <w:fldChar w:fldCharType="begin"/>
      </w:r>
      <w:r>
        <w:rPr>
          <w:rFonts w:ascii="楷体" w:eastAsia="楷体"/>
        </w:rPr>
        <w:instrText xml:space="preserve"> PAGEREF _Toc218688631 \h </w:instrText>
      </w:r>
      <w:r>
        <w:rPr>
          <w:rFonts w:ascii="楷体" w:eastAsia="楷体"/>
        </w:rPr>
        <w:fldChar w:fldCharType="separate"/>
      </w:r>
      <w:r>
        <w:rPr>
          <w:rFonts w:ascii="楷体" w:eastAsia="楷体"/>
        </w:rPr>
        <w:t>31</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"_Toc218688632" </w:instrText>
      </w:r>
      <w:r>
        <w:fldChar w:fldCharType="separate"/>
      </w:r>
      <w:r>
        <w:rPr>
          <w:rFonts w:ascii="楷体" w:eastAsia="楷体"/>
          <w:kern w:val="0"/>
        </w:rPr>
        <w:t>图2-8 2025年人才培养关键成效一览</w:t>
      </w:r>
      <w:r>
        <w:rPr>
          <w:rFonts w:ascii="楷体" w:eastAsia="楷体"/>
        </w:rPr>
        <w:tab/>
      </w:r>
      <w:r>
        <w:rPr>
          <w:rFonts w:ascii="楷体" w:eastAsia="楷体"/>
        </w:rPr>
        <w:fldChar w:fldCharType="begin"/>
      </w:r>
      <w:r>
        <w:rPr>
          <w:rFonts w:ascii="楷体" w:eastAsia="楷体"/>
        </w:rPr>
        <w:instrText xml:space="preserve"> PAGEREF _Toc218688632 \h </w:instrText>
      </w:r>
      <w:r>
        <w:rPr>
          <w:rFonts w:ascii="楷体" w:eastAsia="楷体"/>
        </w:rPr>
        <w:fldChar w:fldCharType="separate"/>
      </w:r>
      <w:r>
        <w:rPr>
          <w:rFonts w:ascii="楷体" w:eastAsia="楷体"/>
        </w:rPr>
        <w:t>35</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"_Toc218688633" </w:instrText>
      </w:r>
      <w:r>
        <w:fldChar w:fldCharType="separate"/>
      </w:r>
      <w:r>
        <w:rPr>
          <w:rFonts w:ascii="楷体" w:eastAsia="楷体"/>
          <w:kern w:val="0"/>
        </w:rPr>
        <w:t>图3-1 2025年永州市职业院校本地产业人才就业情况</w:t>
      </w:r>
      <w:r>
        <w:rPr>
          <w:rFonts w:ascii="楷体" w:eastAsia="楷体"/>
        </w:rPr>
        <w:tab/>
      </w:r>
      <w:r>
        <w:rPr>
          <w:rFonts w:ascii="楷体" w:eastAsia="楷体"/>
        </w:rPr>
        <w:fldChar w:fldCharType="begin"/>
      </w:r>
      <w:r>
        <w:rPr>
          <w:rFonts w:ascii="楷体" w:eastAsia="楷体"/>
        </w:rPr>
        <w:instrText xml:space="preserve"> PAGEREF _Toc218688633 \h </w:instrText>
      </w:r>
      <w:r>
        <w:rPr>
          <w:rFonts w:ascii="楷体" w:eastAsia="楷体"/>
        </w:rPr>
        <w:fldChar w:fldCharType="separate"/>
      </w:r>
      <w:r>
        <w:rPr>
          <w:rFonts w:ascii="楷体" w:eastAsia="楷体"/>
        </w:rPr>
        <w:t>36</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"_Toc218688634" </w:instrText>
      </w:r>
      <w:r>
        <w:fldChar w:fldCharType="separate"/>
      </w:r>
      <w:r>
        <w:rPr>
          <w:rFonts w:ascii="楷体" w:eastAsia="楷体"/>
        </w:rPr>
        <w:t>图3-2 江永职中学子在求职小站内咨询交流</w:t>
        <w:tab/>
      </w:r>
      <w:r>
        <w:rPr>
          <w:rFonts w:ascii="楷体" w:eastAsia="楷体"/>
        </w:rPr>
        <w:fldChar w:fldCharType="begin"/>
      </w:r>
      <w:r>
        <w:rPr>
          <w:rFonts w:ascii="楷体" w:eastAsia="楷体"/>
        </w:rPr>
        <w:instrText xml:space="preserve"> PAGEREF _Toc218688634 \h </w:instrText>
      </w:r>
      <w:r>
        <w:rPr>
          <w:rFonts w:ascii="楷体" w:eastAsia="楷体"/>
        </w:rPr>
        <w:fldChar w:fldCharType="separate"/>
      </w:r>
      <w:r>
        <w:rPr>
          <w:rFonts w:ascii="楷体" w:eastAsia="楷体"/>
        </w:rPr>
        <w:t>38</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"_Toc218688635" </w:instrText>
      </w:r>
      <w:r>
        <w:fldChar w:fldCharType="separate"/>
      </w:r>
      <w:r>
        <w:rPr>
          <w:rFonts w:ascii="楷体" w:eastAsia="楷体"/>
        </w:rPr>
        <w:t>图3-3 祁阳职中电商专业学生开展助农直播</w:t>
        <w:tab/>
      </w:r>
      <w:r>
        <w:rPr>
          <w:rFonts w:ascii="楷体" w:eastAsia="楷体"/>
        </w:rPr>
        <w:fldChar w:fldCharType="begin"/>
      </w:r>
      <w:r>
        <w:rPr>
          <w:rFonts w:ascii="楷体" w:eastAsia="楷体"/>
        </w:rPr>
        <w:instrText xml:space="preserve"> PAGEREF _Toc218688635 \h </w:instrText>
      </w:r>
      <w:r>
        <w:rPr>
          <w:rFonts w:ascii="楷体" w:eastAsia="楷体"/>
        </w:rPr>
        <w:fldChar w:fldCharType="separate"/>
      </w:r>
      <w:r>
        <w:rPr>
          <w:rFonts w:ascii="楷体" w:eastAsia="楷体"/>
        </w:rPr>
        <w:t>40</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"_Toc218688636" </w:instrText>
      </w:r>
      <w:r>
        <w:fldChar w:fldCharType="separate"/>
      </w:r>
      <w:r>
        <w:rPr>
          <w:rFonts w:ascii="楷体" w:eastAsia="楷体"/>
        </w:rPr>
        <w:t>图3-4 永州综职师生“河小青”活动合照</w:t>
        <w:tab/>
      </w:r>
      <w:r>
        <w:rPr>
          <w:rFonts w:ascii="楷体" w:eastAsia="楷体"/>
        </w:rPr>
        <w:fldChar w:fldCharType="begin"/>
      </w:r>
      <w:r>
        <w:rPr>
          <w:rFonts w:ascii="楷体" w:eastAsia="楷体"/>
        </w:rPr>
        <w:instrText xml:space="preserve"> PAGEREF _Toc218688636 \h </w:instrText>
      </w:r>
      <w:r>
        <w:rPr>
          <w:rFonts w:ascii="楷体" w:eastAsia="楷体"/>
        </w:rPr>
        <w:fldChar w:fldCharType="separate"/>
      </w:r>
      <w:r>
        <w:rPr>
          <w:rFonts w:ascii="楷体" w:eastAsia="楷体"/>
        </w:rPr>
        <w:t>42</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"_Toc218688637" </w:instrText>
      </w:r>
      <w:r>
        <w:fldChar w:fldCharType="separate"/>
      </w:r>
      <w:r>
        <w:rPr>
          <w:rFonts w:ascii="楷体" w:eastAsia="楷体"/>
        </w:rPr>
        <w:t>图3-5东安职中师生在楚门乐器进行实践活动</w:t>
        <w:tab/>
      </w:r>
      <w:r>
        <w:rPr>
          <w:rFonts w:ascii="楷体" w:eastAsia="楷体"/>
        </w:rPr>
        <w:fldChar w:fldCharType="begin"/>
      </w:r>
      <w:r>
        <w:rPr>
          <w:rFonts w:ascii="楷体" w:eastAsia="楷体"/>
        </w:rPr>
        <w:instrText xml:space="preserve"> PAGEREF _Toc218688637 \h </w:instrText>
      </w:r>
      <w:r>
        <w:rPr>
          <w:rFonts w:ascii="楷体" w:eastAsia="楷体"/>
        </w:rPr>
        <w:fldChar w:fldCharType="separate"/>
      </w:r>
      <w:r>
        <w:rPr>
          <w:rFonts w:ascii="楷体" w:eastAsia="楷体"/>
        </w:rPr>
        <w:t>46</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"_Toc218688638" </w:instrText>
      </w:r>
      <w:r>
        <w:fldChar w:fldCharType="separate"/>
      </w:r>
      <w:r>
        <w:rPr>
          <w:rFonts w:ascii="楷体" w:eastAsia="楷体"/>
        </w:rPr>
        <w:t>图4-1 宁远职中学生校级初赛训练现场</w:t>
        <w:tab/>
      </w:r>
      <w:r>
        <w:rPr>
          <w:rFonts w:ascii="楷体" w:eastAsia="楷体"/>
        </w:rPr>
        <w:fldChar w:fldCharType="begin"/>
      </w:r>
      <w:r>
        <w:rPr>
          <w:rFonts w:ascii="楷体" w:eastAsia="楷体"/>
        </w:rPr>
        <w:instrText xml:space="preserve"> PAGEREF _Toc218688638 \h </w:instrText>
      </w:r>
      <w:r>
        <w:rPr>
          <w:rFonts w:ascii="楷体" w:eastAsia="楷体"/>
        </w:rPr>
        <w:fldChar w:fldCharType="separate"/>
      </w:r>
      <w:r>
        <w:rPr>
          <w:rFonts w:ascii="楷体" w:eastAsia="楷体"/>
        </w:rPr>
        <w:t>49</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"_Toc218688639" </w:instrText>
      </w:r>
      <w:r>
        <w:fldChar w:fldCharType="separate"/>
      </w:r>
      <w:r>
        <w:rPr>
          <w:rFonts w:ascii="楷体" w:eastAsia="楷体"/>
        </w:rPr>
        <w:t>图4-2 永州工商“楚怡”名师工作室成员交流学习</w:t>
        <w:tab/>
      </w:r>
      <w:r>
        <w:rPr>
          <w:rFonts w:ascii="楷体" w:eastAsia="楷体"/>
        </w:rPr>
        <w:fldChar w:fldCharType="begin"/>
      </w:r>
      <w:r>
        <w:rPr>
          <w:rFonts w:ascii="楷体" w:eastAsia="楷体"/>
        </w:rPr>
        <w:instrText xml:space="preserve"> PAGEREF _Toc218688639 \h </w:instrText>
      </w:r>
      <w:r>
        <w:rPr>
          <w:rFonts w:ascii="楷体" w:eastAsia="楷体"/>
        </w:rPr>
        <w:fldChar w:fldCharType="separate"/>
      </w:r>
      <w:r>
        <w:rPr>
          <w:rFonts w:ascii="楷体" w:eastAsia="楷体"/>
        </w:rPr>
        <w:t>50</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"_Toc218688640" </w:instrText>
      </w:r>
      <w:r>
        <w:fldChar w:fldCharType="separate"/>
      </w:r>
      <w:r>
        <w:rPr>
          <w:rFonts w:ascii="楷体" w:eastAsia="楷体"/>
        </w:rPr>
        <w:t>图4-3 永州工贸学校学生“我的韶山行”红色研学活动</w:t>
        <w:tab/>
      </w:r>
      <w:r>
        <w:rPr>
          <w:rFonts w:ascii="楷体" w:eastAsia="楷体"/>
        </w:rPr>
        <w:fldChar w:fldCharType="begin"/>
      </w:r>
      <w:r>
        <w:rPr>
          <w:rFonts w:ascii="楷体" w:eastAsia="楷体"/>
        </w:rPr>
        <w:instrText xml:space="preserve"> PAGEREF _Toc218688640 \h </w:instrText>
      </w:r>
      <w:r>
        <w:rPr>
          <w:rFonts w:ascii="楷体" w:eastAsia="楷体"/>
        </w:rPr>
        <w:fldChar w:fldCharType="separate"/>
      </w:r>
      <w:r>
        <w:rPr>
          <w:rFonts w:ascii="楷体" w:eastAsia="楷体"/>
        </w:rPr>
        <w:t>52</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"_Toc218688641" </w:instrText>
      </w:r>
      <w:r>
        <w:fldChar w:fldCharType="separate"/>
      </w:r>
      <w:r>
        <w:rPr>
          <w:rFonts w:ascii="楷体" w:eastAsia="楷体"/>
        </w:rPr>
        <w:t>图4-4 新田职业中专学校红色教育朗诵比赛现场</w:t>
        <w:tab/>
      </w:r>
      <w:r>
        <w:rPr>
          <w:rFonts w:ascii="楷体" w:eastAsia="楷体"/>
        </w:rPr>
        <w:fldChar w:fldCharType="begin"/>
      </w:r>
      <w:r>
        <w:rPr>
          <w:rFonts w:ascii="楷体" w:eastAsia="楷体"/>
        </w:rPr>
        <w:instrText xml:space="preserve"> PAGEREF _Toc218688641 \h </w:instrText>
      </w:r>
      <w:r>
        <w:rPr>
          <w:rFonts w:ascii="楷体" w:eastAsia="楷体"/>
        </w:rPr>
        <w:fldChar w:fldCharType="separate"/>
      </w:r>
      <w:r>
        <w:rPr>
          <w:rFonts w:ascii="楷体" w:eastAsia="楷体"/>
        </w:rPr>
        <w:t>53</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"_Toc218688642" </w:instrText>
      </w:r>
      <w:r>
        <w:fldChar w:fldCharType="separate"/>
      </w:r>
      <w:r>
        <w:rPr>
          <w:rFonts w:ascii="楷体" w:eastAsia="楷体"/>
        </w:rPr>
        <w:t>图4-5 江华职中邀请非遗传承人黎柳进行专项实践教学</w:t>
        <w:tab/>
      </w:r>
      <w:r>
        <w:rPr>
          <w:rFonts w:ascii="楷体" w:eastAsia="楷体"/>
        </w:rPr>
        <w:fldChar w:fldCharType="begin"/>
      </w:r>
      <w:r>
        <w:rPr>
          <w:rFonts w:ascii="楷体" w:eastAsia="楷体"/>
        </w:rPr>
        <w:instrText xml:space="preserve"> PAGEREF _Toc218688642 \h </w:instrText>
      </w:r>
      <w:r>
        <w:rPr>
          <w:rFonts w:ascii="楷体" w:eastAsia="楷体"/>
        </w:rPr>
        <w:fldChar w:fldCharType="separate"/>
      </w:r>
      <w:r>
        <w:rPr>
          <w:rFonts w:ascii="楷体" w:eastAsia="楷体"/>
        </w:rPr>
        <w:t>56</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"_Toc218688643" </w:instrText>
      </w:r>
      <w:r>
        <w:fldChar w:fldCharType="separate"/>
      </w:r>
      <w:r>
        <w:rPr>
          <w:rFonts w:ascii="楷体" w:eastAsia="楷体"/>
        </w:rPr>
        <w:t>图4-6 江永职中学生参加“湘超”开幕演出活动</w:t>
        <w:tab/>
      </w:r>
      <w:r>
        <w:rPr>
          <w:rFonts w:ascii="楷体" w:eastAsia="楷体"/>
        </w:rPr>
        <w:fldChar w:fldCharType="begin"/>
      </w:r>
      <w:r>
        <w:rPr>
          <w:rFonts w:ascii="楷体" w:eastAsia="楷体"/>
        </w:rPr>
        <w:instrText xml:space="preserve"> PAGEREF _Toc218688643 \h </w:instrText>
      </w:r>
      <w:r>
        <w:rPr>
          <w:rFonts w:ascii="楷体" w:eastAsia="楷体"/>
        </w:rPr>
        <w:fldChar w:fldCharType="separate"/>
      </w:r>
      <w:r>
        <w:rPr>
          <w:rFonts w:ascii="楷体" w:eastAsia="楷体"/>
        </w:rPr>
        <w:t>57</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"_Toc218688644" </w:instrText>
      </w:r>
      <w:r>
        <w:fldChar w:fldCharType="separate"/>
      </w:r>
      <w:r>
        <w:rPr>
          <w:rFonts w:ascii="楷体" w:eastAsia="楷体"/>
        </w:rPr>
        <w:t>图4-7 祁阳职中组织学生进行心理普查测试、个别访谈</w:t>
        <w:tab/>
      </w:r>
      <w:r>
        <w:rPr>
          <w:rFonts w:ascii="楷体" w:eastAsia="楷体"/>
        </w:rPr>
        <w:fldChar w:fldCharType="begin"/>
      </w:r>
      <w:r>
        <w:rPr>
          <w:rFonts w:ascii="楷体" w:eastAsia="楷体"/>
        </w:rPr>
        <w:instrText xml:space="preserve"> PAGEREF _Toc218688644 \h </w:instrText>
      </w:r>
      <w:r>
        <w:rPr>
          <w:rFonts w:ascii="楷体" w:eastAsia="楷体"/>
        </w:rPr>
        <w:fldChar w:fldCharType="separate"/>
      </w:r>
      <w:r>
        <w:rPr>
          <w:rFonts w:ascii="楷体" w:eastAsia="楷体"/>
        </w:rPr>
        <w:t>59</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"_Toc218688645" </w:instrText>
      </w:r>
      <w:r>
        <w:fldChar w:fldCharType="separate"/>
      </w:r>
      <w:r>
        <w:rPr>
          <w:rFonts w:ascii="楷体" w:eastAsia="楷体"/>
        </w:rPr>
        <w:t>图4-8 永州工商职中2025年职业教育宣传活动</w:t>
        <w:tab/>
      </w:r>
      <w:r>
        <w:rPr>
          <w:rFonts w:ascii="楷体" w:eastAsia="楷体"/>
        </w:rPr>
        <w:fldChar w:fldCharType="begin"/>
      </w:r>
      <w:r>
        <w:rPr>
          <w:rFonts w:ascii="楷体" w:eastAsia="楷体"/>
        </w:rPr>
        <w:instrText xml:space="preserve"> PAGEREF _Toc218688645 \h </w:instrText>
      </w:r>
      <w:r>
        <w:rPr>
          <w:rFonts w:ascii="楷体" w:eastAsia="楷体"/>
        </w:rPr>
        <w:fldChar w:fldCharType="separate"/>
      </w:r>
      <w:r>
        <w:rPr>
          <w:rFonts w:ascii="楷体" w:eastAsia="楷体"/>
        </w:rPr>
        <w:t>60</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"_Toc218688646" </w:instrText>
      </w:r>
      <w:r>
        <w:fldChar w:fldCharType="separate"/>
      </w:r>
      <w:r>
        <w:rPr>
          <w:rFonts w:ascii="楷体" w:eastAsia="楷体"/>
        </w:rPr>
        <w:t>图4-9 双牌职中“9+2人制”足球赛活动</w:t>
        <w:tab/>
      </w:r>
      <w:r>
        <w:rPr>
          <w:rFonts w:ascii="楷体" w:eastAsia="楷体"/>
        </w:rPr>
        <w:fldChar w:fldCharType="begin"/>
      </w:r>
      <w:r>
        <w:rPr>
          <w:rFonts w:ascii="楷体" w:eastAsia="楷体"/>
        </w:rPr>
        <w:instrText xml:space="preserve"> PAGEREF _Toc218688646 \h </w:instrText>
      </w:r>
      <w:r>
        <w:rPr>
          <w:rFonts w:ascii="楷体" w:eastAsia="楷体"/>
        </w:rPr>
        <w:fldChar w:fldCharType="separate"/>
      </w:r>
      <w:r>
        <w:rPr>
          <w:rFonts w:ascii="楷体" w:eastAsia="楷体"/>
        </w:rPr>
        <w:t>61</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"_Toc218688647" </w:instrText>
      </w:r>
      <w:r>
        <w:fldChar w:fldCharType="separate"/>
      </w:r>
      <w:r>
        <w:rPr>
          <w:rFonts w:ascii="楷体" w:eastAsia="楷体"/>
        </w:rPr>
        <w:t>图5-1 永州工商职中在世界技能发展联盟授牌现场</w:t>
        <w:tab/>
      </w:r>
      <w:r>
        <w:rPr>
          <w:rFonts w:ascii="楷体" w:eastAsia="楷体"/>
        </w:rPr>
        <w:fldChar w:fldCharType="begin"/>
      </w:r>
      <w:r>
        <w:rPr>
          <w:rFonts w:ascii="楷体" w:eastAsia="楷体"/>
        </w:rPr>
        <w:instrText xml:space="preserve"> PAGEREF _Toc218688647 \h </w:instrText>
      </w:r>
      <w:r>
        <w:rPr>
          <w:rFonts w:ascii="楷体" w:eastAsia="楷体"/>
        </w:rPr>
        <w:fldChar w:fldCharType="separate"/>
      </w:r>
      <w:r>
        <w:rPr>
          <w:rFonts w:ascii="楷体" w:eastAsia="楷体"/>
        </w:rPr>
        <w:t>64</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"_Toc218688648" </w:instrText>
      </w:r>
      <w:r>
        <w:fldChar w:fldCharType="separate"/>
      </w:r>
      <w:r>
        <w:rPr>
          <w:rFonts w:ascii="楷体" w:eastAsia="楷体"/>
        </w:rPr>
        <w:t>图5-2 永州工贸学校参加“人工智能+”职业教育创新研讨会</w:t>
        <w:tab/>
      </w:r>
      <w:r>
        <w:rPr>
          <w:rFonts w:ascii="楷体" w:eastAsia="楷体"/>
        </w:rPr>
        <w:fldChar w:fldCharType="begin"/>
      </w:r>
      <w:r>
        <w:rPr>
          <w:rFonts w:ascii="楷体" w:eastAsia="楷体"/>
        </w:rPr>
        <w:instrText xml:space="preserve"> PAGEREF _Toc218688648 \h </w:instrText>
      </w:r>
      <w:r>
        <w:rPr>
          <w:rFonts w:ascii="楷体" w:eastAsia="楷体"/>
        </w:rPr>
        <w:fldChar w:fldCharType="separate"/>
      </w:r>
      <w:r>
        <w:rPr>
          <w:rFonts w:ascii="楷体" w:eastAsia="楷体"/>
        </w:rPr>
        <w:t>69</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"_Toc218688649" </w:instrText>
      </w:r>
      <w:r>
        <w:fldChar w:fldCharType="separate"/>
      </w:r>
      <w:r>
        <w:rPr>
          <w:rFonts w:ascii="楷体" w:eastAsia="楷体"/>
        </w:rPr>
        <w:t>图5-3 教师与学生在一带一路暨金砖国家赛事中获奖</w:t>
        <w:tab/>
      </w:r>
      <w:r>
        <w:rPr>
          <w:rFonts w:ascii="楷体" w:eastAsia="楷体"/>
        </w:rPr>
        <w:fldChar w:fldCharType="begin"/>
      </w:r>
      <w:r>
        <w:rPr>
          <w:rFonts w:ascii="楷体" w:eastAsia="楷体"/>
        </w:rPr>
        <w:instrText xml:space="preserve"> PAGEREF _Toc218688649 \h </w:instrText>
      </w:r>
      <w:r>
        <w:rPr>
          <w:rFonts w:ascii="楷体" w:eastAsia="楷体"/>
        </w:rPr>
        <w:fldChar w:fldCharType="separate"/>
      </w:r>
      <w:r>
        <w:rPr>
          <w:rFonts w:ascii="楷体" w:eastAsia="楷体"/>
        </w:rPr>
        <w:t>72</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"_Toc218688650" </w:instrText>
      </w:r>
      <w:r>
        <w:fldChar w:fldCharType="separate"/>
      </w:r>
      <w:r>
        <w:rPr>
          <w:rFonts w:ascii="楷体" w:eastAsia="楷体"/>
        </w:rPr>
        <w:t>图5-3 永州市工业贸易中等专业学校学子赛项获奖证书</w:t>
        <w:tab/>
      </w:r>
      <w:r>
        <w:rPr>
          <w:rFonts w:ascii="楷体" w:eastAsia="楷体"/>
        </w:rPr>
        <w:fldChar w:fldCharType="begin"/>
      </w:r>
      <w:r>
        <w:rPr>
          <w:rFonts w:ascii="楷体" w:eastAsia="楷体"/>
        </w:rPr>
        <w:instrText xml:space="preserve"> PAGEREF _Toc218688650 \h </w:instrText>
      </w:r>
      <w:r>
        <w:rPr>
          <w:rFonts w:ascii="楷体" w:eastAsia="楷体"/>
        </w:rPr>
        <w:fldChar w:fldCharType="separate"/>
      </w:r>
      <w:r>
        <w:rPr>
          <w:rFonts w:ascii="楷体" w:eastAsia="楷体"/>
        </w:rPr>
        <w:t>73</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"_Toc218688651" </w:instrText>
      </w:r>
      <w:r>
        <w:fldChar w:fldCharType="separate"/>
      </w:r>
      <w:r>
        <w:rPr>
          <w:rFonts w:ascii="楷体" w:eastAsia="楷体"/>
        </w:rPr>
        <w:t>图6-1 江永职中考察“政校企”合作单位</w:t>
        <w:tab/>
      </w:r>
      <w:r>
        <w:rPr>
          <w:rFonts w:ascii="楷体" w:eastAsia="楷体"/>
        </w:rPr>
        <w:fldChar w:fldCharType="begin"/>
      </w:r>
      <w:r>
        <w:rPr>
          <w:rFonts w:ascii="楷体" w:eastAsia="楷体"/>
        </w:rPr>
        <w:instrText xml:space="preserve"> PAGEREF _Toc218688651 \h </w:instrText>
      </w:r>
      <w:r>
        <w:rPr>
          <w:rFonts w:ascii="楷体" w:eastAsia="楷体"/>
        </w:rPr>
        <w:fldChar w:fldCharType="separate"/>
      </w:r>
      <w:r>
        <w:rPr>
          <w:rFonts w:ascii="楷体" w:eastAsia="楷体"/>
        </w:rPr>
        <w:t>75</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"_Toc218688652" </w:instrText>
      </w:r>
      <w:r>
        <w:fldChar w:fldCharType="separate"/>
      </w:r>
      <w:r>
        <w:rPr>
          <w:rFonts w:ascii="楷体" w:eastAsia="楷体"/>
        </w:rPr>
        <w:t>图6-2 祁阳职中“现代学徒制班”学生在生产性实训基地实训</w:t>
        <w:tab/>
      </w:r>
      <w:r>
        <w:rPr>
          <w:rFonts w:ascii="楷体" w:eastAsia="楷体"/>
        </w:rPr>
        <w:fldChar w:fldCharType="begin"/>
      </w:r>
      <w:r>
        <w:rPr>
          <w:rFonts w:ascii="楷体" w:eastAsia="楷体"/>
        </w:rPr>
        <w:instrText xml:space="preserve"> PAGEREF _Toc218688652 \h </w:instrText>
      </w:r>
      <w:r>
        <w:rPr>
          <w:rFonts w:ascii="楷体" w:eastAsia="楷体"/>
        </w:rPr>
        <w:fldChar w:fldCharType="separate"/>
      </w:r>
      <w:r>
        <w:rPr>
          <w:rFonts w:ascii="楷体" w:eastAsia="楷体"/>
        </w:rPr>
        <w:t>87</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"_Toc218688653" </w:instrText>
      </w:r>
      <w:r>
        <w:fldChar w:fldCharType="separate"/>
      </w:r>
      <w:r>
        <w:rPr>
          <w:rFonts w:ascii="楷体" w:eastAsia="楷体"/>
        </w:rPr>
        <w:t>图6-3 江华职中学生在瑶服生产性实训基地实训</w:t>
        <w:tab/>
      </w:r>
      <w:r>
        <w:rPr>
          <w:rFonts w:ascii="楷体" w:eastAsia="楷体"/>
        </w:rPr>
        <w:fldChar w:fldCharType="begin"/>
      </w:r>
      <w:r>
        <w:rPr>
          <w:rFonts w:ascii="楷体" w:eastAsia="楷体"/>
        </w:rPr>
        <w:instrText xml:space="preserve"> PAGEREF _Toc218688653 \h </w:instrText>
      </w:r>
      <w:r>
        <w:rPr>
          <w:rFonts w:ascii="楷体" w:eastAsia="楷体"/>
        </w:rPr>
        <w:fldChar w:fldCharType="separate"/>
      </w:r>
      <w:r>
        <w:rPr>
          <w:rFonts w:ascii="楷体" w:eastAsia="楷体"/>
        </w:rPr>
        <w:t>90</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"_Toc218688654" </w:instrText>
      </w:r>
      <w:r>
        <w:fldChar w:fldCharType="separate"/>
      </w:r>
      <w:r>
        <w:rPr>
          <w:rFonts w:ascii="楷体" w:eastAsia="楷体"/>
          <w:kern w:val="0"/>
        </w:rPr>
        <w:t>图7-1 永州工商职中奖学金发放现场</w:t>
      </w:r>
      <w:r>
        <w:rPr>
          <w:rFonts w:ascii="楷体" w:eastAsia="楷体"/>
        </w:rPr>
        <w:tab/>
      </w:r>
      <w:r>
        <w:rPr>
          <w:rFonts w:ascii="楷体" w:eastAsia="楷体"/>
        </w:rPr>
        <w:fldChar w:fldCharType="begin"/>
      </w:r>
      <w:r>
        <w:rPr>
          <w:rFonts w:ascii="楷体" w:eastAsia="楷体"/>
        </w:rPr>
        <w:instrText xml:space="preserve"> PAGEREF _Toc218688654 \h </w:instrText>
      </w:r>
      <w:r>
        <w:rPr>
          <w:rFonts w:ascii="楷体" w:eastAsia="楷体"/>
        </w:rPr>
        <w:fldChar w:fldCharType="separate"/>
      </w:r>
      <w:r>
        <w:rPr>
          <w:rFonts w:ascii="楷体" w:eastAsia="楷体"/>
        </w:rPr>
        <w:t>91</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"_Toc218688655" </w:instrText>
      </w:r>
      <w:r>
        <w:fldChar w:fldCharType="separate"/>
      </w:r>
      <w:r>
        <w:rPr>
          <w:rFonts w:ascii="楷体" w:eastAsia="楷体"/>
          <w:kern w:val="0"/>
        </w:rPr>
        <w:t>图7-2 江华职中瑶服瑶锦实训教学</w:t>
      </w:r>
      <w:r>
        <w:rPr>
          <w:rFonts w:ascii="楷体" w:eastAsia="楷体"/>
        </w:rPr>
        <w:tab/>
      </w:r>
      <w:r>
        <w:rPr>
          <w:rFonts w:ascii="楷体" w:eastAsia="楷体"/>
        </w:rPr>
        <w:fldChar w:fldCharType="begin"/>
      </w:r>
      <w:r>
        <w:rPr>
          <w:rFonts w:ascii="楷体" w:eastAsia="楷体"/>
        </w:rPr>
        <w:instrText xml:space="preserve"> PAGEREF _Toc218688655 \h </w:instrText>
      </w:r>
      <w:r>
        <w:rPr>
          <w:rFonts w:ascii="楷体" w:eastAsia="楷体"/>
        </w:rPr>
        <w:fldChar w:fldCharType="separate"/>
      </w:r>
      <w:r>
        <w:rPr>
          <w:rFonts w:ascii="楷体" w:eastAsia="楷体"/>
        </w:rPr>
        <w:t>92</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"_Toc218688656" </w:instrText>
      </w:r>
      <w:r>
        <w:fldChar w:fldCharType="separate"/>
      </w:r>
      <w:r>
        <w:rPr>
          <w:rFonts w:ascii="楷体" w:eastAsia="楷体"/>
          <w:kern w:val="0"/>
        </w:rPr>
        <w:t>图7-3 蓝山职中“精准送培到校”开班仪式</w:t>
      </w:r>
      <w:r>
        <w:rPr>
          <w:rFonts w:ascii="楷体" w:eastAsia="楷体"/>
        </w:rPr>
        <w:tab/>
      </w:r>
      <w:r>
        <w:rPr>
          <w:rFonts w:ascii="楷体" w:eastAsia="楷体"/>
        </w:rPr>
        <w:fldChar w:fldCharType="begin"/>
      </w:r>
      <w:r>
        <w:rPr>
          <w:rFonts w:ascii="楷体" w:eastAsia="楷体"/>
        </w:rPr>
        <w:instrText xml:space="preserve"> PAGEREF _Toc218688656 \h </w:instrText>
      </w:r>
      <w:r>
        <w:rPr>
          <w:rFonts w:ascii="楷体" w:eastAsia="楷体"/>
        </w:rPr>
        <w:fldChar w:fldCharType="separate"/>
      </w:r>
      <w:r>
        <w:rPr>
          <w:rFonts w:ascii="楷体" w:eastAsia="楷体"/>
        </w:rPr>
        <w:t>94</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"_Toc218688657" </w:instrText>
      </w:r>
      <w:r>
        <w:fldChar w:fldCharType="separate"/>
      </w:r>
      <w:r>
        <w:rPr>
          <w:rFonts w:ascii="楷体" w:eastAsia="楷体"/>
          <w:kern w:val="0"/>
        </w:rPr>
        <w:t>图7-4 江永职中引入女书传人胡诗婷开展女书文化进课堂</w:t>
      </w:r>
      <w:r>
        <w:rPr>
          <w:rFonts w:ascii="楷体" w:eastAsia="楷体"/>
        </w:rPr>
        <w:tab/>
      </w:r>
      <w:r>
        <w:rPr>
          <w:rFonts w:ascii="楷体" w:eastAsia="楷体"/>
        </w:rPr>
        <w:fldChar w:fldCharType="begin"/>
      </w:r>
      <w:r>
        <w:rPr>
          <w:rFonts w:ascii="楷体" w:eastAsia="楷体"/>
        </w:rPr>
        <w:instrText xml:space="preserve"> PAGEREF _Toc218688657 \h </w:instrText>
      </w:r>
      <w:r>
        <w:rPr>
          <w:rFonts w:ascii="楷体" w:eastAsia="楷体"/>
        </w:rPr>
        <w:fldChar w:fldCharType="separate"/>
      </w:r>
      <w:r>
        <w:rPr>
          <w:rFonts w:ascii="楷体" w:eastAsia="楷体"/>
        </w:rPr>
        <w:t>94</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"_Toc218688658" </w:instrText>
      </w:r>
      <w:r>
        <w:fldChar w:fldCharType="separate"/>
      </w:r>
      <w:r>
        <w:rPr>
          <w:rFonts w:ascii="楷体" w:eastAsia="楷体"/>
        </w:rPr>
        <w:t>图7-5 东安职中2025年与东安县雄雉食品有限公司打造东安鸡实训基地</w:t>
        <w:tab/>
      </w:r>
      <w:r>
        <w:rPr>
          <w:rFonts w:ascii="楷体" w:eastAsia="楷体"/>
        </w:rPr>
        <w:fldChar w:fldCharType="begin"/>
      </w:r>
      <w:r>
        <w:rPr>
          <w:rFonts w:ascii="楷体" w:eastAsia="楷体"/>
        </w:rPr>
        <w:instrText xml:space="preserve"> PAGEREF _Toc218688658 \h </w:instrText>
      </w:r>
      <w:r>
        <w:rPr>
          <w:rFonts w:ascii="楷体" w:eastAsia="楷体"/>
        </w:rPr>
        <w:fldChar w:fldCharType="separate"/>
      </w:r>
      <w:r>
        <w:rPr>
          <w:rFonts w:ascii="楷体" w:eastAsia="楷体"/>
        </w:rPr>
        <w:t>96</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"_Toc218688659" </w:instrText>
      </w:r>
      <w:r>
        <w:fldChar w:fldCharType="separate"/>
      </w:r>
      <w:r>
        <w:rPr>
          <w:rFonts w:ascii="楷体" w:eastAsia="楷体"/>
        </w:rPr>
        <w:t>图7-6 祁阳职中电商学生助力油菜花节现场</w:t>
        <w:tab/>
      </w:r>
      <w:r>
        <w:rPr>
          <w:rFonts w:ascii="楷体" w:eastAsia="楷体"/>
        </w:rPr>
        <w:fldChar w:fldCharType="begin"/>
      </w:r>
      <w:r>
        <w:rPr>
          <w:rFonts w:ascii="楷体" w:eastAsia="楷体"/>
        </w:rPr>
        <w:instrText xml:space="preserve"> PAGEREF _Toc218688659 \h </w:instrText>
      </w:r>
      <w:r>
        <w:rPr>
          <w:rFonts w:ascii="楷体" w:eastAsia="楷体"/>
        </w:rPr>
        <w:fldChar w:fldCharType="separate"/>
      </w:r>
      <w:r>
        <w:rPr>
          <w:rFonts w:ascii="楷体" w:eastAsia="楷体"/>
        </w:rPr>
        <w:t>98</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"_Toc218688660" </w:instrText>
      </w:r>
      <w:r>
        <w:fldChar w:fldCharType="separate"/>
      </w:r>
      <w:r>
        <w:rPr>
          <w:rFonts w:ascii="楷体" w:eastAsia="楷体"/>
          <w:kern w:val="0"/>
        </w:rPr>
        <w:t>图7-7 永州工贸学校2025年校园招聘会现场</w:t>
      </w:r>
      <w:r>
        <w:rPr>
          <w:rFonts w:ascii="楷体" w:eastAsia="楷体"/>
        </w:rPr>
        <w:tab/>
      </w:r>
      <w:r>
        <w:rPr>
          <w:rFonts w:ascii="楷体" w:eastAsia="楷体"/>
        </w:rPr>
        <w:fldChar w:fldCharType="begin"/>
      </w:r>
      <w:r>
        <w:rPr>
          <w:rFonts w:ascii="楷体" w:eastAsia="楷体"/>
        </w:rPr>
        <w:instrText xml:space="preserve"> PAGEREF _Toc218688660 \h </w:instrText>
      </w:r>
      <w:r>
        <w:rPr>
          <w:rFonts w:ascii="楷体" w:eastAsia="楷体"/>
        </w:rPr>
        <w:fldChar w:fldCharType="separate"/>
      </w:r>
      <w:r>
        <w:rPr>
          <w:rFonts w:ascii="楷体" w:eastAsia="楷体"/>
        </w:rPr>
        <w:t>99</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"_Toc218688661" </w:instrText>
      </w:r>
      <w:r>
        <w:fldChar w:fldCharType="separate"/>
      </w:r>
      <w:r>
        <w:rPr>
          <w:rFonts w:ascii="楷体" w:eastAsia="楷体"/>
        </w:rPr>
        <w:t>图7-8 江华职中“政法五老”法制讲座</w:t>
        <w:tab/>
      </w:r>
      <w:r>
        <w:rPr>
          <w:rFonts w:ascii="楷体" w:eastAsia="楷体"/>
        </w:rPr>
        <w:fldChar w:fldCharType="begin"/>
      </w:r>
      <w:r>
        <w:rPr>
          <w:rFonts w:ascii="楷体" w:eastAsia="楷体"/>
        </w:rPr>
        <w:instrText xml:space="preserve"> PAGEREF _Toc218688661 \h </w:instrText>
      </w:r>
      <w:r>
        <w:rPr>
          <w:rFonts w:ascii="楷体" w:eastAsia="楷体"/>
        </w:rPr>
        <w:fldChar w:fldCharType="separate"/>
      </w:r>
      <w:r>
        <w:rPr>
          <w:rFonts w:ascii="楷体" w:eastAsia="楷体"/>
        </w:rPr>
        <w:t>101</w:t>
      </w:r>
      <w:r>
        <w:rPr>
          <w:rFonts w:ascii="楷体" w:eastAsia="楷体"/>
        </w:rPr>
        <w:fldChar w:fldCharType="end"/>
      </w:r>
      <w:r>
        <w:rPr>
          <w:rFonts w:ascii="楷体" w:eastAsia="楷体"/>
        </w:rPr>
        <w:fldChar w:fldCharType="end"/>
      </w:r>
    </w:p>
    <w:p>
      <w:pPr>
        <w:pStyle w:val="17"/>
        <w:tabs>
          <w:tab w:val="right" w:leader="dot" w:pos="8296"/>
        </w:tabs>
        <w:ind w:leftChars="0" w:left="0"/>
        <w:rPr>
          <w:rFonts w:ascii="楷体" w:eastAsia="楷体"/>
        </w:rPr>
      </w:pPr>
      <w:r>
        <w:fldChar w:fldCharType="begin"/>
      </w:r>
      <w:r>
        <w:instrText xml:space="preserve"> HYPERLINK \l "_Toc218688662" </w:instrText>
      </w:r>
      <w:r>
        <w:fldChar w:fldCharType="separate"/>
      </w:r>
      <w:r>
        <w:rPr>
          <w:rFonts w:ascii="楷体" w:eastAsia="楷体"/>
        </w:rPr>
        <w:t>图7-9 永州工商职中2024年下期消防应急疏散演练</w:t>
        <w:tab/>
      </w:r>
      <w:r>
        <w:rPr>
          <w:rFonts w:ascii="楷体" w:eastAsia="楷体"/>
        </w:rPr>
        <w:fldChar w:fldCharType="begin"/>
      </w:r>
      <w:r>
        <w:rPr>
          <w:rFonts w:ascii="楷体" w:eastAsia="楷体"/>
        </w:rPr>
        <w:instrText xml:space="preserve"> PAGEREF _Toc218688662 \h </w:instrText>
      </w:r>
      <w:r>
        <w:rPr>
          <w:rFonts w:ascii="楷体" w:eastAsia="楷体"/>
        </w:rPr>
        <w:fldChar w:fldCharType="separate"/>
      </w:r>
      <w:r>
        <w:rPr>
          <w:rFonts w:ascii="楷体" w:eastAsia="楷体"/>
        </w:rPr>
        <w:t>102</w:t>
      </w:r>
      <w:r>
        <w:rPr>
          <w:rFonts w:ascii="楷体" w:eastAsia="楷体"/>
        </w:rPr>
        <w:fldChar w:fldCharType="end"/>
      </w:r>
      <w:r>
        <w:rPr>
          <w:rFonts w:ascii="楷体" w:eastAsia="楷体"/>
        </w:rPr>
        <w:fldChar w:fldCharType="end"/>
      </w:r>
    </w:p>
    <w:p>
      <w:pPr>
        <w:widowControl/>
        <w:jc w:val="center"/>
        <w:rPr>
          <w:rFonts w:ascii="方正小标宋简体" w:eastAsia="方正小标宋简体"/>
          <w:sz w:val="36"/>
          <w:szCs w:val="36"/>
        </w:rPr>
      </w:pPr>
      <w:r>
        <w:rPr>
          <w:rFonts w:ascii="楷体" w:eastAsia="楷体"/>
          <w:szCs w:val="21"/>
        </w:rPr>
        <w:fldChar w:fldCharType="end"/>
      </w:r>
      <w:r>
        <w:rPr>
          <w:rFonts w:ascii="方正小标宋简体" w:eastAsia="方正小标宋简体" w:hint="eastAsia"/>
          <w:color w:val="002060"/>
          <w:sz w:val="36"/>
          <w:szCs w:val="36"/>
        </w:rPr>
        <w:t>表目录</w:t>
      </w:r>
    </w:p>
    <w:p>
      <w:pPr>
        <w:widowControl/>
        <w:jc w:val="center"/>
        <w:rPr>
          <w:rFonts w:ascii="方正小标宋简体" w:eastAsia="方正小标宋简体"/>
          <w:sz w:val="36"/>
          <w:szCs w:val="36"/>
        </w:rPr>
      </w:pPr>
    </w:p>
    <w:p>
      <w:pPr>
        <w:pStyle w:val="21"/>
        <w:tabs>
          <w:tab w:val="right" w:leader="dot" w:pos="8296"/>
        </w:tabs>
        <w:rPr>
          <w:rFonts w:ascii="楷体" w:eastAsia="楷体"/>
        </w:rPr>
      </w:pPr>
      <w:r>
        <w:rPr>
          <w:rFonts w:ascii="楷体" w:eastAsia="楷体"/>
          <w:szCs w:val="21"/>
        </w:rPr>
        <w:fldChar w:fldCharType="begin"/>
      </w:r>
      <w:r>
        <w:rPr>
          <w:rFonts w:ascii="楷体" w:eastAsia="楷体"/>
          <w:szCs w:val="21"/>
        </w:rPr>
        <w:instrText xml:space="preserve"> TOC \o "4-4" \h \z \u </w:instrText>
      </w:r>
      <w:r>
        <w:rPr>
          <w:rFonts w:ascii="楷体" w:eastAsia="楷体"/>
          <w:szCs w:val="21"/>
        </w:rPr>
        <w:fldChar w:fldCharType="separate"/>
      </w:r>
      <w:r>
        <w:fldChar w:fldCharType="begin"/>
      </w:r>
      <w:r>
        <w:instrText xml:space="preserve"> HYPERLINK \l "_Toc218688663" </w:instrText>
      </w:r>
      <w:r>
        <w:fldChar w:fldCharType="separate"/>
      </w:r>
      <w:r>
        <w:rPr>
          <w:rFonts w:ascii="楷体" w:eastAsia="楷体"/>
          <w:kern w:val="0"/>
          <w:shd w:val="clear" w:color="auto" w:fill="FFFFFF"/>
        </w:rPr>
        <w:t>表1-1 2024-2025 年核心数据对比表</w:t>
      </w:r>
      <w:r>
        <w:rPr>
          <w:rFonts w:ascii="楷体" w:eastAsia="楷体"/>
        </w:rPr>
        <w:tab/>
      </w:r>
      <w:r>
        <w:rPr>
          <w:rFonts w:ascii="楷体" w:eastAsia="楷体"/>
        </w:rPr>
        <w:fldChar w:fldCharType="begin"/>
      </w:r>
      <w:r>
        <w:rPr>
          <w:rFonts w:ascii="楷体" w:eastAsia="楷体"/>
        </w:rPr>
        <w:instrText xml:space="preserve"> PAGEREF _Toc218688663 \h </w:instrText>
      </w:r>
      <w:r>
        <w:rPr>
          <w:rFonts w:ascii="楷体" w:eastAsia="楷体"/>
        </w:rPr>
        <w:fldChar w:fldCharType="separate"/>
      </w:r>
      <w:r>
        <w:rPr>
          <w:rFonts w:ascii="楷体" w:eastAsia="楷体"/>
        </w:rPr>
        <w:t>11</w:t>
      </w:r>
      <w:r>
        <w:rPr>
          <w:rFonts w:ascii="楷体" w:eastAsia="楷体"/>
        </w:rPr>
        <w:fldChar w:fldCharType="end"/>
      </w:r>
      <w:r>
        <w:rPr>
          <w:rFonts w:ascii="楷体" w:eastAsia="楷体"/>
        </w:rPr>
        <w:fldChar w:fldCharType="end"/>
      </w:r>
    </w:p>
    <w:p>
      <w:pPr>
        <w:pStyle w:val="21"/>
        <w:tabs>
          <w:tab w:val="right" w:leader="dot" w:pos="8296"/>
        </w:tabs>
        <w:rPr>
          <w:rFonts w:ascii="楷体" w:eastAsia="楷体"/>
        </w:rPr>
      </w:pPr>
      <w:r>
        <w:fldChar w:fldCharType="begin"/>
      </w:r>
      <w:r>
        <w:instrText xml:space="preserve"> HYPERLINK \l "_Toc218688664" </w:instrText>
      </w:r>
      <w:r>
        <w:fldChar w:fldCharType="separate"/>
      </w:r>
      <w:r>
        <w:rPr>
          <w:rFonts w:ascii="楷体" w:eastAsia="楷体"/>
          <w:kern w:val="0"/>
          <w:shd w:val="clear" w:color="auto" w:fill="FFFFFF"/>
        </w:rPr>
        <w:t>表2-1永州市部分中职学校2025年技能竞赛获奖情况表</w:t>
      </w:r>
      <w:r>
        <w:rPr>
          <w:rFonts w:ascii="楷体" w:eastAsia="楷体"/>
        </w:rPr>
        <w:tab/>
      </w:r>
      <w:r>
        <w:rPr>
          <w:rFonts w:ascii="楷体" w:eastAsia="楷体"/>
        </w:rPr>
        <w:fldChar w:fldCharType="begin"/>
      </w:r>
      <w:r>
        <w:rPr>
          <w:rFonts w:ascii="楷体" w:eastAsia="楷体"/>
        </w:rPr>
        <w:instrText xml:space="preserve"> PAGEREF _Toc218688664 \h </w:instrText>
      </w:r>
      <w:r>
        <w:rPr>
          <w:rFonts w:ascii="楷体" w:eastAsia="楷体"/>
        </w:rPr>
        <w:fldChar w:fldCharType="separate"/>
      </w:r>
      <w:r>
        <w:rPr>
          <w:rFonts w:ascii="楷体" w:eastAsia="楷体"/>
        </w:rPr>
        <w:t>26</w:t>
      </w:r>
      <w:r>
        <w:rPr>
          <w:rFonts w:ascii="楷体" w:eastAsia="楷体"/>
        </w:rPr>
        <w:fldChar w:fldCharType="end"/>
      </w:r>
      <w:r>
        <w:rPr>
          <w:rFonts w:ascii="楷体" w:eastAsia="楷体"/>
        </w:rPr>
        <w:fldChar w:fldCharType="end"/>
      </w:r>
    </w:p>
    <w:p>
      <w:pPr>
        <w:pStyle w:val="21"/>
        <w:tabs>
          <w:tab w:val="right" w:leader="dot" w:pos="8296"/>
        </w:tabs>
        <w:rPr>
          <w:rFonts w:ascii="楷体" w:eastAsia="楷体"/>
        </w:rPr>
      </w:pPr>
      <w:r>
        <w:fldChar w:fldCharType="begin"/>
      </w:r>
      <w:r>
        <w:instrText xml:space="preserve"> HYPERLINK \l "_Toc218688665" </w:instrText>
      </w:r>
      <w:r>
        <w:fldChar w:fldCharType="separate"/>
      </w:r>
      <w:r>
        <w:rPr>
          <w:rFonts w:ascii="楷体" w:eastAsia="楷体"/>
          <w:kern w:val="0"/>
          <w:shd w:val="clear" w:color="auto" w:fill="FFFFFF"/>
        </w:rPr>
        <w:t>表2-2永州市部分中职学校2025年职业培训开展情况表</w:t>
      </w:r>
      <w:r>
        <w:rPr>
          <w:rFonts w:ascii="楷体" w:eastAsia="楷体"/>
        </w:rPr>
        <w:tab/>
      </w:r>
      <w:r>
        <w:rPr>
          <w:rFonts w:ascii="楷体" w:eastAsia="楷体"/>
        </w:rPr>
        <w:fldChar w:fldCharType="begin"/>
      </w:r>
      <w:r>
        <w:rPr>
          <w:rFonts w:ascii="楷体" w:eastAsia="楷体"/>
        </w:rPr>
        <w:instrText xml:space="preserve"> PAGEREF _Toc218688665 \h </w:instrText>
      </w:r>
      <w:r>
        <w:rPr>
          <w:rFonts w:ascii="楷体" w:eastAsia="楷体"/>
        </w:rPr>
        <w:fldChar w:fldCharType="separate"/>
      </w:r>
      <w:r>
        <w:rPr>
          <w:rFonts w:ascii="楷体" w:eastAsia="楷体"/>
        </w:rPr>
        <w:t>30</w:t>
      </w:r>
      <w:r>
        <w:rPr>
          <w:rFonts w:ascii="楷体" w:eastAsia="楷体"/>
        </w:rPr>
        <w:fldChar w:fldCharType="end"/>
      </w:r>
      <w:r>
        <w:rPr>
          <w:rFonts w:ascii="楷体" w:eastAsia="楷体"/>
        </w:rPr>
        <w:fldChar w:fldCharType="end"/>
      </w:r>
    </w:p>
    <w:p>
      <w:pPr>
        <w:pStyle w:val="21"/>
        <w:tabs>
          <w:tab w:val="right" w:leader="dot" w:pos="8296"/>
        </w:tabs>
        <w:rPr>
          <w:rFonts w:ascii="楷体" w:eastAsia="楷体"/>
        </w:rPr>
      </w:pPr>
      <w:r>
        <w:fldChar w:fldCharType="begin"/>
      </w:r>
      <w:r>
        <w:instrText xml:space="preserve"> HYPERLINK \l "_Toc218688666" </w:instrText>
      </w:r>
      <w:r>
        <w:fldChar w:fldCharType="separate"/>
      </w:r>
      <w:r>
        <w:rPr>
          <w:rFonts w:ascii="楷体" w:eastAsia="楷体"/>
          <w:kern w:val="0"/>
          <w:shd w:val="clear" w:color="auto" w:fill="FFFFFF"/>
        </w:rPr>
        <w:t>表2-3永州市部分中职学校2025届毕业生质量跟踪核心数据</w:t>
      </w:r>
      <w:r>
        <w:rPr>
          <w:rFonts w:ascii="楷体" w:eastAsia="楷体"/>
        </w:rPr>
        <w:tab/>
      </w:r>
      <w:r>
        <w:rPr>
          <w:rFonts w:ascii="楷体" w:eastAsia="楷体"/>
        </w:rPr>
        <w:fldChar w:fldCharType="begin"/>
      </w:r>
      <w:r>
        <w:rPr>
          <w:rFonts w:ascii="楷体" w:eastAsia="楷体"/>
        </w:rPr>
        <w:instrText xml:space="preserve"> PAGEREF _Toc218688666 \h </w:instrText>
      </w:r>
      <w:r>
        <w:rPr>
          <w:rFonts w:ascii="楷体" w:eastAsia="楷体"/>
        </w:rPr>
        <w:fldChar w:fldCharType="separate"/>
      </w:r>
      <w:r>
        <w:rPr>
          <w:rFonts w:ascii="楷体" w:eastAsia="楷体"/>
        </w:rPr>
        <w:t>33</w:t>
      </w:r>
      <w:r>
        <w:rPr>
          <w:rFonts w:ascii="楷体" w:eastAsia="楷体"/>
        </w:rPr>
        <w:fldChar w:fldCharType="end"/>
      </w:r>
      <w:r>
        <w:rPr>
          <w:rFonts w:ascii="楷体" w:eastAsia="楷体"/>
        </w:rPr>
        <w:fldChar w:fldCharType="end"/>
      </w:r>
    </w:p>
    <w:p>
      <w:pPr>
        <w:pStyle w:val="21"/>
        <w:tabs>
          <w:tab w:val="right" w:leader="dot" w:pos="8296"/>
        </w:tabs>
        <w:rPr>
          <w:rFonts w:ascii="楷体" w:eastAsia="楷体"/>
        </w:rPr>
      </w:pPr>
      <w:r>
        <w:fldChar w:fldCharType="begin"/>
      </w:r>
      <w:r>
        <w:instrText xml:space="preserve"> HYPERLINK \l "_Toc218688667" </w:instrText>
      </w:r>
      <w:r>
        <w:fldChar w:fldCharType="separate"/>
      </w:r>
      <w:r>
        <w:rPr>
          <w:rFonts w:ascii="楷体" w:eastAsia="楷体"/>
          <w:kern w:val="0"/>
          <w:shd w:val="clear" w:color="auto" w:fill="FFFFFF"/>
        </w:rPr>
        <w:t>表3-1 永州市中职学校与高职院校衔接合作情况表</w:t>
      </w:r>
      <w:r>
        <w:rPr>
          <w:rFonts w:ascii="楷体" w:eastAsia="楷体"/>
        </w:rPr>
        <w:tab/>
      </w:r>
      <w:r>
        <w:rPr>
          <w:rFonts w:ascii="楷体" w:eastAsia="楷体"/>
        </w:rPr>
        <w:fldChar w:fldCharType="begin"/>
      </w:r>
      <w:r>
        <w:rPr>
          <w:rFonts w:ascii="楷体" w:eastAsia="楷体"/>
        </w:rPr>
        <w:instrText xml:space="preserve"> PAGEREF _Toc218688667 \h </w:instrText>
      </w:r>
      <w:r>
        <w:rPr>
          <w:rFonts w:ascii="楷体" w:eastAsia="楷体"/>
        </w:rPr>
        <w:fldChar w:fldCharType="separate"/>
      </w:r>
      <w:r>
        <w:rPr>
          <w:rFonts w:ascii="楷体" w:eastAsia="楷体"/>
        </w:rPr>
        <w:t>43</w:t>
      </w:r>
      <w:r>
        <w:rPr>
          <w:rFonts w:ascii="楷体" w:eastAsia="楷体"/>
        </w:rPr>
        <w:fldChar w:fldCharType="end"/>
      </w:r>
      <w:r>
        <w:rPr>
          <w:rFonts w:ascii="楷体" w:eastAsia="楷体"/>
        </w:rPr>
        <w:fldChar w:fldCharType="end"/>
      </w:r>
    </w:p>
    <w:p>
      <w:pPr>
        <w:pStyle w:val="21"/>
        <w:tabs>
          <w:tab w:val="right" w:leader="dot" w:pos="8296"/>
        </w:tabs>
        <w:rPr>
          <w:rFonts w:ascii="楷体" w:eastAsia="楷体"/>
        </w:rPr>
      </w:pPr>
      <w:r>
        <w:fldChar w:fldCharType="begin"/>
      </w:r>
      <w:r>
        <w:instrText xml:space="preserve"> HYPERLINK \l "_Toc218688668" </w:instrText>
      </w:r>
      <w:r>
        <w:fldChar w:fldCharType="separate"/>
      </w:r>
      <w:r>
        <w:rPr>
          <w:rFonts w:ascii="楷体" w:eastAsia="楷体"/>
          <w:kern w:val="0"/>
          <w:shd w:val="clear" w:color="auto" w:fill="FFFFFF"/>
        </w:rPr>
        <w:t>表4-1 2025年永州市部分中职学校工匠精神培育特色举措一览表</w:t>
      </w:r>
      <w:r>
        <w:rPr>
          <w:rFonts w:ascii="楷体" w:eastAsia="楷体"/>
        </w:rPr>
        <w:tab/>
      </w:r>
      <w:r>
        <w:rPr>
          <w:rFonts w:ascii="楷体" w:eastAsia="楷体"/>
        </w:rPr>
        <w:fldChar w:fldCharType="begin"/>
      </w:r>
      <w:r>
        <w:rPr>
          <w:rFonts w:ascii="楷体" w:eastAsia="楷体"/>
        </w:rPr>
        <w:instrText xml:space="preserve"> PAGEREF _Toc218688668 \h </w:instrText>
      </w:r>
      <w:r>
        <w:rPr>
          <w:rFonts w:ascii="楷体" w:eastAsia="楷体"/>
        </w:rPr>
        <w:fldChar w:fldCharType="separate"/>
      </w:r>
      <w:r>
        <w:rPr>
          <w:rFonts w:ascii="楷体" w:eastAsia="楷体"/>
        </w:rPr>
        <w:t>48</w:t>
      </w:r>
      <w:r>
        <w:rPr>
          <w:rFonts w:ascii="楷体" w:eastAsia="楷体"/>
        </w:rPr>
        <w:fldChar w:fldCharType="end"/>
      </w:r>
      <w:r>
        <w:rPr>
          <w:rFonts w:ascii="楷体" w:eastAsia="楷体"/>
        </w:rPr>
        <w:fldChar w:fldCharType="end"/>
      </w:r>
    </w:p>
    <w:p>
      <w:pPr>
        <w:pStyle w:val="21"/>
        <w:tabs>
          <w:tab w:val="right" w:leader="dot" w:pos="8296"/>
        </w:tabs>
        <w:rPr>
          <w:rFonts w:ascii="楷体" w:eastAsia="楷体"/>
        </w:rPr>
      </w:pPr>
      <w:r>
        <w:fldChar w:fldCharType="begin"/>
      </w:r>
      <w:r>
        <w:instrText xml:space="preserve"> HYPERLINK \l "_Toc218688669" </w:instrText>
      </w:r>
      <w:r>
        <w:fldChar w:fldCharType="separate"/>
      </w:r>
      <w:r>
        <w:rPr>
          <w:rFonts w:ascii="楷体" w:eastAsia="楷体"/>
          <w:kern w:val="0"/>
          <w:shd w:val="clear" w:color="auto" w:fill="FFFFFF"/>
        </w:rPr>
        <w:t>表4-2 2025年永州市中职学校主要非遗/传统文化传承项目融合情况</w:t>
      </w:r>
      <w:r>
        <w:rPr>
          <w:rFonts w:ascii="楷体" w:eastAsia="楷体"/>
        </w:rPr>
        <w:tab/>
      </w:r>
      <w:r>
        <w:rPr>
          <w:rFonts w:ascii="楷体" w:eastAsia="楷体"/>
        </w:rPr>
        <w:fldChar w:fldCharType="begin"/>
      </w:r>
      <w:r>
        <w:rPr>
          <w:rFonts w:ascii="楷体" w:eastAsia="楷体"/>
        </w:rPr>
        <w:instrText xml:space="preserve"> PAGEREF _Toc218688669 \h </w:instrText>
      </w:r>
      <w:r>
        <w:rPr>
          <w:rFonts w:ascii="楷体" w:eastAsia="楷体"/>
        </w:rPr>
        <w:fldChar w:fldCharType="separate"/>
      </w:r>
      <w:r>
        <w:rPr>
          <w:rFonts w:ascii="楷体" w:eastAsia="楷体"/>
        </w:rPr>
        <w:t>55</w:t>
      </w:r>
      <w:r>
        <w:rPr>
          <w:rFonts w:ascii="楷体" w:eastAsia="楷体"/>
        </w:rPr>
        <w:fldChar w:fldCharType="end"/>
      </w:r>
      <w:r>
        <w:rPr>
          <w:rFonts w:ascii="楷体" w:eastAsia="楷体"/>
        </w:rPr>
        <w:fldChar w:fldCharType="end"/>
      </w:r>
    </w:p>
    <w:p>
      <w:pPr>
        <w:pStyle w:val="21"/>
        <w:tabs>
          <w:tab w:val="right" w:leader="dot" w:pos="8296"/>
        </w:tabs>
        <w:rPr>
          <w:rFonts w:ascii="楷体" w:eastAsia="楷体"/>
        </w:rPr>
      </w:pPr>
      <w:r>
        <w:fldChar w:fldCharType="begin"/>
      </w:r>
      <w:r>
        <w:instrText xml:space="preserve"> HYPERLINK \l "_Toc218688670" </w:instrText>
      </w:r>
      <w:r>
        <w:fldChar w:fldCharType="separate"/>
      </w:r>
      <w:r>
        <w:rPr>
          <w:rFonts w:ascii="楷体" w:eastAsia="楷体"/>
        </w:rPr>
        <w:t>表5-1 师生参与国际赛事获奖情况统计表</w:t>
        <w:tab/>
      </w:r>
      <w:r>
        <w:rPr>
          <w:rFonts w:ascii="楷体" w:eastAsia="楷体"/>
        </w:rPr>
        <w:fldChar w:fldCharType="begin"/>
      </w:r>
      <w:r>
        <w:rPr>
          <w:rFonts w:ascii="楷体" w:eastAsia="楷体"/>
        </w:rPr>
        <w:instrText xml:space="preserve"> PAGEREF _Toc218688670 \h </w:instrText>
      </w:r>
      <w:r>
        <w:rPr>
          <w:rFonts w:ascii="楷体" w:eastAsia="楷体"/>
        </w:rPr>
        <w:fldChar w:fldCharType="separate"/>
      </w:r>
      <w:r>
        <w:rPr>
          <w:rFonts w:ascii="楷体" w:eastAsia="楷体"/>
        </w:rPr>
        <w:t>71</w:t>
      </w:r>
      <w:r>
        <w:rPr>
          <w:rFonts w:ascii="楷体" w:eastAsia="楷体"/>
        </w:rPr>
        <w:fldChar w:fldCharType="end"/>
      </w:r>
      <w:r>
        <w:rPr>
          <w:rFonts w:ascii="楷体" w:eastAsia="楷体"/>
        </w:rPr>
        <w:fldChar w:fldCharType="end"/>
      </w:r>
    </w:p>
    <w:p>
      <w:pPr>
        <w:pStyle w:val="21"/>
        <w:tabs>
          <w:tab w:val="right" w:leader="dot" w:pos="8296"/>
        </w:tabs>
        <w:rPr>
          <w:rFonts w:ascii="楷体" w:eastAsia="楷体"/>
        </w:rPr>
      </w:pPr>
      <w:r>
        <w:fldChar w:fldCharType="begin"/>
      </w:r>
      <w:r>
        <w:instrText xml:space="preserve"> HYPERLINK \l "_Toc218688671" </w:instrText>
      </w:r>
      <w:r>
        <w:fldChar w:fldCharType="separate"/>
      </w:r>
      <w:r>
        <w:rPr>
          <w:rFonts w:ascii="楷体" w:eastAsia="楷体" w:cs="宋体"/>
          <w:kern w:val="0"/>
        </w:rPr>
        <w:t>表9-1 人才培养质量计分表</w:t>
      </w:r>
      <w:r>
        <w:rPr>
          <w:rFonts w:ascii="楷体" w:eastAsia="楷体"/>
        </w:rPr>
        <w:tab/>
      </w:r>
      <w:r>
        <w:rPr>
          <w:rFonts w:ascii="楷体" w:eastAsia="楷体"/>
        </w:rPr>
        <w:fldChar w:fldCharType="begin"/>
      </w:r>
      <w:r>
        <w:rPr>
          <w:rFonts w:ascii="楷体" w:eastAsia="楷体"/>
        </w:rPr>
        <w:instrText xml:space="preserve"> PAGEREF _Toc218688671 \h </w:instrText>
      </w:r>
      <w:r>
        <w:rPr>
          <w:rFonts w:ascii="楷体" w:eastAsia="楷体"/>
        </w:rPr>
        <w:fldChar w:fldCharType="separate"/>
      </w:r>
      <w:r>
        <w:rPr>
          <w:rFonts w:ascii="楷体" w:eastAsia="楷体"/>
        </w:rPr>
        <w:t>107</w:t>
      </w:r>
      <w:r>
        <w:rPr>
          <w:rFonts w:ascii="楷体" w:eastAsia="楷体"/>
        </w:rPr>
        <w:fldChar w:fldCharType="end"/>
      </w:r>
      <w:r>
        <w:rPr>
          <w:rFonts w:ascii="楷体" w:eastAsia="楷体"/>
        </w:rPr>
        <w:fldChar w:fldCharType="end"/>
      </w:r>
    </w:p>
    <w:p>
      <w:pPr>
        <w:pStyle w:val="21"/>
        <w:tabs>
          <w:tab w:val="right" w:leader="dot" w:pos="8296"/>
        </w:tabs>
        <w:rPr>
          <w:rFonts w:ascii="楷体" w:eastAsia="楷体"/>
        </w:rPr>
      </w:pPr>
      <w:r>
        <w:fldChar w:fldCharType="begin"/>
      </w:r>
      <w:r>
        <w:instrText xml:space="preserve"> HYPERLINK \l "_Toc218688672" </w:instrText>
      </w:r>
      <w:r>
        <w:fldChar w:fldCharType="separate"/>
      </w:r>
      <w:r>
        <w:rPr>
          <w:rFonts w:ascii="楷体" w:eastAsia="楷体" w:cs="宋体"/>
          <w:kern w:val="0"/>
        </w:rPr>
        <w:t>表9-2 满意度调查表</w:t>
      </w:r>
      <w:r>
        <w:rPr>
          <w:rFonts w:ascii="楷体" w:eastAsia="楷体"/>
        </w:rPr>
        <w:tab/>
      </w:r>
      <w:r>
        <w:rPr>
          <w:rFonts w:ascii="楷体" w:eastAsia="楷体"/>
        </w:rPr>
        <w:fldChar w:fldCharType="begin"/>
      </w:r>
      <w:r>
        <w:rPr>
          <w:rFonts w:ascii="楷体" w:eastAsia="楷体"/>
        </w:rPr>
        <w:instrText xml:space="preserve"> PAGEREF _Toc218688672 \h </w:instrText>
      </w:r>
      <w:r>
        <w:rPr>
          <w:rFonts w:ascii="楷体" w:eastAsia="楷体"/>
        </w:rPr>
        <w:fldChar w:fldCharType="separate"/>
      </w:r>
      <w:r>
        <w:rPr>
          <w:rFonts w:ascii="楷体" w:eastAsia="楷体"/>
        </w:rPr>
        <w:t>107</w:t>
      </w:r>
      <w:r>
        <w:rPr>
          <w:rFonts w:ascii="楷体" w:eastAsia="楷体"/>
        </w:rPr>
        <w:fldChar w:fldCharType="end"/>
      </w:r>
      <w:r>
        <w:rPr>
          <w:rFonts w:ascii="楷体" w:eastAsia="楷体"/>
        </w:rPr>
        <w:fldChar w:fldCharType="end"/>
      </w:r>
    </w:p>
    <w:p>
      <w:pPr>
        <w:pStyle w:val="21"/>
        <w:tabs>
          <w:tab w:val="right" w:leader="dot" w:pos="8296"/>
        </w:tabs>
        <w:rPr>
          <w:rFonts w:ascii="楷体" w:eastAsia="楷体"/>
        </w:rPr>
      </w:pPr>
      <w:r>
        <w:fldChar w:fldCharType="begin"/>
      </w:r>
      <w:r>
        <w:instrText xml:space="preserve"> HYPERLINK \l "_Toc218688673" </w:instrText>
      </w:r>
      <w:r>
        <w:fldChar w:fldCharType="separate"/>
      </w:r>
      <w:r>
        <w:rPr>
          <w:rFonts w:ascii="楷体" w:eastAsia="楷体" w:cs="宋体"/>
          <w:kern w:val="0"/>
        </w:rPr>
        <w:t>表9-3 教学资源表</w:t>
      </w:r>
      <w:r>
        <w:rPr>
          <w:rFonts w:ascii="楷体" w:eastAsia="楷体"/>
        </w:rPr>
        <w:tab/>
      </w:r>
      <w:r>
        <w:rPr>
          <w:rFonts w:ascii="楷体" w:eastAsia="楷体"/>
        </w:rPr>
        <w:fldChar w:fldCharType="begin"/>
      </w:r>
      <w:r>
        <w:rPr>
          <w:rFonts w:ascii="楷体" w:eastAsia="楷体"/>
        </w:rPr>
        <w:instrText xml:space="preserve"> PAGEREF _Toc218688673 \h </w:instrText>
      </w:r>
      <w:r>
        <w:rPr>
          <w:rFonts w:ascii="楷体" w:eastAsia="楷体"/>
        </w:rPr>
        <w:fldChar w:fldCharType="separate"/>
      </w:r>
      <w:r>
        <w:rPr>
          <w:rFonts w:ascii="楷体" w:eastAsia="楷体"/>
        </w:rPr>
        <w:t>108</w:t>
      </w:r>
      <w:r>
        <w:rPr>
          <w:rFonts w:ascii="楷体" w:eastAsia="楷体"/>
        </w:rPr>
        <w:fldChar w:fldCharType="end"/>
      </w:r>
      <w:r>
        <w:rPr>
          <w:rFonts w:ascii="楷体" w:eastAsia="楷体"/>
        </w:rPr>
        <w:fldChar w:fldCharType="end"/>
      </w:r>
    </w:p>
    <w:p>
      <w:pPr>
        <w:pStyle w:val="21"/>
        <w:tabs>
          <w:tab w:val="right" w:leader="dot" w:pos="8296"/>
        </w:tabs>
        <w:rPr>
          <w:rFonts w:ascii="楷体" w:eastAsia="楷体"/>
        </w:rPr>
      </w:pPr>
      <w:r>
        <w:fldChar w:fldCharType="begin"/>
      </w:r>
      <w:r>
        <w:instrText xml:space="preserve"> HYPERLINK \l "_Toc218688674" </w:instrText>
      </w:r>
      <w:r>
        <w:fldChar w:fldCharType="separate"/>
      </w:r>
      <w:r>
        <w:rPr>
          <w:rFonts w:ascii="楷体" w:eastAsia="楷体" w:cs="宋体"/>
          <w:kern w:val="0"/>
        </w:rPr>
        <w:t>表9-4 服务贡献表</w:t>
      </w:r>
      <w:r>
        <w:rPr>
          <w:rFonts w:ascii="楷体" w:eastAsia="楷体"/>
        </w:rPr>
        <w:tab/>
      </w:r>
      <w:r>
        <w:rPr>
          <w:rFonts w:ascii="楷体" w:eastAsia="楷体"/>
        </w:rPr>
        <w:fldChar w:fldCharType="begin"/>
      </w:r>
      <w:r>
        <w:rPr>
          <w:rFonts w:ascii="楷体" w:eastAsia="楷体"/>
        </w:rPr>
        <w:instrText xml:space="preserve"> PAGEREF _Toc218688674 \h </w:instrText>
      </w:r>
      <w:r>
        <w:rPr>
          <w:rFonts w:ascii="楷体" w:eastAsia="楷体"/>
        </w:rPr>
        <w:fldChar w:fldCharType="separate"/>
      </w:r>
      <w:r>
        <w:rPr>
          <w:rFonts w:ascii="楷体" w:eastAsia="楷体"/>
        </w:rPr>
        <w:t>109</w:t>
      </w:r>
      <w:r>
        <w:rPr>
          <w:rFonts w:ascii="楷体" w:eastAsia="楷体"/>
        </w:rPr>
        <w:fldChar w:fldCharType="end"/>
      </w:r>
      <w:r>
        <w:rPr>
          <w:rFonts w:ascii="楷体" w:eastAsia="楷体"/>
        </w:rPr>
        <w:fldChar w:fldCharType="end"/>
      </w:r>
    </w:p>
    <w:p>
      <w:pPr>
        <w:pStyle w:val="21"/>
        <w:tabs>
          <w:tab w:val="right" w:leader="dot" w:pos="8296"/>
        </w:tabs>
        <w:rPr>
          <w:rFonts w:ascii="楷体" w:eastAsia="楷体"/>
        </w:rPr>
      </w:pPr>
      <w:r>
        <w:fldChar w:fldCharType="begin"/>
      </w:r>
      <w:r>
        <w:instrText xml:space="preserve"> HYPERLINK \l "_Toc218688675" </w:instrText>
      </w:r>
      <w:r>
        <w:fldChar w:fldCharType="separate"/>
      </w:r>
      <w:r>
        <w:rPr>
          <w:rFonts w:ascii="楷体" w:eastAsia="楷体" w:cs="宋体"/>
          <w:kern w:val="0"/>
        </w:rPr>
        <w:t>表9-5 国际影响表</w:t>
      </w:r>
      <w:r>
        <w:rPr>
          <w:rFonts w:ascii="楷体" w:eastAsia="楷体"/>
        </w:rPr>
        <w:tab/>
      </w:r>
      <w:r>
        <w:rPr>
          <w:rFonts w:ascii="楷体" w:eastAsia="楷体"/>
        </w:rPr>
        <w:fldChar w:fldCharType="begin"/>
      </w:r>
      <w:r>
        <w:rPr>
          <w:rFonts w:ascii="楷体" w:eastAsia="楷体"/>
        </w:rPr>
        <w:instrText xml:space="preserve"> PAGEREF _Toc218688675 \h </w:instrText>
      </w:r>
      <w:r>
        <w:rPr>
          <w:rFonts w:ascii="楷体" w:eastAsia="楷体"/>
        </w:rPr>
        <w:fldChar w:fldCharType="separate"/>
      </w:r>
      <w:r>
        <w:rPr>
          <w:rFonts w:ascii="楷体" w:eastAsia="楷体"/>
        </w:rPr>
        <w:t>110</w:t>
      </w:r>
      <w:r>
        <w:rPr>
          <w:rFonts w:ascii="楷体" w:eastAsia="楷体"/>
        </w:rPr>
        <w:fldChar w:fldCharType="end"/>
      </w:r>
      <w:r>
        <w:rPr>
          <w:rFonts w:ascii="楷体" w:eastAsia="楷体"/>
        </w:rPr>
        <w:fldChar w:fldCharType="end"/>
      </w:r>
    </w:p>
    <w:p>
      <w:pPr>
        <w:pStyle w:val="21"/>
        <w:tabs>
          <w:tab w:val="right" w:leader="dot" w:pos="8296"/>
        </w:tabs>
        <w:rPr>
          <w:rFonts w:ascii="楷体" w:eastAsia="楷体"/>
        </w:rPr>
      </w:pPr>
      <w:r>
        <w:fldChar w:fldCharType="begin"/>
      </w:r>
      <w:r>
        <w:instrText xml:space="preserve"> HYPERLINK \l "_Toc218688676" </w:instrText>
      </w:r>
      <w:r>
        <w:fldChar w:fldCharType="separate"/>
      </w:r>
      <w:r>
        <w:rPr>
          <w:rFonts w:ascii="楷体" w:eastAsia="楷体" w:cs="宋体"/>
          <w:kern w:val="0"/>
        </w:rPr>
        <w:t>表9-6 落实政策表</w:t>
      </w:r>
      <w:r>
        <w:rPr>
          <w:rFonts w:ascii="楷体" w:eastAsia="楷体"/>
        </w:rPr>
        <w:tab/>
      </w:r>
      <w:r>
        <w:rPr>
          <w:rFonts w:ascii="楷体" w:eastAsia="楷体"/>
        </w:rPr>
        <w:fldChar w:fldCharType="begin"/>
      </w:r>
      <w:r>
        <w:rPr>
          <w:rFonts w:ascii="楷体" w:eastAsia="楷体"/>
        </w:rPr>
        <w:instrText xml:space="preserve"> PAGEREF _Toc218688676 \h </w:instrText>
      </w:r>
      <w:r>
        <w:rPr>
          <w:rFonts w:ascii="楷体" w:eastAsia="楷体"/>
        </w:rPr>
        <w:fldChar w:fldCharType="separate"/>
      </w:r>
      <w:r>
        <w:rPr>
          <w:rFonts w:ascii="楷体" w:eastAsia="楷体"/>
        </w:rPr>
        <w:t>111</w:t>
      </w:r>
      <w:r>
        <w:rPr>
          <w:rFonts w:ascii="楷体" w:eastAsia="楷体"/>
        </w:rPr>
        <w:fldChar w:fldCharType="end"/>
      </w:r>
      <w:r>
        <w:rPr>
          <w:rFonts w:ascii="楷体" w:eastAsia="楷体"/>
        </w:rPr>
        <w:fldChar w:fldCharType="end"/>
      </w:r>
    </w:p>
    <w:p>
      <w:pPr>
        <w:widowControl/>
        <w:jc w:val="center"/>
        <w:rPr>
          <w:rFonts w:ascii="方正小标宋简体" w:eastAsia="方正小标宋简体"/>
          <w:sz w:val="36"/>
          <w:szCs w:val="36"/>
        </w:rPr>
      </w:pPr>
      <w:r>
        <w:rPr>
          <w:rFonts w:ascii="楷体" w:eastAsia="楷体"/>
          <w:szCs w:val="21"/>
        </w:rPr>
        <w:fldChar w:fldCharType="end"/>
      </w:r>
      <w:r>
        <w:rPr>
          <w:rFonts w:ascii="方正小标宋简体" w:eastAsia="方正小标宋简体"/>
          <w:sz w:val="36"/>
          <w:szCs w:val="36"/>
        </w:rPr>
        <w:br w:type="page"/>
      </w:r>
      <w:r>
        <w:rPr>
          <w:rFonts w:ascii="方正小标宋简体" w:eastAsia="方正小标宋简体" w:hint="eastAsia"/>
          <w:color w:val="002060"/>
          <w:sz w:val="36"/>
          <w:szCs w:val="36"/>
        </w:rPr>
        <w:t>案例目录</w:t>
      </w:r>
    </w:p>
    <w:p>
      <w:pPr>
        <w:widowControl/>
        <w:jc w:val="center"/>
        <w:rPr>
          <w:rFonts w:ascii="方正小标宋简体" w:eastAsia="方正小标宋简体"/>
          <w:sz w:val="36"/>
          <w:szCs w:val="36"/>
        </w:rPr>
      </w:pPr>
    </w:p>
    <w:p>
      <w:pPr>
        <w:pStyle w:val="16"/>
        <w:tabs>
          <w:tab w:val="right" w:leader="dot" w:pos="8296"/>
        </w:tabs>
        <w:rPr>
          <w:rFonts w:ascii="楷体" w:eastAsia="楷体"/>
        </w:rPr>
      </w:pPr>
      <w:r>
        <w:rPr>
          <w:rFonts w:ascii="楷体" w:eastAsia="楷体"/>
          <w:szCs w:val="21"/>
        </w:rPr>
        <w:fldChar w:fldCharType="begin"/>
      </w:r>
      <w:r>
        <w:rPr>
          <w:rFonts w:ascii="楷体" w:eastAsia="楷体"/>
          <w:szCs w:val="21"/>
        </w:rPr>
        <w:instrText xml:space="preserve"> TOC \o "5-5" \h \z \u \t "标题 4,5" </w:instrText>
      </w:r>
      <w:r>
        <w:rPr>
          <w:rFonts w:ascii="楷体" w:eastAsia="楷体"/>
          <w:szCs w:val="21"/>
        </w:rPr>
        <w:fldChar w:fldCharType="separate"/>
      </w:r>
      <w:r>
        <w:fldChar w:fldCharType="begin"/>
      </w:r>
      <w:r>
        <w:instrText xml:space="preserve"> HYPERLINK \l "_Toc218688677" </w:instrText>
      </w:r>
      <w:r>
        <w:fldChar w:fldCharType="separate"/>
      </w:r>
      <w:r>
        <w:rPr>
          <w:rFonts w:ascii="楷体" w:eastAsia="楷体" w:cs="仿宋_GB2312"/>
        </w:rPr>
        <w:t>案例2-1：江华职中：瑶药赋能智慧康养专业</w:t>
      </w:r>
      <w:r>
        <w:rPr>
          <w:rFonts w:ascii="楷体" w:eastAsia="楷体"/>
        </w:rPr>
        <w:tab/>
      </w:r>
      <w:r>
        <w:rPr>
          <w:rFonts w:ascii="楷体" w:eastAsia="楷体"/>
        </w:rPr>
        <w:fldChar w:fldCharType="begin"/>
      </w:r>
      <w:r>
        <w:rPr>
          <w:rFonts w:ascii="楷体" w:eastAsia="楷体"/>
        </w:rPr>
        <w:instrText xml:space="preserve"> PAGEREF _Toc218688677 \h </w:instrText>
      </w:r>
      <w:r>
        <w:rPr>
          <w:rFonts w:ascii="楷体" w:eastAsia="楷体"/>
        </w:rPr>
        <w:fldChar w:fldCharType="separate"/>
      </w:r>
      <w:r>
        <w:rPr>
          <w:rFonts w:ascii="楷体" w:eastAsia="楷体"/>
        </w:rPr>
        <w:t>14</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"_Toc218688678" </w:instrText>
      </w:r>
      <w:r>
        <w:fldChar w:fldCharType="separate"/>
      </w:r>
      <w:r>
        <w:rPr>
          <w:rFonts w:ascii="楷体" w:eastAsia="楷体" w:cs="仿宋_GB2312"/>
        </w:rPr>
        <w:t>案例2-2：祁阳职中：匠心赛教，风采新篇</w:t>
      </w:r>
      <w:r>
        <w:rPr>
          <w:rFonts w:ascii="楷体" w:eastAsia="楷体"/>
        </w:rPr>
        <w:tab/>
      </w:r>
      <w:r>
        <w:rPr>
          <w:rFonts w:ascii="楷体" w:eastAsia="楷体"/>
        </w:rPr>
        <w:fldChar w:fldCharType="begin"/>
      </w:r>
      <w:r>
        <w:rPr>
          <w:rFonts w:ascii="楷体" w:eastAsia="楷体"/>
        </w:rPr>
        <w:instrText xml:space="preserve"> PAGEREF _Toc218688678 \h </w:instrText>
      </w:r>
      <w:r>
        <w:rPr>
          <w:rFonts w:ascii="楷体" w:eastAsia="楷体"/>
        </w:rPr>
        <w:fldChar w:fldCharType="separate"/>
      </w:r>
      <w:r>
        <w:rPr>
          <w:rFonts w:ascii="楷体" w:eastAsia="楷体"/>
        </w:rPr>
        <w:t>16</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"_Toc218688679" </w:instrText>
      </w:r>
      <w:r>
        <w:fldChar w:fldCharType="separate"/>
      </w:r>
      <w:r>
        <w:rPr>
          <w:rFonts w:ascii="楷体" w:eastAsia="楷体" w:cs="仿宋_GB2312"/>
        </w:rPr>
        <w:t>案例2-3：新田职中世赛夺铜，赛教融合创佳绩</w:t>
      </w:r>
      <w:r>
        <w:rPr>
          <w:rFonts w:ascii="楷体" w:eastAsia="楷体"/>
        </w:rPr>
        <w:tab/>
      </w:r>
      <w:r>
        <w:rPr>
          <w:rFonts w:ascii="楷体" w:eastAsia="楷体"/>
        </w:rPr>
        <w:fldChar w:fldCharType="begin"/>
      </w:r>
      <w:r>
        <w:rPr>
          <w:rFonts w:ascii="楷体" w:eastAsia="楷体"/>
        </w:rPr>
        <w:instrText xml:space="preserve"> PAGEREF _Toc218688679 \h </w:instrText>
      </w:r>
      <w:r>
        <w:rPr>
          <w:rFonts w:ascii="楷体" w:eastAsia="楷体"/>
        </w:rPr>
        <w:fldChar w:fldCharType="separate"/>
      </w:r>
      <w:r>
        <w:rPr>
          <w:rFonts w:ascii="楷体" w:eastAsia="楷体"/>
        </w:rPr>
        <w:t>18</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"_Toc218688680" </w:instrText>
      </w:r>
      <w:r>
        <w:fldChar w:fldCharType="separate"/>
      </w:r>
      <w:r>
        <w:rPr>
          <w:rFonts w:ascii="楷体" w:eastAsia="楷体" w:cs="仿宋_GB2312"/>
        </w:rPr>
        <w:t>案例2-4：蓝山职中：精准送培 赋能双师</w:t>
      </w:r>
      <w:r>
        <w:rPr>
          <w:rFonts w:ascii="楷体" w:eastAsia="楷体"/>
        </w:rPr>
        <w:tab/>
      </w:r>
      <w:r>
        <w:rPr>
          <w:rFonts w:ascii="楷体" w:eastAsia="楷体"/>
        </w:rPr>
        <w:fldChar w:fldCharType="begin"/>
      </w:r>
      <w:r>
        <w:rPr>
          <w:rFonts w:ascii="楷体" w:eastAsia="楷体"/>
        </w:rPr>
        <w:instrText xml:space="preserve"> PAGEREF _Toc218688680 \h </w:instrText>
      </w:r>
      <w:r>
        <w:rPr>
          <w:rFonts w:ascii="楷体" w:eastAsia="楷体"/>
        </w:rPr>
        <w:fldChar w:fldCharType="separate"/>
      </w:r>
      <w:r>
        <w:rPr>
          <w:rFonts w:ascii="楷体" w:eastAsia="楷体"/>
        </w:rPr>
        <w:t>21</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"_Toc218688681" </w:instrText>
      </w:r>
      <w:r>
        <w:fldChar w:fldCharType="separate"/>
      </w:r>
      <w:r>
        <w:rPr>
          <w:rFonts w:ascii="楷体" w:eastAsia="楷体" w:cs="仿宋_GB2312"/>
        </w:rPr>
        <w:t>案例2-5：江华职中车间实景教学解锁机电实训新路径</w:t>
      </w:r>
      <w:r>
        <w:rPr>
          <w:rFonts w:ascii="楷体" w:eastAsia="楷体"/>
        </w:rPr>
        <w:tab/>
      </w:r>
      <w:r>
        <w:rPr>
          <w:rFonts w:ascii="楷体" w:eastAsia="楷体"/>
        </w:rPr>
        <w:fldChar w:fldCharType="begin"/>
      </w:r>
      <w:r>
        <w:rPr>
          <w:rFonts w:ascii="楷体" w:eastAsia="楷体"/>
        </w:rPr>
        <w:instrText xml:space="preserve"> PAGEREF _Toc218688681 \h </w:instrText>
      </w:r>
      <w:r>
        <w:rPr>
          <w:rFonts w:ascii="楷体" w:eastAsia="楷体"/>
        </w:rPr>
        <w:fldChar w:fldCharType="separate"/>
      </w:r>
      <w:r>
        <w:rPr>
          <w:rFonts w:ascii="楷体" w:eastAsia="楷体"/>
        </w:rPr>
        <w:t>24</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"_Toc218688682" </w:instrText>
      </w:r>
      <w:r>
        <w:fldChar w:fldCharType="separate"/>
      </w:r>
      <w:r>
        <w:rPr>
          <w:rFonts w:ascii="楷体" w:eastAsia="楷体" w:cs="仿宋_GB2312"/>
        </w:rPr>
        <w:t>案例2-6：蓝山职中——“赛训岗一体化”赋能技能竞赛</w:t>
      </w:r>
      <w:r>
        <w:rPr>
          <w:rFonts w:ascii="楷体" w:eastAsia="楷体"/>
        </w:rPr>
        <w:tab/>
      </w:r>
      <w:r>
        <w:rPr>
          <w:rFonts w:ascii="楷体" w:eastAsia="楷体"/>
        </w:rPr>
        <w:fldChar w:fldCharType="begin"/>
      </w:r>
      <w:r>
        <w:rPr>
          <w:rFonts w:ascii="楷体" w:eastAsia="楷体"/>
        </w:rPr>
        <w:instrText xml:space="preserve"> PAGEREF _Toc218688682 \h </w:instrText>
      </w:r>
      <w:r>
        <w:rPr>
          <w:rFonts w:ascii="楷体" w:eastAsia="楷体"/>
        </w:rPr>
        <w:fldChar w:fldCharType="separate"/>
      </w:r>
      <w:r>
        <w:rPr>
          <w:rFonts w:ascii="楷体" w:eastAsia="楷体"/>
        </w:rPr>
        <w:t>28</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"_Toc218688683" </w:instrText>
      </w:r>
      <w:r>
        <w:fldChar w:fldCharType="separate"/>
      </w:r>
      <w:r>
        <w:rPr>
          <w:rFonts w:ascii="楷体" w:eastAsia="楷体" w:cs="仿宋_GB2312"/>
        </w:rPr>
        <w:t>案例2-7：江华职中“非遗+职教+电商”助力乡村振兴提质</w:t>
      </w:r>
      <w:r>
        <w:rPr>
          <w:rFonts w:ascii="楷体" w:eastAsia="楷体"/>
        </w:rPr>
        <w:tab/>
      </w:r>
      <w:r>
        <w:rPr>
          <w:rFonts w:ascii="楷体" w:eastAsia="楷体"/>
        </w:rPr>
        <w:fldChar w:fldCharType="begin"/>
      </w:r>
      <w:r>
        <w:rPr>
          <w:rFonts w:ascii="楷体" w:eastAsia="楷体"/>
        </w:rPr>
        <w:instrText xml:space="preserve"> PAGEREF _Toc218688683 \h </w:instrText>
      </w:r>
      <w:r>
        <w:rPr>
          <w:rFonts w:ascii="楷体" w:eastAsia="楷体"/>
        </w:rPr>
        <w:fldChar w:fldCharType="separate"/>
      </w:r>
      <w:r>
        <w:rPr>
          <w:rFonts w:ascii="楷体" w:eastAsia="楷体"/>
        </w:rPr>
        <w:t>31</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"_Toc218688684" </w:instrText>
      </w:r>
      <w:r>
        <w:fldChar w:fldCharType="separate"/>
      </w:r>
      <w:r>
        <w:rPr>
          <w:rFonts w:ascii="楷体" w:eastAsia="楷体" w:cs="仿宋_GB2312"/>
        </w:rPr>
        <w:t>案例2-8：祁阳职中——“三维跟踪+产教融合”提升毕业生就业质量</w:t>
      </w:r>
      <w:r>
        <w:rPr>
          <w:rFonts w:ascii="楷体" w:eastAsia="楷体"/>
        </w:rPr>
        <w:tab/>
      </w:r>
      <w:r>
        <w:rPr>
          <w:rFonts w:ascii="楷体" w:eastAsia="楷体"/>
        </w:rPr>
        <w:fldChar w:fldCharType="begin"/>
      </w:r>
      <w:r>
        <w:rPr>
          <w:rFonts w:ascii="楷体" w:eastAsia="楷体"/>
        </w:rPr>
        <w:instrText xml:space="preserve"> PAGEREF _Toc218688684 \h </w:instrText>
      </w:r>
      <w:r>
        <w:rPr>
          <w:rFonts w:ascii="楷体" w:eastAsia="楷体"/>
        </w:rPr>
        <w:fldChar w:fldCharType="separate"/>
      </w:r>
      <w:r>
        <w:rPr>
          <w:rFonts w:ascii="楷体" w:eastAsia="楷体"/>
        </w:rPr>
        <w:t>34</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"_Toc218688685" </w:instrText>
      </w:r>
      <w:r>
        <w:fldChar w:fldCharType="separate"/>
      </w:r>
      <w:r>
        <w:rPr>
          <w:rFonts w:ascii="楷体" w:eastAsia="楷体" w:cs="仿宋_GB2312"/>
        </w:rPr>
        <w:t>案例3-1：江永职中打造一站式“求职小站”，服务校园就业“最后一米”</w:t>
      </w:r>
      <w:r>
        <w:rPr>
          <w:rFonts w:ascii="楷体" w:eastAsia="楷体"/>
        </w:rPr>
        <w:tab/>
      </w:r>
      <w:r>
        <w:rPr>
          <w:rFonts w:ascii="楷体" w:eastAsia="楷体"/>
        </w:rPr>
        <w:fldChar w:fldCharType="begin"/>
      </w:r>
      <w:r>
        <w:rPr>
          <w:rFonts w:ascii="楷体" w:eastAsia="楷体"/>
        </w:rPr>
        <w:instrText xml:space="preserve"> PAGEREF _Toc218688685 \h </w:instrText>
      </w:r>
      <w:r>
        <w:rPr>
          <w:rFonts w:ascii="楷体" w:eastAsia="楷体"/>
        </w:rPr>
        <w:fldChar w:fldCharType="separate"/>
      </w:r>
      <w:r>
        <w:rPr>
          <w:rFonts w:ascii="楷体" w:eastAsia="楷体"/>
        </w:rPr>
        <w:t>37</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"_Toc218688686" </w:instrText>
      </w:r>
      <w:r>
        <w:fldChar w:fldCharType="separate"/>
      </w:r>
      <w:r>
        <w:rPr>
          <w:rFonts w:ascii="楷体" w:eastAsia="楷体" w:cs="仿宋_GB2312"/>
        </w:rPr>
        <w:t>案例3-2：祁阳职中电商赋能花海，青春助农促振兴</w:t>
      </w:r>
      <w:r>
        <w:rPr>
          <w:rFonts w:ascii="楷体" w:eastAsia="楷体"/>
        </w:rPr>
        <w:tab/>
      </w:r>
      <w:r>
        <w:rPr>
          <w:rFonts w:ascii="楷体" w:eastAsia="楷体"/>
        </w:rPr>
        <w:fldChar w:fldCharType="begin"/>
      </w:r>
      <w:r>
        <w:rPr>
          <w:rFonts w:ascii="楷体" w:eastAsia="楷体"/>
        </w:rPr>
        <w:instrText xml:space="preserve"> PAGEREF _Toc218688686 \h </w:instrText>
      </w:r>
      <w:r>
        <w:rPr>
          <w:rFonts w:ascii="楷体" w:eastAsia="楷体"/>
        </w:rPr>
        <w:fldChar w:fldCharType="separate"/>
      </w:r>
      <w:r>
        <w:rPr>
          <w:rFonts w:ascii="楷体" w:eastAsia="楷体"/>
        </w:rPr>
        <w:t>39</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"_Toc218688687" </w:instrText>
      </w:r>
      <w:r>
        <w:fldChar w:fldCharType="separate"/>
      </w:r>
      <w:r>
        <w:rPr>
          <w:rFonts w:ascii="楷体" w:eastAsia="楷体" w:cs="仿宋_GB2312"/>
        </w:rPr>
        <w:t>案例3-3：永州综职青春护河行动织就生态绿网</w:t>
      </w:r>
      <w:r>
        <w:rPr>
          <w:rFonts w:ascii="楷体" w:eastAsia="楷体"/>
        </w:rPr>
        <w:tab/>
      </w:r>
      <w:r>
        <w:rPr>
          <w:rFonts w:ascii="楷体" w:eastAsia="楷体"/>
        </w:rPr>
        <w:fldChar w:fldCharType="begin"/>
      </w:r>
      <w:r>
        <w:rPr>
          <w:rFonts w:ascii="楷体" w:eastAsia="楷体"/>
        </w:rPr>
        <w:instrText xml:space="preserve"> PAGEREF _Toc218688687 \h </w:instrText>
      </w:r>
      <w:r>
        <w:rPr>
          <w:rFonts w:ascii="楷体" w:eastAsia="楷体"/>
        </w:rPr>
        <w:fldChar w:fldCharType="separate"/>
      </w:r>
      <w:r>
        <w:rPr>
          <w:rFonts w:ascii="楷体" w:eastAsia="楷体"/>
        </w:rPr>
        <w:t>41</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"_Toc218688688" </w:instrText>
      </w:r>
      <w:r>
        <w:fldChar w:fldCharType="separate"/>
      </w:r>
      <w:r>
        <w:rPr>
          <w:rFonts w:ascii="楷体" w:eastAsia="楷体" w:cs="仿宋_GB2312"/>
        </w:rPr>
        <w:t>案例3-4：永州综职两校协作谋发展</w:t>
      </w:r>
      <w:r>
        <w:rPr>
          <w:rFonts w:ascii="楷体" w:eastAsia="楷体"/>
        </w:rPr>
        <w:tab/>
      </w:r>
      <w:r>
        <w:rPr>
          <w:rFonts w:ascii="楷体" w:eastAsia="楷体"/>
        </w:rPr>
        <w:fldChar w:fldCharType="begin"/>
      </w:r>
      <w:r>
        <w:rPr>
          <w:rFonts w:ascii="楷体" w:eastAsia="楷体"/>
        </w:rPr>
        <w:instrText xml:space="preserve"> PAGEREF _Toc218688688 \h </w:instrText>
      </w:r>
      <w:r>
        <w:rPr>
          <w:rFonts w:ascii="楷体" w:eastAsia="楷体"/>
        </w:rPr>
        <w:fldChar w:fldCharType="separate"/>
      </w:r>
      <w:r>
        <w:rPr>
          <w:rFonts w:ascii="楷体" w:eastAsia="楷体"/>
        </w:rPr>
        <w:t>44</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"_Toc218688689" </w:instrText>
      </w:r>
      <w:r>
        <w:fldChar w:fldCharType="separate"/>
      </w:r>
      <w:r>
        <w:rPr>
          <w:rFonts w:ascii="楷体" w:eastAsia="楷体" w:cs="仿宋_GB2312"/>
        </w:rPr>
        <w:t>案例3-5：东安职中“县域企业+学校”协同育人</w:t>
      </w:r>
      <w:r>
        <w:rPr>
          <w:rFonts w:ascii="楷体" w:eastAsia="楷体"/>
        </w:rPr>
        <w:tab/>
      </w:r>
      <w:r>
        <w:rPr>
          <w:rFonts w:ascii="楷体" w:eastAsia="楷体"/>
        </w:rPr>
        <w:fldChar w:fldCharType="begin"/>
      </w:r>
      <w:r>
        <w:rPr>
          <w:rFonts w:ascii="楷体" w:eastAsia="楷体"/>
        </w:rPr>
        <w:instrText xml:space="preserve"> PAGEREF _Toc218688689 \h </w:instrText>
      </w:r>
      <w:r>
        <w:rPr>
          <w:rFonts w:ascii="楷体" w:eastAsia="楷体"/>
        </w:rPr>
        <w:fldChar w:fldCharType="separate"/>
      </w:r>
      <w:r>
        <w:rPr>
          <w:rFonts w:ascii="楷体" w:eastAsia="楷体"/>
        </w:rPr>
        <w:t>45</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"_Toc218688690" </w:instrText>
      </w:r>
      <w:r>
        <w:fldChar w:fldCharType="separate"/>
      </w:r>
      <w:r>
        <w:rPr>
          <w:rFonts w:ascii="楷体" w:eastAsia="楷体" w:cs="仿宋_GB2312"/>
        </w:rPr>
        <w:t>案例4-1：宁远县职业中专构建“三级竞赛体系”以赛赋能匠心培育</w:t>
      </w:r>
      <w:r>
        <w:rPr>
          <w:rFonts w:ascii="楷体" w:eastAsia="楷体"/>
        </w:rPr>
        <w:tab/>
      </w:r>
      <w:r>
        <w:rPr>
          <w:rFonts w:ascii="楷体" w:eastAsia="楷体"/>
        </w:rPr>
        <w:fldChar w:fldCharType="begin"/>
      </w:r>
      <w:r>
        <w:rPr>
          <w:rFonts w:ascii="楷体" w:eastAsia="楷体"/>
        </w:rPr>
        <w:instrText xml:space="preserve"> PAGEREF _Toc218688690 \h </w:instrText>
      </w:r>
      <w:r>
        <w:rPr>
          <w:rFonts w:ascii="楷体" w:eastAsia="楷体"/>
        </w:rPr>
        <w:fldChar w:fldCharType="separate"/>
      </w:r>
      <w:r>
        <w:rPr>
          <w:rFonts w:ascii="楷体" w:eastAsia="楷体"/>
        </w:rPr>
        <w:t>48</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"_Toc218688691" </w:instrText>
      </w:r>
      <w:r>
        <w:fldChar w:fldCharType="separate"/>
      </w:r>
      <w:r>
        <w:rPr>
          <w:rFonts w:ascii="楷体" w:eastAsia="楷体" w:cs="仿宋_GB2312"/>
        </w:rPr>
        <w:t>案例4-2：永州市工商职业中专以“楚怡”名师工作室筑牢工匠精神传承阵地</w:t>
      </w:r>
      <w:r>
        <w:rPr>
          <w:rFonts w:ascii="楷体" w:eastAsia="楷体"/>
        </w:rPr>
        <w:tab/>
      </w:r>
      <w:r>
        <w:rPr>
          <w:rFonts w:ascii="楷体" w:eastAsia="楷体"/>
        </w:rPr>
        <w:fldChar w:fldCharType="begin"/>
      </w:r>
      <w:r>
        <w:rPr>
          <w:rFonts w:ascii="楷体" w:eastAsia="楷体"/>
        </w:rPr>
        <w:instrText xml:space="preserve"> PAGEREF _Toc218688691 \h </w:instrText>
      </w:r>
      <w:r>
        <w:rPr>
          <w:rFonts w:ascii="楷体" w:eastAsia="楷体"/>
        </w:rPr>
        <w:fldChar w:fldCharType="separate"/>
      </w:r>
      <w:r>
        <w:rPr>
          <w:rFonts w:ascii="楷体" w:eastAsia="楷体"/>
        </w:rPr>
        <w:t>50</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"_Toc218688692" </w:instrText>
      </w:r>
      <w:r>
        <w:fldChar w:fldCharType="separate"/>
      </w:r>
      <w:r>
        <w:rPr>
          <w:rFonts w:ascii="楷体" w:eastAsia="楷体" w:cs="仿宋_GB2312"/>
        </w:rPr>
        <w:t>案例4-3：永州市工业贸易中等专业学校开展“我的韶山行”沉浸式红色研学</w:t>
      </w:r>
      <w:r>
        <w:rPr>
          <w:rFonts w:ascii="楷体" w:eastAsia="楷体"/>
        </w:rPr>
        <w:tab/>
      </w:r>
      <w:r>
        <w:rPr>
          <w:rFonts w:ascii="楷体" w:eastAsia="楷体"/>
        </w:rPr>
        <w:fldChar w:fldCharType="begin"/>
      </w:r>
      <w:r>
        <w:rPr>
          <w:rFonts w:ascii="楷体" w:eastAsia="楷体"/>
        </w:rPr>
        <w:instrText xml:space="preserve"> PAGEREF _Toc218688692 \h </w:instrText>
      </w:r>
      <w:r>
        <w:rPr>
          <w:rFonts w:ascii="楷体" w:eastAsia="楷体"/>
        </w:rPr>
        <w:fldChar w:fldCharType="separate"/>
      </w:r>
      <w:r>
        <w:rPr>
          <w:rFonts w:ascii="楷体" w:eastAsia="楷体"/>
        </w:rPr>
        <w:t>51</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"_Toc218688693" </w:instrText>
      </w:r>
      <w:r>
        <w:fldChar w:fldCharType="separate"/>
      </w:r>
      <w:r>
        <w:rPr>
          <w:rFonts w:ascii="楷体" w:eastAsia="楷体" w:cs="仿宋_GB2312"/>
        </w:rPr>
        <w:t>案例4-4：新田县职业中学创新实施“每周五育”常态化红色教育模式</w:t>
      </w:r>
      <w:r>
        <w:rPr>
          <w:rFonts w:ascii="楷体" w:eastAsia="楷体"/>
        </w:rPr>
        <w:tab/>
      </w:r>
      <w:r>
        <w:rPr>
          <w:rFonts w:ascii="楷体" w:eastAsia="楷体"/>
        </w:rPr>
        <w:fldChar w:fldCharType="begin"/>
      </w:r>
      <w:r>
        <w:rPr>
          <w:rFonts w:ascii="楷体" w:eastAsia="楷体"/>
        </w:rPr>
        <w:instrText xml:space="preserve"> PAGEREF _Toc218688693 \h </w:instrText>
      </w:r>
      <w:r>
        <w:rPr>
          <w:rFonts w:ascii="楷体" w:eastAsia="楷体"/>
        </w:rPr>
        <w:fldChar w:fldCharType="separate"/>
      </w:r>
      <w:r>
        <w:rPr>
          <w:rFonts w:ascii="楷体" w:eastAsia="楷体"/>
        </w:rPr>
        <w:t>52</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"_Toc218688694" </w:instrText>
      </w:r>
      <w:r>
        <w:fldChar w:fldCharType="separate"/>
      </w:r>
      <w:r>
        <w:rPr>
          <w:rFonts w:ascii="楷体" w:eastAsia="楷体" w:cs="仿宋_GB2312"/>
        </w:rPr>
        <w:t>案例4-5：江华县职业中专学校推动瑶族非遗与专业教学深度融合</w:t>
      </w:r>
      <w:r>
        <w:rPr>
          <w:rFonts w:ascii="楷体" w:eastAsia="楷体"/>
        </w:rPr>
        <w:tab/>
      </w:r>
      <w:r>
        <w:rPr>
          <w:rFonts w:ascii="楷体" w:eastAsia="楷体"/>
        </w:rPr>
        <w:fldChar w:fldCharType="begin"/>
      </w:r>
      <w:r>
        <w:rPr>
          <w:rFonts w:ascii="楷体" w:eastAsia="楷体"/>
        </w:rPr>
        <w:instrText xml:space="preserve"> PAGEREF _Toc218688694 \h </w:instrText>
      </w:r>
      <w:r>
        <w:rPr>
          <w:rFonts w:ascii="楷体" w:eastAsia="楷体"/>
        </w:rPr>
        <w:fldChar w:fldCharType="separate"/>
      </w:r>
      <w:r>
        <w:rPr>
          <w:rFonts w:ascii="楷体" w:eastAsia="楷体"/>
        </w:rPr>
        <w:t>55</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"_Toc218688695" </w:instrText>
      </w:r>
      <w:r>
        <w:fldChar w:fldCharType="separate"/>
      </w:r>
      <w:r>
        <w:rPr>
          <w:rFonts w:ascii="楷体" w:eastAsia="楷体" w:cs="仿宋_GB2312"/>
        </w:rPr>
        <w:t>案例4-6：江永县职业中专探索“非遗+”跨界融合展现文化传承新活力</w:t>
      </w:r>
      <w:r>
        <w:rPr>
          <w:rFonts w:ascii="楷体" w:eastAsia="楷体"/>
        </w:rPr>
        <w:tab/>
      </w:r>
      <w:r>
        <w:rPr>
          <w:rFonts w:ascii="楷体" w:eastAsia="楷体"/>
        </w:rPr>
        <w:fldChar w:fldCharType="begin"/>
      </w:r>
      <w:r>
        <w:rPr>
          <w:rFonts w:ascii="楷体" w:eastAsia="楷体"/>
        </w:rPr>
        <w:instrText xml:space="preserve"> PAGEREF _Toc218688695 \h </w:instrText>
      </w:r>
      <w:r>
        <w:rPr>
          <w:rFonts w:ascii="楷体" w:eastAsia="楷体"/>
        </w:rPr>
        <w:fldChar w:fldCharType="separate"/>
      </w:r>
      <w:r>
        <w:rPr>
          <w:rFonts w:ascii="楷体" w:eastAsia="楷体"/>
        </w:rPr>
        <w:t>56</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"_Toc218688696" </w:instrText>
      </w:r>
      <w:r>
        <w:fldChar w:fldCharType="separate"/>
      </w:r>
      <w:r>
        <w:rPr>
          <w:rFonts w:ascii="楷体" w:eastAsia="楷体" w:cs="仿宋_GB2312"/>
        </w:rPr>
        <w:t>案例4-7：祁阳市职业中等专业学校系统构建心理健康全流程关怀机制</w:t>
      </w:r>
      <w:r>
        <w:rPr>
          <w:rFonts w:ascii="楷体" w:eastAsia="楷体"/>
        </w:rPr>
        <w:tab/>
      </w:r>
      <w:r>
        <w:rPr>
          <w:rFonts w:ascii="楷体" w:eastAsia="楷体"/>
        </w:rPr>
        <w:fldChar w:fldCharType="begin"/>
      </w:r>
      <w:r>
        <w:rPr>
          <w:rFonts w:ascii="楷体" w:eastAsia="楷体"/>
        </w:rPr>
        <w:instrText xml:space="preserve"> PAGEREF _Toc218688696 \h </w:instrText>
      </w:r>
      <w:r>
        <w:rPr>
          <w:rFonts w:ascii="楷体" w:eastAsia="楷体"/>
        </w:rPr>
        <w:fldChar w:fldCharType="separate"/>
      </w:r>
      <w:r>
        <w:rPr>
          <w:rFonts w:ascii="楷体" w:eastAsia="楷体"/>
        </w:rPr>
        <w:t>58</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"_Toc218688697" </w:instrText>
      </w:r>
      <w:r>
        <w:fldChar w:fldCharType="separate"/>
      </w:r>
      <w:r>
        <w:rPr>
          <w:rFonts w:ascii="楷体" w:eastAsia="楷体" w:cs="仿宋_GB2312"/>
        </w:rPr>
        <w:t>案例4-8：永州工商职中举办“职教活动周”文明风采展演</w:t>
      </w:r>
      <w:r>
        <w:rPr>
          <w:rFonts w:ascii="楷体" w:eastAsia="楷体"/>
        </w:rPr>
        <w:tab/>
      </w:r>
      <w:r>
        <w:rPr>
          <w:rFonts w:ascii="楷体" w:eastAsia="楷体"/>
        </w:rPr>
        <w:fldChar w:fldCharType="begin"/>
      </w:r>
      <w:r>
        <w:rPr>
          <w:rFonts w:ascii="楷体" w:eastAsia="楷体"/>
        </w:rPr>
        <w:instrText xml:space="preserve"> PAGEREF _Toc218688697 \h </w:instrText>
      </w:r>
      <w:r>
        <w:rPr>
          <w:rFonts w:ascii="楷体" w:eastAsia="楷体"/>
        </w:rPr>
        <w:fldChar w:fldCharType="separate"/>
      </w:r>
      <w:r>
        <w:rPr>
          <w:rFonts w:ascii="楷体" w:eastAsia="楷体"/>
        </w:rPr>
        <w:t>59</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"_Toc218688698" </w:instrText>
      </w:r>
      <w:r>
        <w:fldChar w:fldCharType="separate"/>
      </w:r>
      <w:r>
        <w:rPr>
          <w:rFonts w:ascii="楷体" w:eastAsia="楷体" w:cs="仿宋_GB2312"/>
        </w:rPr>
        <w:t>案例4-9：双牌职中以足球赛赋能职业教育的实践</w:t>
      </w:r>
      <w:r>
        <w:rPr>
          <w:rFonts w:ascii="楷体" w:eastAsia="楷体"/>
        </w:rPr>
        <w:tab/>
      </w:r>
      <w:r>
        <w:rPr>
          <w:rFonts w:ascii="楷体" w:eastAsia="楷体"/>
        </w:rPr>
        <w:fldChar w:fldCharType="begin"/>
      </w:r>
      <w:r>
        <w:rPr>
          <w:rFonts w:ascii="楷体" w:eastAsia="楷体"/>
        </w:rPr>
        <w:instrText xml:space="preserve"> PAGEREF _Toc218688698 \h </w:instrText>
      </w:r>
      <w:r>
        <w:rPr>
          <w:rFonts w:ascii="楷体" w:eastAsia="楷体"/>
        </w:rPr>
        <w:fldChar w:fldCharType="separate"/>
      </w:r>
      <w:r>
        <w:rPr>
          <w:rFonts w:ascii="楷体" w:eastAsia="楷体"/>
        </w:rPr>
        <w:t>60</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"_Toc218688699" </w:instrText>
      </w:r>
      <w:r>
        <w:fldChar w:fldCharType="separate"/>
      </w:r>
      <w:r>
        <w:rPr>
          <w:rFonts w:ascii="楷体" w:eastAsia="楷体" w:cs="仿宋_GB2312"/>
        </w:rPr>
        <w:t>案例5-1：聚焦国际资源引进，赋能人才培养提质</w:t>
      </w:r>
      <w:r>
        <w:rPr>
          <w:rFonts w:ascii="楷体" w:eastAsia="楷体"/>
        </w:rPr>
        <w:tab/>
      </w:r>
      <w:r>
        <w:rPr>
          <w:rFonts w:ascii="楷体" w:eastAsia="楷体"/>
        </w:rPr>
        <w:fldChar w:fldCharType="begin"/>
      </w:r>
      <w:r>
        <w:rPr>
          <w:rFonts w:ascii="楷体" w:eastAsia="楷体"/>
        </w:rPr>
        <w:instrText xml:space="preserve"> PAGEREF _Toc218688699 \h </w:instrText>
      </w:r>
      <w:r>
        <w:rPr>
          <w:rFonts w:ascii="楷体" w:eastAsia="楷体"/>
        </w:rPr>
        <w:fldChar w:fldCharType="separate"/>
      </w:r>
      <w:r>
        <w:rPr>
          <w:rFonts w:ascii="楷体" w:eastAsia="楷体"/>
        </w:rPr>
        <w:t>63</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"_Toc218688700" </w:instrText>
      </w:r>
      <w:r>
        <w:fldChar w:fldCharType="separate"/>
      </w:r>
      <w:r>
        <w:rPr>
          <w:rFonts w:ascii="楷体" w:eastAsia="楷体" w:cs="仿宋_GB2312"/>
        </w:rPr>
        <w:t>案例5-2：永州工贸学校以会为媒，织密国际职教交流网</w:t>
      </w:r>
      <w:r>
        <w:rPr>
          <w:rFonts w:ascii="楷体" w:eastAsia="楷体"/>
        </w:rPr>
        <w:tab/>
      </w:r>
      <w:r>
        <w:rPr>
          <w:rFonts w:ascii="楷体" w:eastAsia="楷体"/>
        </w:rPr>
        <w:fldChar w:fldCharType="begin"/>
      </w:r>
      <w:r>
        <w:rPr>
          <w:rFonts w:ascii="楷体" w:eastAsia="楷体"/>
        </w:rPr>
        <w:instrText xml:space="preserve"> PAGEREF _Toc218688700 \h </w:instrText>
      </w:r>
      <w:r>
        <w:rPr>
          <w:rFonts w:ascii="楷体" w:eastAsia="楷体"/>
        </w:rPr>
        <w:fldChar w:fldCharType="separate"/>
      </w:r>
      <w:r>
        <w:rPr>
          <w:rFonts w:ascii="楷体" w:eastAsia="楷体"/>
        </w:rPr>
        <w:t>68</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"_Toc218688701" </w:instrText>
      </w:r>
      <w:r>
        <w:fldChar w:fldCharType="separate"/>
      </w:r>
      <w:r>
        <w:rPr>
          <w:rFonts w:ascii="楷体" w:eastAsia="楷体" w:cs="仿宋_GB2312"/>
        </w:rPr>
        <w:t>案例5-3：祁阳市职业中等专业学校师生同耀，赛显实力</w:t>
      </w:r>
      <w:r>
        <w:rPr>
          <w:rFonts w:ascii="楷体" w:eastAsia="楷体"/>
        </w:rPr>
        <w:tab/>
      </w:r>
      <w:r>
        <w:rPr>
          <w:rFonts w:ascii="楷体" w:eastAsia="楷体"/>
        </w:rPr>
        <w:fldChar w:fldCharType="begin"/>
      </w:r>
      <w:r>
        <w:rPr>
          <w:rFonts w:ascii="楷体" w:eastAsia="楷体"/>
        </w:rPr>
        <w:instrText xml:space="preserve"> PAGEREF _Toc218688701 \h </w:instrText>
      </w:r>
      <w:r>
        <w:rPr>
          <w:rFonts w:ascii="楷体" w:eastAsia="楷体"/>
        </w:rPr>
        <w:fldChar w:fldCharType="separate"/>
      </w:r>
      <w:r>
        <w:rPr>
          <w:rFonts w:ascii="楷体" w:eastAsia="楷体"/>
        </w:rPr>
        <w:t>71</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"_Toc218688702" </w:instrText>
      </w:r>
      <w:r>
        <w:fldChar w:fldCharType="separate"/>
      </w:r>
      <w:r>
        <w:rPr>
          <w:rFonts w:ascii="楷体" w:eastAsia="楷体" w:cs="仿宋_GB2312"/>
        </w:rPr>
        <w:t>案例5-4：永州工贸学校技耀国际，载誉而归</w:t>
      </w:r>
      <w:r>
        <w:rPr>
          <w:rFonts w:ascii="楷体" w:eastAsia="楷体"/>
        </w:rPr>
        <w:tab/>
      </w:r>
      <w:r>
        <w:rPr>
          <w:rFonts w:ascii="楷体" w:eastAsia="楷体"/>
        </w:rPr>
        <w:fldChar w:fldCharType="begin"/>
      </w:r>
      <w:r>
        <w:rPr>
          <w:rFonts w:ascii="楷体" w:eastAsia="楷体"/>
        </w:rPr>
        <w:instrText xml:space="preserve"> PAGEREF _Toc218688702 \h </w:instrText>
      </w:r>
      <w:r>
        <w:rPr>
          <w:rFonts w:ascii="楷体" w:eastAsia="楷体"/>
        </w:rPr>
        <w:fldChar w:fldCharType="separate"/>
      </w:r>
      <w:r>
        <w:rPr>
          <w:rFonts w:ascii="楷体" w:eastAsia="楷体"/>
        </w:rPr>
        <w:t>72</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"_Toc218688703" </w:instrText>
      </w:r>
      <w:r>
        <w:fldChar w:fldCharType="separate"/>
      </w:r>
      <w:r>
        <w:rPr>
          <w:rFonts w:ascii="楷体" w:eastAsia="楷体" w:cs="仿宋_GB2312"/>
        </w:rPr>
        <w:t>案例6-1：江永职中创新“政企校”协同订单培养模式</w:t>
      </w:r>
      <w:r>
        <w:rPr>
          <w:rFonts w:ascii="楷体" w:eastAsia="楷体"/>
        </w:rPr>
        <w:tab/>
      </w:r>
      <w:r>
        <w:rPr>
          <w:rFonts w:ascii="楷体" w:eastAsia="楷体"/>
        </w:rPr>
        <w:fldChar w:fldCharType="begin"/>
      </w:r>
      <w:r>
        <w:rPr>
          <w:rFonts w:ascii="楷体" w:eastAsia="楷体"/>
        </w:rPr>
        <w:instrText xml:space="preserve"> PAGEREF _Toc218688703 \h </w:instrText>
      </w:r>
      <w:r>
        <w:rPr>
          <w:rFonts w:ascii="楷体" w:eastAsia="楷体"/>
        </w:rPr>
        <w:fldChar w:fldCharType="separate"/>
      </w:r>
      <w:r>
        <w:rPr>
          <w:rFonts w:ascii="楷体" w:eastAsia="楷体"/>
        </w:rPr>
        <w:t>74</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"_Toc218688704" </w:instrText>
      </w:r>
      <w:r>
        <w:fldChar w:fldCharType="separate"/>
      </w:r>
      <w:r>
        <w:rPr>
          <w:rFonts w:ascii="楷体" w:eastAsia="楷体" w:cs="仿宋_GB2312"/>
        </w:rPr>
        <w:t>案例6-2：宁远职中“订单班引援，设备资源跨越升级”</w:t>
      </w:r>
      <w:r>
        <w:rPr>
          <w:rFonts w:ascii="楷体" w:eastAsia="楷体"/>
        </w:rPr>
        <w:tab/>
      </w:r>
      <w:r>
        <w:rPr>
          <w:rFonts w:ascii="楷体" w:eastAsia="楷体"/>
        </w:rPr>
        <w:fldChar w:fldCharType="begin"/>
      </w:r>
      <w:r>
        <w:rPr>
          <w:rFonts w:ascii="楷体" w:eastAsia="楷体"/>
        </w:rPr>
        <w:instrText xml:space="preserve"> PAGEREF _Toc218688704 \h </w:instrText>
      </w:r>
      <w:r>
        <w:rPr>
          <w:rFonts w:ascii="楷体" w:eastAsia="楷体"/>
        </w:rPr>
        <w:fldChar w:fldCharType="separate"/>
      </w:r>
      <w:r>
        <w:rPr>
          <w:rFonts w:ascii="楷体" w:eastAsia="楷体"/>
        </w:rPr>
        <w:t>77</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"_Toc218688705" </w:instrText>
      </w:r>
      <w:r>
        <w:fldChar w:fldCharType="separate"/>
      </w:r>
      <w:r>
        <w:rPr>
          <w:rFonts w:ascii="楷体" w:eastAsia="楷体" w:cs="仿宋_GB2312"/>
        </w:rPr>
        <w:t>案例6-3：新田职中：制度保障下的双向挂职与“双导师”团队建设</w:t>
      </w:r>
      <w:r>
        <w:rPr>
          <w:rFonts w:ascii="楷体" w:eastAsia="楷体"/>
        </w:rPr>
        <w:tab/>
      </w:r>
      <w:r>
        <w:rPr>
          <w:rFonts w:ascii="楷体" w:eastAsia="楷体"/>
        </w:rPr>
        <w:fldChar w:fldCharType="begin"/>
      </w:r>
      <w:r>
        <w:rPr>
          <w:rFonts w:ascii="楷体" w:eastAsia="楷体"/>
        </w:rPr>
        <w:instrText xml:space="preserve"> PAGEREF _Toc218688705 \h </w:instrText>
      </w:r>
      <w:r>
        <w:rPr>
          <w:rFonts w:ascii="楷体" w:eastAsia="楷体"/>
        </w:rPr>
        <w:fldChar w:fldCharType="separate"/>
      </w:r>
      <w:r>
        <w:rPr>
          <w:rFonts w:ascii="楷体" w:eastAsia="楷体"/>
        </w:rPr>
        <w:t>80</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"_Toc218688706" </w:instrText>
      </w:r>
      <w:r>
        <w:fldChar w:fldCharType="separate"/>
      </w:r>
      <w:r>
        <w:rPr>
          <w:rFonts w:ascii="楷体" w:eastAsia="楷体" w:cs="仿宋_GB2312"/>
        </w:rPr>
        <w:t>案例6-4：永州打造市域产教融合资源集聚与服务平台</w:t>
      </w:r>
      <w:r>
        <w:rPr>
          <w:rFonts w:ascii="楷体" w:eastAsia="楷体"/>
        </w:rPr>
        <w:tab/>
      </w:r>
      <w:r>
        <w:rPr>
          <w:rFonts w:ascii="楷体" w:eastAsia="楷体"/>
        </w:rPr>
        <w:fldChar w:fldCharType="begin"/>
      </w:r>
      <w:r>
        <w:rPr>
          <w:rFonts w:ascii="楷体" w:eastAsia="楷体"/>
        </w:rPr>
        <w:instrText xml:space="preserve"> PAGEREF _Toc218688706 \h </w:instrText>
      </w:r>
      <w:r>
        <w:rPr>
          <w:rFonts w:ascii="楷体" w:eastAsia="楷体"/>
        </w:rPr>
        <w:fldChar w:fldCharType="separate"/>
      </w:r>
      <w:r>
        <w:rPr>
          <w:rFonts w:ascii="楷体" w:eastAsia="楷体"/>
        </w:rPr>
        <w:t>82</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"_Toc218688707" </w:instrText>
      </w:r>
      <w:r>
        <w:fldChar w:fldCharType="separate"/>
      </w:r>
      <w:r>
        <w:rPr>
          <w:rFonts w:ascii="楷体" w:eastAsia="楷体" w:cs="仿宋_GB2312"/>
        </w:rPr>
        <w:t>案例6-5：永州工商职中“东兆班”深度定制化培养</w:t>
      </w:r>
      <w:r>
        <w:rPr>
          <w:rFonts w:ascii="楷体" w:eastAsia="楷体"/>
        </w:rPr>
        <w:tab/>
      </w:r>
      <w:r>
        <w:rPr>
          <w:rFonts w:ascii="楷体" w:eastAsia="楷体"/>
        </w:rPr>
        <w:fldChar w:fldCharType="begin"/>
      </w:r>
      <w:r>
        <w:rPr>
          <w:rFonts w:ascii="楷体" w:eastAsia="楷体"/>
        </w:rPr>
        <w:instrText xml:space="preserve"> PAGEREF _Toc218688707 \h </w:instrText>
      </w:r>
      <w:r>
        <w:rPr>
          <w:rFonts w:ascii="楷体" w:eastAsia="楷体"/>
        </w:rPr>
        <w:fldChar w:fldCharType="separate"/>
      </w:r>
      <w:r>
        <w:rPr>
          <w:rFonts w:ascii="楷体" w:eastAsia="楷体"/>
        </w:rPr>
        <w:t>84</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"_Toc218688708" </w:instrText>
      </w:r>
      <w:r>
        <w:fldChar w:fldCharType="separate"/>
      </w:r>
      <w:r>
        <w:rPr>
          <w:rFonts w:ascii="楷体" w:eastAsia="楷体" w:cs="仿宋_GB2312"/>
        </w:rPr>
        <w:t>案例6-6：祁阳职中“现代学徒制”双导师跟岗实践，实现“教学零距离”</w:t>
      </w:r>
      <w:r>
        <w:rPr>
          <w:rFonts w:ascii="楷体" w:eastAsia="楷体"/>
        </w:rPr>
        <w:tab/>
      </w:r>
      <w:r>
        <w:rPr>
          <w:rFonts w:ascii="楷体" w:eastAsia="楷体"/>
        </w:rPr>
        <w:fldChar w:fldCharType="begin"/>
      </w:r>
      <w:r>
        <w:rPr>
          <w:rFonts w:ascii="楷体" w:eastAsia="楷体"/>
        </w:rPr>
        <w:instrText xml:space="preserve"> PAGEREF _Toc218688708 \h </w:instrText>
      </w:r>
      <w:r>
        <w:rPr>
          <w:rFonts w:ascii="楷体" w:eastAsia="楷体"/>
        </w:rPr>
        <w:fldChar w:fldCharType="separate"/>
      </w:r>
      <w:r>
        <w:rPr>
          <w:rFonts w:ascii="楷体" w:eastAsia="楷体"/>
        </w:rPr>
        <w:t>87</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"_Toc218688709" </w:instrText>
      </w:r>
      <w:r>
        <w:fldChar w:fldCharType="separate"/>
      </w:r>
      <w:r>
        <w:rPr>
          <w:rFonts w:ascii="楷体" w:eastAsia="楷体" w:cs="仿宋_GB2312"/>
        </w:rPr>
        <w:t>案例6-7：江华职中瑶服基地“非遗传承+产业振兴”双赋能</w:t>
      </w:r>
      <w:r>
        <w:rPr>
          <w:rFonts w:ascii="楷体" w:eastAsia="楷体"/>
        </w:rPr>
        <w:tab/>
      </w:r>
      <w:r>
        <w:rPr>
          <w:rFonts w:ascii="楷体" w:eastAsia="楷体"/>
        </w:rPr>
        <w:fldChar w:fldCharType="begin"/>
      </w:r>
      <w:r>
        <w:rPr>
          <w:rFonts w:ascii="楷体" w:eastAsia="楷体"/>
        </w:rPr>
        <w:instrText xml:space="preserve"> PAGEREF _Toc218688709 \h </w:instrText>
      </w:r>
      <w:r>
        <w:rPr>
          <w:rFonts w:ascii="楷体" w:eastAsia="楷体"/>
        </w:rPr>
        <w:fldChar w:fldCharType="separate"/>
      </w:r>
      <w:r>
        <w:rPr>
          <w:rFonts w:ascii="楷体" w:eastAsia="楷体"/>
        </w:rPr>
        <w:t>89</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"_Toc218688710" </w:instrText>
      </w:r>
      <w:r>
        <w:fldChar w:fldCharType="separate"/>
      </w:r>
      <w:r>
        <w:rPr>
          <w:rFonts w:ascii="楷体" w:eastAsia="楷体" w:cs="仿宋_GB2312"/>
        </w:rPr>
        <w:t>案例7-1：东安职中非遗技艺进课堂，产教融合育匠才</w:t>
      </w:r>
      <w:r>
        <w:rPr>
          <w:rFonts w:ascii="楷体" w:eastAsia="楷体"/>
        </w:rPr>
        <w:tab/>
      </w:r>
      <w:r>
        <w:rPr>
          <w:rFonts w:ascii="楷体" w:eastAsia="楷体"/>
        </w:rPr>
        <w:fldChar w:fldCharType="begin"/>
      </w:r>
      <w:r>
        <w:rPr>
          <w:rFonts w:ascii="楷体" w:eastAsia="楷体"/>
        </w:rPr>
        <w:instrText xml:space="preserve"> PAGEREF _Toc218688710 \h </w:instrText>
      </w:r>
      <w:r>
        <w:rPr>
          <w:rFonts w:ascii="楷体" w:eastAsia="楷体"/>
        </w:rPr>
        <w:fldChar w:fldCharType="separate"/>
      </w:r>
      <w:r>
        <w:rPr>
          <w:rFonts w:ascii="楷体" w:eastAsia="楷体"/>
        </w:rPr>
        <w:t>95</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"_Toc218688711" </w:instrText>
      </w:r>
      <w:r>
        <w:fldChar w:fldCharType="separate"/>
      </w:r>
      <w:r>
        <w:rPr>
          <w:rFonts w:ascii="楷体" w:eastAsia="楷体" w:cs="仿宋_GB2312"/>
        </w:rPr>
        <w:t>案例7-2：祁阳职中青春助农正当时</w:t>
      </w:r>
      <w:r>
        <w:rPr>
          <w:rFonts w:ascii="楷体" w:eastAsia="楷体"/>
        </w:rPr>
        <w:tab/>
      </w:r>
      <w:r>
        <w:rPr>
          <w:rFonts w:ascii="楷体" w:eastAsia="楷体"/>
        </w:rPr>
        <w:fldChar w:fldCharType="begin"/>
      </w:r>
      <w:r>
        <w:rPr>
          <w:rFonts w:ascii="楷体" w:eastAsia="楷体"/>
        </w:rPr>
        <w:instrText xml:space="preserve"> PAGEREF _Toc218688711 \h </w:instrText>
      </w:r>
      <w:r>
        <w:rPr>
          <w:rFonts w:ascii="楷体" w:eastAsia="楷体"/>
        </w:rPr>
        <w:fldChar w:fldCharType="separate"/>
      </w:r>
      <w:r>
        <w:rPr>
          <w:rFonts w:ascii="楷体" w:eastAsia="楷体"/>
        </w:rPr>
        <w:t>97</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"_Toc218688712" </w:instrText>
      </w:r>
      <w:r>
        <w:fldChar w:fldCharType="separate"/>
      </w:r>
      <w:r>
        <w:rPr>
          <w:rFonts w:ascii="楷体" w:eastAsia="楷体" w:cs="仿宋_GB2312"/>
        </w:rPr>
        <w:t>案例7-3：政法引领，家校警社四维联动——江华职中构建全域化安全育人新格局</w:t>
      </w:r>
      <w:r>
        <w:rPr>
          <w:rFonts w:ascii="楷体" w:eastAsia="楷体"/>
        </w:rPr>
        <w:tab/>
      </w:r>
      <w:r>
        <w:rPr>
          <w:rFonts w:ascii="楷体" w:eastAsia="楷体"/>
        </w:rPr>
        <w:fldChar w:fldCharType="begin"/>
      </w:r>
      <w:r>
        <w:rPr>
          <w:rFonts w:ascii="楷体" w:eastAsia="楷体"/>
        </w:rPr>
        <w:instrText xml:space="preserve"> PAGEREF _Toc218688712 \h </w:instrText>
      </w:r>
      <w:r>
        <w:rPr>
          <w:rFonts w:ascii="楷体" w:eastAsia="楷体"/>
        </w:rPr>
        <w:fldChar w:fldCharType="separate"/>
      </w:r>
      <w:r>
        <w:rPr>
          <w:rFonts w:ascii="楷体" w:eastAsia="楷体"/>
        </w:rPr>
        <w:t>100</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"_Toc218688713" </w:instrText>
      </w:r>
      <w:r>
        <w:fldChar w:fldCharType="separate"/>
      </w:r>
      <w:r>
        <w:rPr>
          <w:rFonts w:ascii="楷体" w:eastAsia="楷体" w:cs="仿宋_GB2312"/>
        </w:rPr>
        <w:t>案例7-4：永州工商职中体系化构建安全教育新生态</w:t>
      </w:r>
      <w:r>
        <w:rPr>
          <w:rFonts w:ascii="楷体" w:eastAsia="楷体"/>
        </w:rPr>
        <w:tab/>
      </w:r>
      <w:r>
        <w:rPr>
          <w:rFonts w:ascii="楷体" w:eastAsia="楷体"/>
        </w:rPr>
        <w:fldChar w:fldCharType="begin"/>
      </w:r>
      <w:r>
        <w:rPr>
          <w:rFonts w:ascii="楷体" w:eastAsia="楷体"/>
        </w:rPr>
        <w:instrText xml:space="preserve"> PAGEREF _Toc218688713 \h </w:instrText>
      </w:r>
      <w:r>
        <w:rPr>
          <w:rFonts w:ascii="楷体" w:eastAsia="楷体"/>
        </w:rPr>
        <w:fldChar w:fldCharType="separate"/>
      </w:r>
      <w:r>
        <w:rPr>
          <w:rFonts w:ascii="楷体" w:eastAsia="楷体"/>
        </w:rPr>
        <w:t>101</w:t>
      </w:r>
      <w:r>
        <w:rPr>
          <w:rFonts w:ascii="楷体" w:eastAsia="楷体"/>
        </w:rPr>
        <w:fldChar w:fldCharType="end"/>
      </w:r>
      <w:r>
        <w:rPr>
          <w:rFonts w:ascii="楷体" w:eastAsia="楷体"/>
        </w:rPr>
        <w:fldChar w:fldCharType="end"/>
      </w:r>
    </w:p>
    <w:p>
      <w:pPr>
        <w:pStyle w:val="16"/>
        <w:tabs>
          <w:tab w:val="right" w:leader="dot" w:pos="8296"/>
        </w:tabs>
        <w:rPr>
          <w:rFonts w:ascii="楷体" w:eastAsia="楷体"/>
        </w:rPr>
      </w:pPr>
      <w:r>
        <w:fldChar w:fldCharType="begin"/>
      </w:r>
      <w:r>
        <w:instrText xml:space="preserve"> HYPERLINK \l "_Toc218688714" </w:instrText>
      </w:r>
      <w:r>
        <w:fldChar w:fldCharType="separate"/>
      </w:r>
      <w:r>
        <w:rPr>
          <w:rFonts w:ascii="楷体" w:eastAsia="楷体" w:cs="仿宋_GB2312"/>
        </w:rPr>
        <w:t>案例7-5：东安职中专创新德育教育 军事化管理促发展</w:t>
      </w:r>
      <w:r>
        <w:rPr>
          <w:rFonts w:ascii="楷体" w:eastAsia="楷体"/>
        </w:rPr>
        <w:tab/>
      </w:r>
      <w:r>
        <w:rPr>
          <w:rFonts w:ascii="楷体" w:eastAsia="楷体"/>
        </w:rPr>
        <w:fldChar w:fldCharType="begin"/>
      </w:r>
      <w:r>
        <w:rPr>
          <w:rFonts w:ascii="楷体" w:eastAsia="楷体"/>
        </w:rPr>
        <w:instrText xml:space="preserve"> PAGEREF _Toc218688714 \h </w:instrText>
      </w:r>
      <w:r>
        <w:rPr>
          <w:rFonts w:ascii="楷体" w:eastAsia="楷体"/>
        </w:rPr>
        <w:fldChar w:fldCharType="separate"/>
      </w:r>
      <w:r>
        <w:rPr>
          <w:rFonts w:ascii="楷体" w:eastAsia="楷体"/>
        </w:rPr>
        <w:t>103</w:t>
      </w:r>
      <w:r>
        <w:rPr>
          <w:rFonts w:ascii="楷体" w:eastAsia="楷体"/>
        </w:rPr>
        <w:fldChar w:fldCharType="end"/>
      </w:r>
      <w:r>
        <w:rPr>
          <w:rFonts w:ascii="楷体" w:eastAsia="楷体"/>
        </w:rPr>
        <w:fldChar w:fldCharType="end"/>
      </w:r>
    </w:p>
    <w:p>
      <w:pPr>
        <w:widowControl/>
        <w:jc w:val="left"/>
        <w:rPr>
          <w:rFonts w:ascii="方正小标宋简体" w:eastAsia="方正小标宋简体"/>
          <w:sz w:val="36"/>
          <w:szCs w:val="36"/>
        </w:rPr>
      </w:pPr>
      <w:r>
        <w:rPr>
          <w:rFonts w:ascii="楷体" w:eastAsia="楷体"/>
          <w:szCs w:val="21"/>
        </w:rPr>
        <w:fldChar w:fldCharType="end"/>
      </w:r>
    </w:p>
    <w:p>
      <w:pPr>
        <w:widowControl/>
        <w:jc w:val="left"/>
        <w:rPr>
          <w:rFonts w:ascii="方正小标宋简体" w:eastAsia="方正小标宋简体"/>
          <w:sz w:val="36"/>
          <w:szCs w:val="36"/>
        </w:rPr>
        <w:sectPr>
          <w:footerReference w:type="first" r:id="rId7"/>
          <w:pgSz w:w="11906" w:h="16838"/>
          <w:pgMar w:top="1440" w:right="1800" w:bottom="1440" w:left="1800" w:header="851" w:footer="992" w:gutter="0"/>
          <w:pgNumType w:fmt="upperRoman" w:start="1"/>
          <w:titlePg/>
          <w:docGrid w:type="lines" w:linePitch="312" w:charSpace="0"/>
        </w:sectPr>
      </w:pPr>
    </w:p>
    <w:p>
      <w:pPr>
        <w:widowControl/>
        <w:jc w:val="left"/>
        <w:rPr>
          <w:rFonts w:ascii="方正小标宋简体" w:eastAsia="方正小标宋简体"/>
          <w:szCs w:val="21"/>
        </w:rPr>
      </w:pPr>
    </w:p>
    <w:p>
      <w:pPr>
        <w:jc w:val="center"/>
        <w:rPr>
          <w:rFonts w:ascii="方正小标宋简体" w:eastAsia="方正小标宋简体"/>
          <w:sz w:val="36"/>
          <w:szCs w:val="36"/>
        </w:rPr>
      </w:pPr>
      <w:r>
        <w:rPr>
          <w:rFonts w:ascii="方正小标宋简体" w:eastAsia="方正小标宋简体" w:hint="eastAsia"/>
          <w:sz w:val="36"/>
          <w:szCs w:val="36"/>
        </w:rPr>
        <w:t>永州市中等职业教育质量报告（2025年度）</w:t>
      </w:r>
    </w:p>
    <w:p/>
    <w:p/>
    <w:p>
      <w:pPr>
        <w:pStyle w:val="1"/>
        <w:spacing w:beforeLines="50" w:before="156" w:afterLines="50" w:after="156" w:line="520" w:lineRule="exact"/>
        <w:ind w:firstLineChars="200" w:firstLine="640"/>
        <w:rPr>
          <w:rFonts w:ascii="黑体" w:eastAsia="黑体"/>
          <w:b w:val="0"/>
          <w:bCs w:val="0"/>
          <w:sz w:val="32"/>
          <w:szCs w:val="32"/>
          <w:shd w:val="clear" w:color="auto" w:fill="FFFFFF"/>
        </w:rPr>
      </w:pPr>
      <w:bookmarkStart w:id="2" w:name="_Toc218688906"/>
      <w:bookmarkStart w:id="3" w:name="_Toc218617425"/>
      <w:r>
        <w:rPr>
          <w:rFonts w:ascii="黑体" w:eastAsia="黑体" w:hint="eastAsia"/>
          <w:b w:val="0"/>
          <w:bCs w:val="0"/>
          <w:sz w:val="32"/>
          <w:szCs w:val="32"/>
          <w:shd w:val="clear" w:color="auto" w:fill="FFFFFF"/>
        </w:rPr>
        <w:t>前言</w:t>
      </w:r>
      <w:bookmarkEnd w:id="2"/>
      <w:bookmarkEnd w:id="3"/>
    </w:p>
    <w:p>
      <w:pPr>
        <w:spacing w:line="560" w:lineRule="exact"/>
        <w:ind w:firstLineChars="200" w:firstLine="640"/>
        <w:rPr>
          <w:rFonts w:ascii="仿宋_GB2312" w:eastAsia="仿宋_GB2312"/>
          <w:sz w:val="32"/>
          <w:szCs w:val="32"/>
        </w:rPr>
      </w:pPr>
      <w:r>
        <w:rPr>
          <w:rFonts w:ascii="仿宋_GB2312" w:eastAsia="仿宋_GB2312" w:hint="eastAsia"/>
          <w:sz w:val="32"/>
          <w:szCs w:val="32"/>
        </w:rPr>
        <w:t>为全面总结</w:t>
      </w:r>
      <w:r>
        <w:rPr>
          <w:rFonts w:ascii="仿宋_GB2312" w:eastAsia="仿宋_GB2312"/>
          <w:sz w:val="32"/>
          <w:szCs w:val="32"/>
        </w:rPr>
        <w:t>2025年度永州市中等职业教育办学成效，客观呈现发展质量并主动接受社会监督，永州市教育局特组织编制并发布本年度质量报告。本报告旨在为区域职业教育政策的制定与规划调整提供实证参考，为各职业学校自我诊断与持续改进提供依据，同时向社会系统展示永州职业教育的发展成果，切实增强职业教育的社会吸引力与公众认可度。</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报告编制工作严格遵循国家及湖南省相关政策的规范与要求。在永州市教育局的统筹组织与指导下，各中等职业学校均成立了专项工作小组协同开展工作。编制过程坚持以数据为基础，通过系统提取“全国中等职业学校管理信息系统”核心数据、全面核查各校教学与管理档案，并结合面向广大师生、学生家长及合作企业的问卷调查、深度访谈等多种方式，广泛采集多维度第一手信息。所有数据与素材均经过严格的校内自查、校际交叉审核以及市教育局组织的最终审议，确保了报告内容的真实性、客观性与全面性。</w:t>
      </w:r>
    </w:p>
    <w:p>
      <w:pPr>
        <w:spacing w:line="560" w:lineRule="exact"/>
        <w:ind w:firstLineChars="200" w:firstLine="640"/>
        <w:rPr>
          <w:rFonts w:ascii="仿宋_GB2312" w:eastAsia="仿宋_GB2312"/>
          <w:sz w:val="30"/>
          <w:szCs w:val="30"/>
        </w:rPr>
      </w:pPr>
      <w:r>
        <w:rPr>
          <w:rFonts w:ascii="仿宋_GB2312" w:eastAsia="仿宋_GB2312"/>
          <w:sz w:val="32"/>
          <w:szCs w:val="32"/>
        </w:rPr>
        <w:t>2025年，永州市中等职业教育紧密围绕区域发展战略，将办学之根深植于潇湘大地的沃土，积极探索与地方“强市战略”、“地域文化”、“特色农业”等独特资源的深度融合，在实践中逐步形成了“以教促产、以产兴教、以文铸魂”的良性循环。这一融合主要体现在三个层面：一是主动对接产业，服务“强市战略”。</w:t>
      </w:r>
      <w:r>
        <w:rPr>
          <w:rFonts w:ascii="仿宋_GB2312" w:eastAsia="仿宋_GB2312"/>
          <w:color w:val="FF0000"/>
          <w:sz w:val="32"/>
          <w:szCs w:val="32"/>
        </w:rPr>
        <w:t>各中职学校以全市“3×2”特色产业集群（主要包括先进装备制造、特色轻工、农林产品加工三大传统产业，以及电子信息、生物医药、新能源新材料三大新兴产业）为引领，</w:t>
      </w:r>
      <w:r>
        <w:rPr>
          <w:rFonts w:ascii="仿宋_GB2312" w:eastAsia="仿宋_GB2312"/>
          <w:sz w:val="32"/>
          <w:szCs w:val="32"/>
        </w:rPr>
        <w:t>动态调整专业设置，力求实现教育链、人才链与产业链、创新链的协同对接。具</w:t>
      </w:r>
      <w:r>
        <w:rPr>
          <w:rFonts w:ascii="仿宋_GB2312" w:eastAsia="仿宋_GB2312" w:hint="eastAsia"/>
          <w:sz w:val="32"/>
          <w:szCs w:val="32"/>
        </w:rPr>
        <w:t>体实践中，祁阳市职业中等专业学校针对本地电机、鞋业等制造业需求，创新“</w:t>
      </w:r>
      <w:r>
        <w:rPr>
          <w:rFonts w:ascii="仿宋_GB2312" w:eastAsia="仿宋_GB2312"/>
          <w:sz w:val="32"/>
          <w:szCs w:val="32"/>
        </w:rPr>
        <w:t>321”培养模式，为科力尔电机等龙头企业稳定输送技术骨干；蓝山县职业中等专业学校与高校联合共建皮具设计专业，直接支撑了年产值突破40亿元的本地特色轻工产业发展；</w:t>
      </w:r>
      <w:r>
        <w:rPr>
          <w:rFonts w:ascii="仿宋_GB2312" w:eastAsia="仿宋_GB2312"/>
          <w:color w:val="FF0000"/>
          <w:sz w:val="32"/>
          <w:szCs w:val="32"/>
        </w:rPr>
        <w:t>宁远县职业中专学校</w:t>
      </w:r>
      <w:r>
        <w:rPr>
          <w:rFonts w:ascii="仿宋_GB2312" w:eastAsia="仿宋_GB2312"/>
          <w:sz w:val="32"/>
          <w:szCs w:val="32"/>
        </w:rPr>
        <w:t>则依托“楚怡”优质专业群，在装备制造和汽车后市场服务等领域深化“引企入校”项目化教学改革。此外，冷水滩区、零陵区的中职学校积极面向电子信息、生物医药等新兴产业，通过在企业设立培训中心、推动课堂进车间等方式，为园区经济定向培养复合型技术技能人才。二是活化地域文化</w:t>
      </w:r>
      <w:r>
        <w:rPr>
          <w:rFonts w:ascii="仿宋_GB2312" w:eastAsia="仿宋_GB2312" w:hint="eastAsia"/>
          <w:sz w:val="32"/>
          <w:szCs w:val="32"/>
        </w:rPr>
        <w:t>，厚植育人底蕴。在筑牢育人根基方面，全市各校常态化推进“非遗进校园”，将江永女书、瑶族服饰与织锦、长鼓舞等</w:t>
      </w:r>
      <w:r>
        <w:rPr>
          <w:rFonts w:ascii="仿宋_GB2312" w:eastAsia="仿宋_GB2312"/>
          <w:sz w:val="32"/>
          <w:szCs w:val="32"/>
        </w:rPr>
        <w:t>70多个代表性项目纳入教学计划，邀请传承人授课，实现文化传承与技能培养有机结合。其中，</w:t>
      </w:r>
      <w:r>
        <w:rPr>
          <w:rFonts w:ascii="仿宋_GB2312" w:eastAsia="仿宋_GB2312"/>
          <w:color w:val="FF0000"/>
          <w:sz w:val="32"/>
          <w:szCs w:val="32"/>
        </w:rPr>
        <w:t>江华瑶族自治县职业中专学校</w:t>
      </w:r>
      <w:r>
        <w:rPr>
          <w:rFonts w:ascii="仿宋_GB2312" w:eastAsia="仿宋_GB2312"/>
          <w:sz w:val="32"/>
          <w:szCs w:val="32"/>
        </w:rPr>
        <w:t>的做法具有代表性。该校将瑶族织锦、刺绣等核心技艺通过“三教”（教师、教材、教法）联动模式，系统融入服装专业教学。师生共同设计开发的文创产品不仅获得了省级教学成果认定，也成功走向市场，使古老的民族文化在校园内实现了“活态”传承与当代创新。三是聚焦特色农业，赋能乡村振兴。职业教育积极面向地方农</w:t>
      </w:r>
      <w:r>
        <w:rPr>
          <w:rFonts w:ascii="仿宋_GB2312" w:eastAsia="仿宋_GB2312" w:hint="eastAsia"/>
          <w:sz w:val="32"/>
          <w:szCs w:val="32"/>
        </w:rPr>
        <w:t>业特色，提供全产业链的精准技能服务。以打造“新田富硒”区域公用品牌为例，新田县职业中等专业学校将着力点放在品牌营销与电商推广等产业链后端环节，通过开展直播带货等实操培训，并与精心培育的“新田保姆”特色劳务品牌联动，形成了培训、就业、服务产业衔接的技能赋能模式。与此同时，各县区结合自身资源禀赋，开展了形式多样的精准技能培训：</w:t>
      </w:r>
      <w:r>
        <w:rPr>
          <w:rFonts w:ascii="仿宋_GB2312" w:eastAsia="仿宋_GB2312" w:hint="eastAsia"/>
          <w:color w:val="FF0000"/>
          <w:sz w:val="32"/>
          <w:szCs w:val="32"/>
        </w:rPr>
        <w:t>江永县职业中专学校</w:t>
      </w:r>
      <w:r>
        <w:rPr>
          <w:rFonts w:ascii="仿宋_GB2312" w:eastAsia="仿宋_GB2312" w:hint="eastAsia"/>
          <w:sz w:val="32"/>
          <w:szCs w:val="32"/>
        </w:rPr>
        <w:t>围绕香柚产业培育电商“本土网红”；</w:t>
      </w:r>
      <w:r>
        <w:rPr>
          <w:rFonts w:ascii="仿宋_GB2312" w:eastAsia="仿宋_GB2312" w:hint="eastAsia"/>
          <w:color w:val="FF0000"/>
          <w:sz w:val="32"/>
          <w:szCs w:val="32"/>
        </w:rPr>
        <w:t>东安县职业中专学校</w:t>
      </w:r>
      <w:r>
        <w:rPr>
          <w:rFonts w:ascii="仿宋_GB2312" w:eastAsia="仿宋_GB2312" w:hint="eastAsia"/>
          <w:sz w:val="32"/>
          <w:szCs w:val="32"/>
        </w:rPr>
        <w:t>着力打造“东安鸡金牌厨师”劳务品牌；双牌县职业技术学校针对虎爪姜、油茶等特产开展管护与加工技能培训；</w:t>
      </w:r>
      <w:r>
        <w:rPr>
          <w:rFonts w:ascii="仿宋_GB2312" w:eastAsia="仿宋_GB2312"/>
          <w:color w:val="FF0000"/>
          <w:sz w:val="32"/>
          <w:szCs w:val="32"/>
        </w:rPr>
        <w:t>永州市</w:t>
      </w:r>
      <w:r>
        <w:rPr>
          <w:rFonts w:ascii="仿宋_GB2312" w:eastAsia="仿宋_GB2312" w:hint="eastAsia"/>
          <w:color w:val="FF0000"/>
          <w:sz w:val="32"/>
          <w:szCs w:val="32"/>
        </w:rPr>
        <w:t>工</w:t>
      </w:r>
      <w:r>
        <w:rPr>
          <w:rFonts w:ascii="仿宋_GB2312" w:eastAsia="仿宋_GB2312"/>
          <w:color w:val="FF0000"/>
          <w:sz w:val="32"/>
          <w:szCs w:val="32"/>
        </w:rPr>
        <w:t>业</w:t>
      </w:r>
      <w:r>
        <w:rPr>
          <w:rFonts w:ascii="仿宋_GB2312" w:eastAsia="仿宋_GB2312" w:hint="eastAsia"/>
          <w:color w:val="FF0000"/>
          <w:sz w:val="32"/>
          <w:szCs w:val="32"/>
        </w:rPr>
        <w:t>贸</w:t>
      </w:r>
      <w:r>
        <w:rPr>
          <w:rFonts w:ascii="仿宋_GB2312" w:eastAsia="仿宋_GB2312"/>
          <w:color w:val="FF0000"/>
          <w:sz w:val="32"/>
          <w:szCs w:val="32"/>
        </w:rPr>
        <w:t>易中等专业</w:t>
      </w:r>
      <w:r>
        <w:rPr>
          <w:rFonts w:ascii="仿宋_GB2312" w:eastAsia="仿宋_GB2312" w:hint="eastAsia"/>
          <w:color w:val="FF0000"/>
          <w:sz w:val="32"/>
          <w:szCs w:val="32"/>
        </w:rPr>
        <w:t>学校</w:t>
      </w:r>
      <w:r>
        <w:rPr>
          <w:rFonts w:ascii="仿宋_GB2312" w:eastAsia="仿宋_GB2312" w:hint="eastAsia"/>
          <w:sz w:val="32"/>
          <w:szCs w:val="32"/>
        </w:rPr>
        <w:t>则发挥综合培训优势，面向农村转移劳动力开展电工、汽车维修等多工种“订单式”培训，为乡村振兴提供了多层次的人才支撑。总体来说，通过将区域产业的核心需求、民族文化的深厚底蕴以及县域特色的优势资源，全方位、系统化地融入教育教学、课程改革与社会服务全过程，永州市中等职业教育有效增强了与经济社会发展的适应性，提升了服务地方的贡献度，探索出一条依托地方、服务地方的特色发展道路。</w:t>
      </w:r>
    </w:p>
    <w:p>
      <w:pPr>
        <w:pStyle w:val="1"/>
        <w:spacing w:beforeLines="50" w:before="156" w:afterLines="50" w:after="156" w:line="520" w:lineRule="exact"/>
        <w:ind w:firstLineChars="200" w:firstLine="640"/>
        <w:rPr>
          <w:rFonts w:ascii="黑体" w:eastAsia="黑体"/>
          <w:b w:val="0"/>
          <w:bCs w:val="0"/>
          <w:sz w:val="32"/>
          <w:szCs w:val="32"/>
          <w:shd w:val="clear" w:color="auto" w:fill="FFFFFF"/>
        </w:rPr>
      </w:pPr>
      <w:bookmarkStart w:id="4" w:name="_Toc218688907"/>
      <w:bookmarkStart w:id="5" w:name="_Toc31861"/>
      <w:bookmarkStart w:id="6" w:name="_Toc218617426"/>
      <w:r>
        <w:rPr>
          <w:rFonts w:ascii="黑体" w:eastAsia="黑体"/>
          <w:b w:val="0"/>
          <w:bCs w:val="0"/>
          <w:sz w:val="32"/>
          <w:szCs w:val="32"/>
          <w:shd w:val="clear" w:color="auto" w:fill="FFFFFF"/>
        </w:rPr>
        <w:t>1. 发展概览</w:t>
      </w:r>
      <w:bookmarkEnd w:id="4"/>
      <w:bookmarkEnd w:id="5"/>
      <w:bookmarkEnd w:id="6"/>
    </w:p>
    <w:p>
      <w:pPr>
        <w:spacing w:line="560" w:lineRule="exact"/>
        <w:ind w:firstLineChars="200" w:firstLine="640"/>
        <w:rPr>
          <w:rFonts w:ascii="仿宋_GB2312" w:eastAsia="仿宋_GB2312"/>
          <w:sz w:val="32"/>
          <w:szCs w:val="32"/>
        </w:rPr>
      </w:pPr>
      <w:r>
        <w:rPr>
          <w:rFonts w:ascii="仿宋_GB2312" w:eastAsia="仿宋_GB2312"/>
          <w:sz w:val="32"/>
          <w:szCs w:val="32"/>
        </w:rPr>
        <w:t>2025年，永州市中等职业教育紧扣国家职业教育改革发展战略，深度对接湖南省“三高四新”战略与永州“三区两城”区域经济布局，以“楚怡”职教品牌建设为核心抓手，深化产教融合、校企协同，推进内涵式高质量发展。全年办学规模稳步扩容、办学质量持续升级，服务区域产业升级与民生就业的能力显著增强，为永州经济社会发展提供了坚实的技术技能人才支撑。</w:t>
      </w:r>
    </w:p>
    <w:p>
      <w:pPr>
        <w:pStyle w:val="2"/>
        <w:spacing w:before="0" w:after="0" w:line="560" w:lineRule="exact"/>
        <w:ind w:firstLineChars="200" w:firstLine="640"/>
        <w:rPr>
          <w:rFonts w:ascii="楷体" w:eastAsia="楷体"/>
          <w:shd w:val="clear" w:color="auto" w:fill="FFFFFF"/>
        </w:rPr>
      </w:pPr>
      <w:bookmarkStart w:id="7" w:name="_Toc218688908"/>
      <w:bookmarkStart w:id="8" w:name="_Toc23625"/>
      <w:r>
        <w:rPr>
          <w:rFonts w:ascii="楷体" w:eastAsia="楷体"/>
          <w:shd w:val="clear" w:color="auto" w:fill="FFFFFF"/>
        </w:rPr>
        <w:t>1.1学校概况</w:t>
      </w:r>
      <w:bookmarkEnd w:id="7"/>
      <w:bookmarkEnd w:id="8"/>
    </w:p>
    <w:p>
      <w:pPr>
        <w:spacing w:line="560" w:lineRule="exact"/>
        <w:ind w:firstLineChars="200" w:firstLine="640"/>
        <w:rPr>
          <w:rFonts w:ascii="仿宋_GB2312" w:eastAsia="仿宋_GB2312"/>
          <w:sz w:val="32"/>
          <w:szCs w:val="32"/>
        </w:rPr>
      </w:pPr>
      <w:r>
        <w:rPr>
          <w:rFonts w:ascii="仿宋_GB2312" w:eastAsia="仿宋_GB2312" w:hint="eastAsia"/>
          <w:sz w:val="32"/>
          <w:szCs w:val="32"/>
        </w:rPr>
        <w:t>永州市现有全日制公办中职学校</w:t>
      </w:r>
      <w:r>
        <w:rPr>
          <w:rFonts w:ascii="仿宋_GB2312" w:eastAsia="仿宋_GB2312"/>
          <w:sz w:val="32"/>
          <w:szCs w:val="32"/>
        </w:rPr>
        <w:t>12所（祁阳市职业中等专业学校（以下简称“祁阳职中”）、永州市工商职业中等专业学校（以下简称“工商职中”）、永州市工业贸易中等专业学校（以下简称“永州工贸学校”）、宁远县职业中专学校（以下简称“宁远职中”）、蓝山县职业中等专业学校（以下简称“蓝山职中”）、永州市综合职业中等专业学校（以下简称“永州综职”）、东安县职业中专学校（以下简称“东安职中”）、江华瑶族自治县职业中专学校（以下简称“江华职中”）、江永县职业中专学校（以下简称“江永职中”）、新田县职业中等专业学校（以下简称“新</w:t>
      </w:r>
      <w:r>
        <w:rPr>
          <w:rFonts w:ascii="仿宋_GB2312" w:eastAsia="仿宋_GB2312" w:hint="eastAsia"/>
          <w:sz w:val="32"/>
          <w:szCs w:val="32"/>
        </w:rPr>
        <w:t>田职中”）、双牌县职业技术学校（以下简称“双牌职中”）、永州市特教职业技术学校），均为区域骨干职业院校，</w:t>
      </w:r>
      <w:r>
        <w:rPr>
          <w:rFonts w:ascii="仿宋_GB2312" w:eastAsia="仿宋_GB2312"/>
          <w:color w:val="FF0000"/>
          <w:sz w:val="32"/>
          <w:szCs w:val="32"/>
        </w:rPr>
        <w:t>13</w:t>
      </w:r>
      <w:r>
        <w:rPr>
          <w:rFonts w:ascii="仿宋_GB2312" w:eastAsia="仿宋_GB2312"/>
          <w:sz w:val="32"/>
          <w:szCs w:val="32"/>
        </w:rPr>
        <w:t>所民办中职学校（</w:t>
      </w:r>
      <w:r>
        <w:rPr>
          <w:rFonts w:ascii="仿宋_GB2312" w:eastAsia="仿宋_GB2312"/>
          <w:color w:val="FF0000"/>
          <w:sz w:val="32"/>
          <w:szCs w:val="32"/>
        </w:rPr>
        <w:t>宁远县启德中等职业技术学校、宁远县九嶷理工学校、永州市科讯中等职业技术学校、永州湘南旅游学校、永州铁航职业技术学校、永州九嶷工业学校、永州潇湘康卫中等职业技术学校、永州艺文中等职业技术学校、永州市方政职业技术学校、永州市德顺中等职业技术学校、永州龙翔中等职业技术学校、永州市海嘉中等职业技术学校、永州东方尚科职业技术学校</w:t>
      </w:r>
      <w:r>
        <w:rPr>
          <w:rFonts w:ascii="仿宋_GB2312" w:eastAsia="仿宋_GB2312"/>
          <w:sz w:val="32"/>
          <w:szCs w:val="32"/>
        </w:rPr>
        <w:t>）覆盖全市全部县域。其中，国家级重点中职学校3所（工商职中、永州工贸学校、江华职中），国家中等职业教育改革发展示范学校3所（工商职中、祁阳职中、永州工贸学校），湖南省卓越中等职业学校3所（祁阳职中、永州工贸学校、工商职中），湖南省示范性中等职业学校5所（蓝山职中、</w:t>
      </w:r>
      <w:r>
        <w:rPr>
          <w:rFonts w:ascii="仿宋_GB2312" w:eastAsia="仿宋_GB2312" w:hint="eastAsia"/>
          <w:color w:val="FF0000"/>
          <w:sz w:val="32"/>
          <w:szCs w:val="32"/>
        </w:rPr>
        <w:t>永州综职</w:t>
      </w:r>
      <w:r>
        <w:rPr>
          <w:rFonts w:ascii="仿宋_GB2312" w:eastAsia="仿宋_GB2312" w:hint="eastAsia"/>
          <w:sz w:val="32"/>
          <w:szCs w:val="32"/>
        </w:rPr>
        <w:t>、永州工商职中、宁远职中、江华职中）；</w:t>
      </w:r>
      <w:r>
        <w:rPr>
          <w:rFonts w:ascii="仿宋_GB2312" w:eastAsia="仿宋_GB2312"/>
          <w:sz w:val="32"/>
          <w:szCs w:val="32"/>
        </w:rPr>
        <w:t>8所学校（祁阳职中、宁远职中、江华职中、永州工贸学校、蓝山职中、永州综职、工商职中、新田职中）均入选湖南省“楚怡”优质中职学校建设计划，其中3所湖南省楚怡优质中职学校建设计划建设单位A档，5所湖南省楚怡优质中职专业（群）建设计划建设单位A档，形成了“国家级示范引领、省级优质支撑、县域特色发展”的办学格局。</w:t>
      </w:r>
    </w:p>
    <w:p>
      <w:pPr>
        <w:rPr>
          <w:color w:val="1F2329"/>
          <w:kern w:val="0"/>
          <w:sz w:val="32"/>
          <w:szCs w:val="32"/>
          <w:shd w:val="clear" w:color="auto" w:fill="FFFFFF"/>
        </w:rPr>
      </w:pPr>
      <w:r>
        <w:drawing>
          <wp:inline distT="0" distB="0" distL="114300" distR="114300">
            <wp:extent cx="5241925" cy="2994660"/>
            <wp:effectExtent l="0" t="0" r="0" b="0"/>
            <wp:docPr id="13" name="图表 2"/>
            <wp:cNvGraphicFramePr>
              <a:graphicFrameLocks noChangeAspect="0"/>
            </wp:cNvGraphicFramePr>
            <a:graphic>
              <a:graphicData uri="http://schemas.openxmlformats.org/drawingml/2006/chart">
                <c:chart xmlns:c="http://schemas.openxmlformats.org/drawingml/2006/chart" r:id="rId9"/>
              </a:graphicData>
            </a:graphic>
          </wp:inline>
        </w:drawing>
      </w:r>
    </w:p>
    <w:p>
      <w:pPr>
        <w:pStyle w:val="23"/>
        <w:widowControl/>
        <w:spacing w:afterLines="50" w:after="156" w:line="240" w:lineRule="auto"/>
        <w:ind w:firstLineChars="0" w:firstLine="0"/>
        <w:jc w:val="center"/>
        <w:outlineLvl w:val="2"/>
        <w:rPr>
          <w:rFonts w:ascii="宋体" w:eastAsia="宋体"/>
          <w:b/>
          <w:bCs/>
          <w:kern w:val="0"/>
        </w:rPr>
      </w:pPr>
      <w:bookmarkStart w:id="9" w:name="_Toc218688621"/>
      <w:r>
        <w:rPr>
          <w:rFonts w:ascii="宋体" w:eastAsia="宋体" w:hint="eastAsia"/>
          <w:b/>
          <w:bCs/>
          <w:kern w:val="0"/>
        </w:rPr>
        <w:t>图1</w:t>
      </w:r>
      <w:r>
        <w:rPr>
          <w:rFonts w:ascii="宋体" w:eastAsia="宋体"/>
          <w:b/>
          <w:bCs/>
          <w:kern w:val="0"/>
        </w:rPr>
        <w:t>-1 永州市中职学校发展概况</w:t>
      </w:r>
      <w:bookmarkEnd w:id="9"/>
    </w:p>
    <w:p>
      <w:pPr>
        <w:spacing w:line="560" w:lineRule="exact"/>
        <w:ind w:firstLineChars="200" w:firstLine="640"/>
        <w:rPr>
          <w:rFonts w:ascii="仿宋_GB2312" w:eastAsia="仿宋_GB2312"/>
          <w:sz w:val="32"/>
          <w:szCs w:val="32"/>
        </w:rPr>
      </w:pPr>
      <w:r>
        <w:rPr>
          <w:rFonts w:ascii="仿宋_GB2312" w:eastAsia="仿宋_GB2312" w:hint="eastAsia"/>
          <w:sz w:val="32"/>
          <w:szCs w:val="32"/>
        </w:rPr>
        <w:t>学校基础硬件布局合理：总占地面积2538.9亩，总建筑面积104.6万平方米，功能分区明确。各校形成差异化特色办学模式：蓝山职中聚焦“技能就业、对口升学、社会培训”三位一体；永州工贸学校强化“农教融合、服务乡村振兴”特色；永州工商职中构建“机械制造、电子信息、文化旅游”三大专业群协同发展模式。2025年，永州市中职学校累计荣获省级以上荣誉32项，其中“全国教育系统先进集体”1项、“湖南省文明校园”3项，办学影响力持续扩大。</w:t>
      </w:r>
    </w:p>
    <w:p>
      <w:pPr>
        <w:pStyle w:val="2"/>
        <w:spacing w:before="0" w:after="0" w:line="560" w:lineRule="exact"/>
        <w:ind w:firstLineChars="200" w:firstLine="640"/>
        <w:rPr>
          <w:rFonts w:ascii="楷体" w:eastAsia="楷体"/>
          <w:shd w:val="clear" w:color="auto" w:fill="FFFFFF"/>
        </w:rPr>
      </w:pPr>
      <w:bookmarkStart w:id="10" w:name="_Toc7535"/>
      <w:bookmarkStart w:id="11" w:name="_Toc218688909"/>
      <w:r>
        <w:rPr>
          <w:rFonts w:ascii="楷体" w:eastAsia="楷体"/>
          <w:shd w:val="clear" w:color="auto" w:fill="FFFFFF"/>
        </w:rPr>
        <w:t>1.2专业情况</w:t>
      </w:r>
      <w:bookmarkEnd w:id="10"/>
      <w:bookmarkEnd w:id="11"/>
    </w:p>
    <w:p>
      <w:pPr>
        <w:spacing w:line="560" w:lineRule="exact"/>
        <w:ind w:firstLineChars="200" w:firstLine="640"/>
        <w:rPr>
          <w:rFonts w:ascii="仿宋_GB2312" w:eastAsia="仿宋_GB2312"/>
          <w:b/>
          <w:bCs/>
          <w:sz w:val="32"/>
          <w:szCs w:val="32"/>
        </w:rPr>
      </w:pPr>
      <w:r>
        <w:rPr>
          <w:rFonts w:ascii="仿宋_GB2312" w:eastAsia="仿宋_GB2312"/>
          <w:b/>
          <w:bCs/>
          <w:sz w:val="32"/>
          <w:szCs w:val="32"/>
        </w:rPr>
        <w:t>1.2.1专业设置与调整</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紧扣区域产业需求，</w:t>
      </w:r>
      <w:r>
        <w:rPr>
          <w:rFonts w:ascii="仿宋_GB2312" w:eastAsia="仿宋_GB2312"/>
          <w:sz w:val="32"/>
          <w:szCs w:val="32"/>
        </w:rPr>
        <w:t>2025年永州市中职学校共开设专业</w:t>
      </w:r>
      <w:r>
        <w:rPr>
          <w:rFonts w:ascii="仿宋_GB2312" w:eastAsia="仿宋_GB2312"/>
          <w:color w:val="FF0000"/>
          <w:sz w:val="32"/>
          <w:szCs w:val="32"/>
        </w:rPr>
        <w:t>215</w:t>
      </w:r>
      <w:r>
        <w:rPr>
          <w:rFonts w:ascii="仿宋_GB2312" w:eastAsia="仿宋_GB2312"/>
          <w:sz w:val="32"/>
          <w:szCs w:val="32"/>
        </w:rPr>
        <w:t>个（2024年213个），涵盖装备制造、电子信息、商贸服务等7大类别，建成省级“楚怡”优质专业群16个（A档12个），核心覆盖机电技术应用、数控技术应用、汽车运用与维修等区域重点产业领域。</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专业动态调整机制健全：</w:t>
      </w:r>
      <w:r>
        <w:rPr>
          <w:rFonts w:ascii="仿宋_GB2312" w:eastAsia="仿宋_GB2312"/>
          <w:sz w:val="32"/>
          <w:szCs w:val="32"/>
        </w:rPr>
        <w:t>2025年新增无人机操控与维护、直播电商服务、智慧健康养老服务等新兴产业适配专业11个，撤销与产业需求脱节的专业</w:t>
      </w:r>
      <w:r>
        <w:rPr>
          <w:rFonts w:ascii="仿宋_GB2312" w:eastAsia="仿宋_GB2312"/>
          <w:color w:val="FF0000"/>
          <w:sz w:val="32"/>
          <w:szCs w:val="32"/>
        </w:rPr>
        <w:t>24</w:t>
      </w:r>
      <w:r>
        <w:rPr>
          <w:rFonts w:ascii="仿宋_GB2312" w:eastAsia="仿宋_GB2312"/>
          <w:sz w:val="32"/>
          <w:szCs w:val="32"/>
        </w:rPr>
        <w:t>个；165个专业获评永州市绿牌专业，占比达</w:t>
      </w:r>
      <w:r>
        <w:rPr>
          <w:rFonts w:ascii="仿宋_GB2312" w:eastAsia="仿宋_GB2312"/>
          <w:color w:val="FF0000"/>
          <w:sz w:val="32"/>
          <w:szCs w:val="32"/>
        </w:rPr>
        <w:t>76.74</w:t>
      </w:r>
      <w:r>
        <w:rPr>
          <w:rFonts w:ascii="仿宋_GB2312" w:eastAsia="仿宋_GB2312"/>
          <w:sz w:val="32"/>
          <w:szCs w:val="32"/>
        </w:rPr>
        <w:t>%，其中</w:t>
      </w:r>
      <w:r>
        <w:rPr>
          <w:rFonts w:ascii="仿宋_GB2312" w:eastAsia="仿宋_GB2312"/>
          <w:color w:val="FF0000"/>
          <w:sz w:val="32"/>
          <w:szCs w:val="32"/>
        </w:rPr>
        <w:t>14</w:t>
      </w:r>
      <w:r>
        <w:rPr>
          <w:rFonts w:ascii="仿宋_GB2312" w:eastAsia="仿宋_GB2312"/>
          <w:sz w:val="32"/>
          <w:szCs w:val="32"/>
        </w:rPr>
        <w:t>个专业被认定为市级产教融合示范专业。</w:t>
      </w:r>
    </w:p>
    <w:p>
      <w:pPr>
        <w:spacing w:line="560" w:lineRule="exact"/>
        <w:ind w:firstLineChars="200" w:firstLine="640"/>
        <w:rPr>
          <w:rFonts w:ascii="仿宋_GB2312" w:eastAsia="仿宋_GB2312"/>
          <w:b/>
          <w:bCs/>
          <w:sz w:val="32"/>
          <w:szCs w:val="32"/>
        </w:rPr>
      </w:pPr>
      <w:r>
        <w:rPr>
          <w:rFonts w:ascii="仿宋_GB2312" w:eastAsia="仿宋_GB2312"/>
          <w:b/>
          <w:bCs/>
          <w:sz w:val="32"/>
          <w:szCs w:val="32"/>
        </w:rPr>
        <w:t>1.2.2课程与资源建设</w:t>
      </w:r>
    </w:p>
    <w:p>
      <w:pPr>
        <w:spacing w:line="560" w:lineRule="exact"/>
        <w:ind w:firstLineChars="200" w:firstLine="640"/>
        <w:rPr>
          <w:rFonts w:ascii="仿宋_GB2312" w:eastAsia="仿宋_GB2312"/>
          <w:sz w:val="32"/>
          <w:szCs w:val="32"/>
        </w:rPr>
      </w:pPr>
      <w:r>
        <w:rPr>
          <w:rFonts w:ascii="仿宋_GB2312" w:eastAsia="仿宋_GB2312"/>
          <w:sz w:val="32"/>
          <w:szCs w:val="32"/>
        </w:rPr>
        <w:t>2025年教学计划内课程总数达3118门（2024年3136门），总学时380960学时；课证融通课程70门，职业技能等级证书试点覆盖42个专业。专业教学资源库数量从2024年的19个增至2025年的29个，其中国家级资源库从1个增至2个。</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在线精品课程建设成效显著：</w:t>
      </w:r>
      <w:r>
        <w:rPr>
          <w:rFonts w:ascii="仿宋_GB2312" w:eastAsia="仿宋_GB2312"/>
          <w:sz w:val="32"/>
          <w:szCs w:val="32"/>
        </w:rPr>
        <w:t>2025年在线精品课程达93门（2024年75门），总学时6463学时（2024年3942学时）；其中国家级在线精品课程10门（2024年2门）、省级在线精品课程45门（2024年43门），形成“专业对接产业、课程对接岗位、证书对接能力”的良性育人生态。</w:t>
      </w:r>
    </w:p>
    <w:p>
      <w:pPr>
        <w:spacing w:line="560" w:lineRule="exact"/>
        <w:ind w:firstLineChars="200" w:firstLine="640"/>
        <w:rPr>
          <w:rFonts w:ascii="仿宋_GB2312" w:eastAsia="仿宋_GB2312"/>
          <w:b/>
          <w:bCs/>
          <w:sz w:val="32"/>
          <w:szCs w:val="32"/>
        </w:rPr>
      </w:pPr>
      <w:r>
        <w:rPr>
          <w:rFonts w:ascii="仿宋_GB2312" w:eastAsia="仿宋_GB2312"/>
          <w:b/>
          <w:bCs/>
          <w:sz w:val="32"/>
          <w:szCs w:val="32"/>
        </w:rPr>
        <w:t>1.2.3教材与实训资源</w:t>
      </w:r>
    </w:p>
    <w:p>
      <w:pPr>
        <w:spacing w:line="560" w:lineRule="exact"/>
        <w:ind w:firstLineChars="200" w:firstLine="640"/>
        <w:rPr>
          <w:rFonts w:ascii="仿宋_GB2312" w:eastAsia="仿宋_GB2312"/>
          <w:sz w:val="32"/>
          <w:szCs w:val="32"/>
        </w:rPr>
      </w:pPr>
      <w:r>
        <w:rPr>
          <w:rFonts w:ascii="仿宋_GB2312" w:eastAsia="仿宋_GB2312"/>
          <w:sz w:val="32"/>
          <w:szCs w:val="32"/>
        </w:rPr>
        <w:t>2025年编写教材125本（2024年205本），其中国家规划教材8本（2024年149本）、校企合作教材38本（2024年54本）。虚拟仿真实训基地数量保持19个，校级实训基地从2024年的19个增至2025年的21个，核心实训设备达到行业先进水平。</w:t>
      </w:r>
    </w:p>
    <w:p>
      <w:pPr>
        <w:jc w:val="center"/>
        <w:rPr>
          <w:color w:val="1F2329"/>
          <w:kern w:val="0"/>
          <w:sz w:val="32"/>
          <w:szCs w:val="32"/>
          <w:shd w:val="clear" w:color="auto" w:fill="FFFFFF"/>
        </w:rPr>
      </w:pPr>
      <w:r>
        <w:drawing>
          <wp:inline distT="0" distB="0" distL="114300" distR="114300">
            <wp:extent cx="4826000" cy="2743200"/>
            <wp:effectExtent l="0" t="0" r="0" b="0"/>
            <wp:docPr id="14" name="图表 1"/>
            <wp:cNvGraphicFramePr>
              <a:graphicFrameLocks noChangeAspect="0"/>
            </wp:cNvGraphicFramePr>
            <a:graphic>
              <a:graphicData uri="http://schemas.openxmlformats.org/drawingml/2006/chart">
                <c:chart xmlns:c="http://schemas.openxmlformats.org/drawingml/2006/chart" r:id="rId10"/>
              </a:graphicData>
            </a:graphic>
          </wp:inline>
        </w:drawing>
      </w:r>
    </w:p>
    <w:p>
      <w:pPr>
        <w:pStyle w:val="23"/>
        <w:widowControl/>
        <w:spacing w:afterLines="50" w:after="156" w:line="240" w:lineRule="auto"/>
        <w:ind w:firstLineChars="0" w:firstLine="0"/>
        <w:jc w:val="center"/>
        <w:outlineLvl w:val="2"/>
        <w:rPr>
          <w:rFonts w:eastAsia="等线" w:cs="Arial"/>
          <w:color w:val="1F2329"/>
          <w:kern w:val="0"/>
          <w:sz w:val="32"/>
          <w:szCs w:val="32"/>
          <w:shd w:val="clear" w:color="auto" w:fill="FFFFFF"/>
        </w:rPr>
      </w:pPr>
      <w:bookmarkStart w:id="12" w:name="_Toc218688622"/>
      <w:r>
        <w:rPr>
          <w:rFonts w:ascii="宋体" w:eastAsia="宋体" w:hint="eastAsia"/>
          <w:b/>
          <w:bCs/>
          <w:kern w:val="0"/>
        </w:rPr>
        <w:t>图1</w:t>
      </w:r>
      <w:r>
        <w:rPr>
          <w:rFonts w:ascii="宋体" w:eastAsia="宋体"/>
          <w:b/>
          <w:bCs/>
          <w:kern w:val="0"/>
        </w:rPr>
        <w:t>-2 2024年与2025年教材与实训资源对比</w:t>
      </w:r>
      <w:bookmarkEnd w:id="12"/>
    </w:p>
    <w:p>
      <w:pPr>
        <w:pStyle w:val="2"/>
        <w:spacing w:before="0" w:after="0" w:line="560" w:lineRule="exact"/>
        <w:ind w:firstLineChars="200" w:firstLine="640"/>
        <w:rPr>
          <w:rFonts w:ascii="楷体" w:eastAsia="楷体"/>
          <w:shd w:val="clear" w:color="auto" w:fill="FFFFFF"/>
        </w:rPr>
      </w:pPr>
      <w:bookmarkStart w:id="13" w:name="_Toc218688910"/>
      <w:bookmarkStart w:id="14" w:name="_Toc333"/>
      <w:r>
        <w:rPr>
          <w:rFonts w:ascii="楷体" w:eastAsia="楷体"/>
          <w:shd w:val="clear" w:color="auto" w:fill="FFFFFF"/>
        </w:rPr>
        <w:t>1.3 学生情况</w:t>
      </w:r>
      <w:bookmarkEnd w:id="13"/>
      <w:bookmarkEnd w:id="14"/>
    </w:p>
    <w:p>
      <w:pPr>
        <w:spacing w:line="560" w:lineRule="exact"/>
        <w:ind w:firstLineChars="200" w:firstLine="640"/>
        <w:rPr>
          <w:rFonts w:ascii="仿宋_GB2312" w:eastAsia="仿宋_GB2312"/>
          <w:b/>
          <w:bCs/>
          <w:sz w:val="32"/>
          <w:szCs w:val="32"/>
        </w:rPr>
      </w:pPr>
      <w:r>
        <w:rPr>
          <w:rFonts w:ascii="仿宋_GB2312" w:eastAsia="仿宋_GB2312"/>
          <w:b/>
          <w:bCs/>
          <w:sz w:val="32"/>
          <w:szCs w:val="32"/>
        </w:rPr>
        <w:t>1.3.1规模与结构</w:t>
      </w:r>
    </w:p>
    <w:p>
      <w:pPr>
        <w:spacing w:line="560" w:lineRule="exact"/>
        <w:ind w:firstLineChars="200" w:firstLine="640"/>
        <w:rPr>
          <w:rFonts w:ascii="仿宋_GB2312" w:eastAsia="仿宋_GB2312"/>
          <w:sz w:val="32"/>
          <w:szCs w:val="32"/>
        </w:rPr>
      </w:pPr>
      <w:r>
        <w:rPr>
          <w:rFonts w:ascii="仿宋_GB2312" w:eastAsia="仿宋_GB2312"/>
          <w:sz w:val="32"/>
          <w:szCs w:val="32"/>
        </w:rPr>
        <w:t>2025年，永州市中职学校全日制在校生规模达</w:t>
      </w:r>
      <w:r>
        <w:rPr>
          <w:rFonts w:ascii="仿宋_GB2312" w:eastAsia="仿宋_GB2312"/>
          <w:color w:val="FF0000"/>
          <w:sz w:val="32"/>
          <w:szCs w:val="32"/>
        </w:rPr>
        <w:t>69393</w:t>
      </w:r>
      <w:r>
        <w:rPr>
          <w:rFonts w:ascii="仿宋_GB2312" w:eastAsia="仿宋_GB2312"/>
          <w:sz w:val="32"/>
          <w:szCs w:val="32"/>
        </w:rPr>
        <w:t>人（2024年75541人），年度毕业生25102人（2024年26368人），毕业生去向落实人数23144人（2024年22356人），招生与毕业规模保持动态平衡。</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学生结构均衡：在校生中男女比例为</w:t>
      </w:r>
      <w:r>
        <w:rPr>
          <w:rFonts w:ascii="仿宋_GB2312" w:eastAsia="仿宋_GB2312"/>
          <w:sz w:val="32"/>
          <w:szCs w:val="32"/>
        </w:rPr>
        <w:t>1.11:1；少数民族学生占</w:t>
      </w:r>
      <w:r>
        <w:rPr>
          <w:rFonts w:ascii="仿宋_GB2312" w:eastAsia="仿宋_GB2312"/>
          <w:color w:val="FF0000"/>
          <w:sz w:val="32"/>
          <w:szCs w:val="32"/>
        </w:rPr>
        <w:t>19.8</w:t>
      </w:r>
      <w:r>
        <w:rPr>
          <w:rFonts w:ascii="仿宋_GB2312" w:eastAsia="仿宋_GB2312"/>
          <w:sz w:val="32"/>
          <w:szCs w:val="32"/>
        </w:rPr>
        <w:t>%（主要为瑶族、壮族，集中于宁远、江华县域学校）；学生年巩固率达98.2%，专业技能合格率100%，体质测试合格率98.85%（2024年98.66%），综合素养全面提升。</w:t>
      </w:r>
    </w:p>
    <w:p>
      <w:pPr>
        <w:spacing w:line="560" w:lineRule="exact"/>
        <w:ind w:firstLineChars="200" w:firstLine="640"/>
        <w:rPr>
          <w:rFonts w:ascii="仿宋_GB2312" w:eastAsia="仿宋_GB2312"/>
          <w:b/>
          <w:bCs/>
          <w:sz w:val="32"/>
          <w:szCs w:val="32"/>
        </w:rPr>
      </w:pPr>
      <w:r>
        <w:rPr>
          <w:rFonts w:ascii="仿宋_GB2312" w:eastAsia="仿宋_GB2312"/>
          <w:b/>
          <w:bCs/>
          <w:sz w:val="32"/>
          <w:szCs w:val="32"/>
        </w:rPr>
        <w:t>1.3.2就业与升学</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就业升学双轨并行成效突出：</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就业情况：</w:t>
      </w:r>
      <w:r>
        <w:rPr>
          <w:rFonts w:ascii="仿宋_GB2312" w:eastAsia="仿宋_GB2312"/>
          <w:sz w:val="32"/>
          <w:szCs w:val="32"/>
        </w:rPr>
        <w:t>2025届毕业生初次就业人数10620人（2024年9934人），初次就业平均月收入3825元（2024年3880元），对口就业率</w:t>
      </w:r>
      <w:r>
        <w:rPr>
          <w:rFonts w:ascii="仿宋_GB2312" w:eastAsia="仿宋_GB2312"/>
          <w:color w:val="FF0000"/>
          <w:sz w:val="32"/>
          <w:szCs w:val="32"/>
        </w:rPr>
        <w:t>92.2%</w:t>
      </w:r>
      <w:r>
        <w:rPr>
          <w:rFonts w:ascii="仿宋_GB2312" w:eastAsia="仿宋_GB2312"/>
          <w:sz w:val="32"/>
          <w:szCs w:val="32"/>
        </w:rPr>
        <w:t>，规模以上企业就业占比68.7%；其中留当地就业人数3530人（2024年3901人），到中小企业就业9284人（2024年8696人）。</w:t>
      </w:r>
    </w:p>
    <w:p>
      <w:pPr>
        <w:jc w:val="center"/>
        <w:rPr>
          <w:rFonts w:ascii="宋体" w:eastAsia="宋体" w:cs="Times New Roman"/>
          <w:b/>
          <w:bCs/>
          <w:kern w:val="0"/>
          <w:sz w:val="24"/>
          <w:szCs w:val="24"/>
        </w:rPr>
      </w:pPr>
      <w:r>
        <w:drawing>
          <wp:inline distT="0" distB="0" distL="0" distR="0">
            <wp:extent cx="5320665" cy="3032760"/>
            <wp:effectExtent l="0" t="0" r="0" b="0"/>
            <wp:docPr id="15" name="图表 1"/>
            <wp:cNvGraphicFramePr>
              <a:graphicFrameLocks noChangeAspect="0"/>
            </wp:cNvGraphicFramePr>
            <a:graphic>
              <a:graphicData uri="http://schemas.openxmlformats.org/drawingml/2006/chart">
                <c:chart xmlns:c="http://schemas.openxmlformats.org/drawingml/2006/chart" r:id="rId11"/>
              </a:graphicData>
            </a:graphic>
          </wp:inline>
        </w:drawing>
      </w:r>
    </w:p>
    <w:p>
      <w:pPr>
        <w:jc w:val="center"/>
        <w:outlineLvl w:val="2"/>
        <w:rPr>
          <w:rFonts w:ascii="仿宋_GB2312" w:eastAsia="仿宋_GB2312"/>
          <w:sz w:val="32"/>
          <w:szCs w:val="32"/>
        </w:rPr>
      </w:pPr>
      <w:bookmarkStart w:id="15" w:name="_Toc218688623"/>
      <w:r>
        <w:rPr>
          <w:rFonts w:ascii="宋体" w:eastAsia="宋体" w:cs="Times New Roman" w:hint="eastAsia"/>
          <w:b/>
          <w:bCs/>
          <w:kern w:val="0"/>
          <w:sz w:val="24"/>
          <w:szCs w:val="24"/>
        </w:rPr>
        <w:t>图1</w:t>
      </w:r>
      <w:r>
        <w:rPr>
          <w:rFonts w:ascii="宋体" w:eastAsia="宋体" w:cs="Times New Roman"/>
          <w:b/>
          <w:bCs/>
          <w:kern w:val="0"/>
          <w:sz w:val="24"/>
          <w:szCs w:val="24"/>
        </w:rPr>
        <w:t>-3 永州市2024年与2025年学生就业情况对比</w:t>
      </w:r>
      <w:bookmarkEnd w:id="15"/>
    </w:p>
    <w:p>
      <w:pPr>
        <w:spacing w:line="560" w:lineRule="exact"/>
        <w:ind w:firstLineChars="200" w:firstLine="640"/>
        <w:rPr>
          <w:rFonts w:ascii="仿宋_GB2312" w:eastAsia="仿宋_GB2312"/>
          <w:sz w:val="32"/>
          <w:szCs w:val="32"/>
        </w:rPr>
      </w:pPr>
      <w:r>
        <w:rPr>
          <w:rFonts w:ascii="仿宋_GB2312" w:eastAsia="仿宋_GB2312" w:hint="eastAsia"/>
          <w:sz w:val="32"/>
          <w:szCs w:val="32"/>
        </w:rPr>
        <w:t>升学情况：</w:t>
      </w:r>
      <w:r>
        <w:rPr>
          <w:rFonts w:ascii="仿宋_GB2312" w:eastAsia="仿宋_GB2312"/>
          <w:sz w:val="32"/>
          <w:szCs w:val="32"/>
        </w:rPr>
        <w:t>2025届毕业生升学人数10795人（2024年11494人），其中升入本科院校1528人（2024年881人），本科升学率从2024年的3.34%提升至6.1%；祁阳</w:t>
      </w:r>
      <w:r>
        <w:rPr>
          <w:rFonts w:ascii="仿宋_GB2312" w:eastAsia="仿宋_GB2312" w:hint="eastAsia"/>
          <w:sz w:val="32"/>
          <w:szCs w:val="32"/>
        </w:rPr>
        <w:t>职中</w:t>
      </w:r>
      <w:r>
        <w:rPr>
          <w:rFonts w:ascii="仿宋_GB2312" w:eastAsia="仿宋_GB2312"/>
          <w:sz w:val="32"/>
          <w:szCs w:val="32"/>
        </w:rPr>
        <w:t>本科上线</w:t>
      </w:r>
      <w:r>
        <w:rPr>
          <w:rFonts w:ascii="仿宋_GB2312" w:eastAsia="仿宋_GB2312" w:hint="eastAsia"/>
          <w:sz w:val="32"/>
          <w:szCs w:val="32"/>
        </w:rPr>
        <w:t>人数</w:t>
      </w:r>
      <w:r>
        <w:rPr>
          <w:rFonts w:ascii="仿宋_GB2312" w:eastAsia="仿宋_GB2312"/>
          <w:sz w:val="32"/>
          <w:szCs w:val="32"/>
        </w:rPr>
        <w:t>蝉联全省同类学校前列。</w:t>
      </w:r>
    </w:p>
    <w:p>
      <w:pPr>
        <w:spacing w:line="560" w:lineRule="exact"/>
        <w:ind w:firstLineChars="200" w:firstLine="640"/>
        <w:rPr>
          <w:rFonts w:ascii="仿宋_GB2312" w:eastAsia="仿宋_GB2312"/>
          <w:b/>
          <w:bCs/>
          <w:sz w:val="32"/>
          <w:szCs w:val="32"/>
        </w:rPr>
      </w:pPr>
      <w:r>
        <w:rPr>
          <w:rFonts w:ascii="仿宋_GB2312" w:eastAsia="仿宋_GB2312"/>
          <w:b/>
          <w:bCs/>
          <w:sz w:val="32"/>
          <w:szCs w:val="32"/>
        </w:rPr>
        <w:t>1.3.3满意度评价</w:t>
      </w:r>
    </w:p>
    <w:p>
      <w:pPr>
        <w:spacing w:line="560" w:lineRule="exact"/>
        <w:ind w:firstLineChars="200" w:firstLine="640"/>
        <w:rPr>
          <w:rFonts w:ascii="仿宋_GB2312" w:eastAsia="仿宋_GB2312"/>
          <w:sz w:val="32"/>
          <w:szCs w:val="32"/>
        </w:rPr>
      </w:pPr>
      <w:r>
        <w:rPr>
          <w:rFonts w:ascii="仿宋_GB2312" w:eastAsia="仿宋_GB2312"/>
          <w:sz w:val="32"/>
          <w:szCs w:val="32"/>
        </w:rPr>
        <w:t>2025年在校生满意度达96.2%（2024年94.68%），其中课程育人满意度95.81%（2024年94.28%）、思想政治课满意度96.74%（2024年96.52%）；应届毕业生满意度94.70%（2024年92.20%），用人单位满意度94.58%（2024年85.6%），家长满意度96.1%（2024年95.8%），育人质量获多方认可。</w:t>
      </w:r>
    </w:p>
    <w:p>
      <w:pPr>
        <w:pStyle w:val="2"/>
        <w:spacing w:before="0" w:after="0" w:line="560" w:lineRule="exact"/>
        <w:ind w:firstLineChars="200" w:firstLine="640"/>
        <w:rPr>
          <w:rFonts w:ascii="楷体" w:eastAsia="楷体"/>
          <w:shd w:val="clear" w:color="auto" w:fill="FFFFFF"/>
        </w:rPr>
      </w:pPr>
      <w:bookmarkStart w:id="16" w:name="_Toc218688911"/>
      <w:r>
        <w:rPr>
          <w:rFonts w:ascii="楷体" w:eastAsia="楷体"/>
          <w:shd w:val="clear" w:color="auto" w:fill="FFFFFF"/>
        </w:rPr>
        <w:t>1.4教师队伍</w:t>
      </w:r>
      <w:bookmarkEnd w:id="16"/>
    </w:p>
    <w:p>
      <w:pPr>
        <w:spacing w:line="560" w:lineRule="exact"/>
        <w:ind w:firstLineChars="200" w:firstLine="640"/>
        <w:rPr>
          <w:rFonts w:ascii="仿宋_GB2312" w:eastAsia="仿宋_GB2312"/>
          <w:b/>
          <w:bCs/>
          <w:sz w:val="32"/>
          <w:szCs w:val="32"/>
        </w:rPr>
      </w:pPr>
      <w:r>
        <w:rPr>
          <w:rFonts w:ascii="仿宋_GB2312" w:eastAsia="仿宋_GB2312"/>
          <w:b/>
          <w:bCs/>
          <w:sz w:val="32"/>
          <w:szCs w:val="32"/>
        </w:rPr>
        <w:t>1.4.1规模与结构</w:t>
      </w:r>
    </w:p>
    <w:p>
      <w:pPr>
        <w:spacing w:line="560" w:lineRule="exact"/>
        <w:ind w:firstLineChars="200" w:firstLine="640"/>
        <w:rPr>
          <w:rFonts w:ascii="仿宋_GB2312" w:eastAsia="仿宋_GB2312"/>
          <w:sz w:val="32"/>
          <w:szCs w:val="32"/>
        </w:rPr>
      </w:pPr>
      <w:r>
        <w:rPr>
          <w:rFonts w:ascii="仿宋_GB2312" w:eastAsia="仿宋_GB2312"/>
          <w:sz w:val="32"/>
          <w:szCs w:val="32"/>
        </w:rPr>
        <w:t>2025年，永州市中职学校教职工总数4667人（2024年4187人），其中专任教师4412人（2024年3915人），生师比从2024年的18.04:1优化至15.25:1，师资配置基本满足教育教学需求。</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师资结构持续优化：</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“双师型”</w:t>
      </w:r>
      <w:r>
        <w:rPr>
          <w:rFonts w:ascii="仿宋_GB2312" w:eastAsia="仿宋_GB2312"/>
          <w:sz w:val="32"/>
          <w:szCs w:val="32"/>
        </w:rPr>
        <w:t>教师占专业课教师比例达</w:t>
      </w:r>
      <w:r>
        <w:rPr>
          <w:rFonts w:ascii="仿宋_GB2312" w:eastAsia="仿宋_GB2312"/>
          <w:color w:val="FF0000"/>
          <w:sz w:val="32"/>
          <w:szCs w:val="32"/>
        </w:rPr>
        <w:t>53.2%</w:t>
      </w:r>
      <w:r>
        <w:rPr>
          <w:rFonts w:ascii="仿宋_GB2312" w:eastAsia="仿宋_GB2312"/>
          <w:sz w:val="32"/>
          <w:szCs w:val="32"/>
        </w:rPr>
        <w:t>（2024年27.94%），其中高级“双师型”教师占比1.5%；</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高级专业技术职务教师占比</w:t>
      </w:r>
      <w:r>
        <w:rPr>
          <w:rFonts w:ascii="仿宋_GB2312" w:eastAsia="仿宋_GB2312"/>
          <w:sz w:val="32"/>
          <w:szCs w:val="32"/>
        </w:rPr>
        <w:t>15.14%（2024年16%），硕士研究生学历教师占比7.6%；</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兼职教师</w:t>
      </w:r>
      <w:r>
        <w:rPr>
          <w:rFonts w:ascii="仿宋_GB2312" w:eastAsia="仿宋_GB2312"/>
          <w:sz w:val="32"/>
          <w:szCs w:val="32"/>
        </w:rPr>
        <w:t>312人，其中78.5%为行业企业技术骨干，2025年聘请行业导师78人（2024年48人），有效补充了实践教学力量。</w:t>
      </w:r>
    </w:p>
    <w:p>
      <w:pPr>
        <w:jc w:val="center"/>
        <w:rPr>
          <w:rFonts w:ascii="仿宋_GB2312" w:eastAsia="仿宋_GB2312"/>
          <w:sz w:val="32"/>
          <w:szCs w:val="32"/>
        </w:rPr>
      </w:pPr>
      <w:r>
        <w:drawing>
          <wp:inline distT="0" distB="0" distL="114300" distR="114300">
            <wp:extent cx="4826000" cy="2743200"/>
            <wp:effectExtent l="0" t="0" r="0" b="0"/>
            <wp:docPr id="16" name="图表 1"/>
            <wp:cNvGraphicFramePr>
              <a:graphicFrameLocks noChangeAspect="0"/>
            </wp:cNvGraphicFramePr>
            <a:graphic>
              <a:graphicData uri="http://schemas.openxmlformats.org/drawingml/2006/chart">
                <c:chart xmlns:c="http://schemas.openxmlformats.org/drawingml/2006/chart" r:id="rId12"/>
              </a:graphicData>
            </a:graphic>
          </wp:inline>
        </w:drawing>
      </w:r>
    </w:p>
    <w:p>
      <w:pPr>
        <w:pStyle w:val="23"/>
        <w:widowControl/>
        <w:spacing w:afterLines="50" w:after="156" w:line="240" w:lineRule="auto"/>
        <w:ind w:firstLineChars="0" w:firstLine="0"/>
        <w:jc w:val="center"/>
        <w:outlineLvl w:val="2"/>
        <w:rPr>
          <w:rFonts w:ascii="仿宋_GB2312"/>
          <w:sz w:val="32"/>
          <w:szCs w:val="32"/>
        </w:rPr>
      </w:pPr>
      <w:bookmarkStart w:id="17" w:name="_Toc218688624"/>
      <w:r>
        <w:rPr>
          <w:rFonts w:ascii="宋体" w:eastAsia="宋体" w:hint="eastAsia"/>
          <w:b/>
          <w:bCs/>
          <w:kern w:val="0"/>
        </w:rPr>
        <w:t>图1</w:t>
      </w:r>
      <w:r>
        <w:rPr>
          <w:rFonts w:ascii="宋体" w:eastAsia="宋体"/>
          <w:b/>
          <w:bCs/>
          <w:kern w:val="0"/>
        </w:rPr>
        <w:t>-4 永州市中职学校2024年与2025年师资情况对比</w:t>
      </w:r>
      <w:bookmarkEnd w:id="17"/>
    </w:p>
    <w:p>
      <w:pPr>
        <w:spacing w:line="560" w:lineRule="exact"/>
        <w:ind w:firstLineChars="200" w:firstLine="640"/>
        <w:rPr>
          <w:rFonts w:ascii="仿宋_GB2312" w:eastAsia="仿宋_GB2312"/>
          <w:b/>
          <w:bCs/>
          <w:sz w:val="32"/>
          <w:szCs w:val="32"/>
        </w:rPr>
      </w:pPr>
      <w:r>
        <w:rPr>
          <w:rFonts w:ascii="仿宋_GB2312" w:eastAsia="仿宋_GB2312"/>
          <w:b/>
          <w:bCs/>
          <w:sz w:val="32"/>
          <w:szCs w:val="32"/>
        </w:rPr>
        <w:t>1.4.2教师发展</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教师发展体系完善：</w:t>
      </w:r>
    </w:p>
    <w:p>
      <w:pPr>
        <w:spacing w:line="560" w:lineRule="exact"/>
        <w:ind w:firstLineChars="200" w:firstLine="640"/>
        <w:rPr>
          <w:rFonts w:ascii="仿宋_GB2312" w:eastAsia="仿宋_GB2312"/>
          <w:sz w:val="32"/>
          <w:szCs w:val="32"/>
        </w:rPr>
      </w:pPr>
      <w:r>
        <w:rPr>
          <w:rFonts w:ascii="仿宋_GB2312" w:eastAsia="仿宋_GB2312"/>
          <w:sz w:val="32"/>
          <w:szCs w:val="32"/>
        </w:rPr>
        <w:t>2025年选派</w:t>
      </w:r>
      <w:r>
        <w:rPr>
          <w:rFonts w:ascii="仿宋_GB2312" w:eastAsia="仿宋_GB2312"/>
          <w:color w:val="FF0000"/>
          <w:sz w:val="32"/>
          <w:szCs w:val="32"/>
        </w:rPr>
        <w:t>284</w:t>
      </w:r>
      <w:r>
        <w:rPr>
          <w:rFonts w:ascii="仿宋_GB2312" w:eastAsia="仿宋_GB2312"/>
          <w:sz w:val="32"/>
          <w:szCs w:val="32"/>
        </w:rPr>
        <w:t>名教师参加国家级培训、327名教师参加省级培训，组织“双师型”教师企业实践1560人次；</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建成省级教师教学创新团队</w:t>
      </w:r>
      <w:r>
        <w:rPr>
          <w:rFonts w:ascii="仿宋_GB2312" w:eastAsia="仿宋_GB2312"/>
          <w:sz w:val="32"/>
          <w:szCs w:val="32"/>
        </w:rPr>
        <w:t>9个、“楚怡”名师（名匠）工作室6个，市级骨干教师238人；</w:t>
      </w:r>
    </w:p>
    <w:p>
      <w:pPr>
        <w:spacing w:line="560" w:lineRule="exact"/>
        <w:ind w:firstLineChars="200" w:firstLine="640"/>
        <w:rPr>
          <w:rFonts w:ascii="仿宋_GB2312" w:eastAsia="仿宋_GB2312"/>
          <w:sz w:val="32"/>
          <w:szCs w:val="32"/>
        </w:rPr>
      </w:pPr>
      <w:r>
        <w:rPr>
          <w:rFonts w:ascii="仿宋_GB2312" w:eastAsia="仿宋_GB2312"/>
          <w:sz w:val="32"/>
          <w:szCs w:val="32"/>
        </w:rPr>
        <w:t>2025年行业导师年课时总量达14170课时（2024年7738课时），年支付导师课酬195.81万元（2024年139.96万元）；</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全年立项省级以上课题</w:t>
      </w:r>
      <w:r>
        <w:rPr>
          <w:rFonts w:ascii="仿宋_GB2312" w:eastAsia="仿宋_GB2312"/>
          <w:sz w:val="32"/>
          <w:szCs w:val="32"/>
        </w:rPr>
        <w:t>89项，发表论文436篇，获省级以上教学竞赛奖项128项，教科研能力稳步提升。</w:t>
      </w:r>
    </w:p>
    <w:p>
      <w:pPr>
        <w:pStyle w:val="2"/>
        <w:spacing w:before="0" w:after="0" w:line="560" w:lineRule="exact"/>
        <w:ind w:firstLineChars="200" w:firstLine="640"/>
        <w:rPr>
          <w:rFonts w:ascii="楷体" w:eastAsia="楷体"/>
          <w:shd w:val="clear" w:color="auto" w:fill="FFFFFF"/>
        </w:rPr>
      </w:pPr>
      <w:bookmarkStart w:id="18" w:name="_Toc218688912"/>
      <w:bookmarkStart w:id="19" w:name="_Toc17049"/>
      <w:r>
        <w:rPr>
          <w:rFonts w:ascii="楷体" w:eastAsia="楷体"/>
          <w:shd w:val="clear" w:color="auto" w:fill="FFFFFF"/>
        </w:rPr>
        <w:t>1.5办学条件</w:t>
      </w:r>
      <w:bookmarkEnd w:id="18"/>
      <w:bookmarkEnd w:id="19"/>
    </w:p>
    <w:p>
      <w:pPr>
        <w:spacing w:line="560" w:lineRule="exact"/>
        <w:ind w:firstLineChars="200" w:firstLine="640"/>
        <w:rPr>
          <w:rFonts w:ascii="仿宋_GB2312" w:eastAsia="仿宋_GB2312"/>
          <w:b/>
          <w:bCs/>
          <w:sz w:val="32"/>
          <w:szCs w:val="32"/>
        </w:rPr>
      </w:pPr>
      <w:r>
        <w:rPr>
          <w:rFonts w:ascii="仿宋_GB2312" w:eastAsia="仿宋_GB2312"/>
          <w:b/>
          <w:bCs/>
          <w:sz w:val="32"/>
          <w:szCs w:val="32"/>
        </w:rPr>
        <w:t>1.5.1硬件与实训设施</w:t>
      </w:r>
    </w:p>
    <w:p>
      <w:pPr>
        <w:spacing w:line="560" w:lineRule="exact"/>
        <w:ind w:firstLineChars="200" w:firstLine="640"/>
        <w:rPr>
          <w:rFonts w:ascii="仿宋_GB2312" w:eastAsia="仿宋_GB2312"/>
          <w:sz w:val="32"/>
          <w:szCs w:val="32"/>
        </w:rPr>
      </w:pPr>
      <w:r>
        <w:rPr>
          <w:rFonts w:ascii="仿宋_GB2312" w:eastAsia="仿宋_GB2312"/>
          <w:sz w:val="32"/>
          <w:szCs w:val="32"/>
        </w:rPr>
        <w:t>2025年，永州市中职学校办学条件持续改善：</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教学仪器设备生均值达</w:t>
      </w:r>
      <w:r>
        <w:rPr>
          <w:rFonts w:ascii="仿宋_GB2312" w:eastAsia="仿宋_GB2312"/>
          <w:sz w:val="32"/>
          <w:szCs w:val="32"/>
        </w:rPr>
        <w:t>5904元（2024年4733元）；</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建有虚拟仿真实训基地</w:t>
      </w:r>
      <w:r>
        <w:rPr>
          <w:rFonts w:ascii="仿宋_GB2312" w:eastAsia="仿宋_GB2312"/>
          <w:sz w:val="32"/>
          <w:szCs w:val="32"/>
        </w:rPr>
        <w:t>19个，校内实训室423个、校外实习基地316个（含规模以上企业共建基地107个）；</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生均校内实践教学工位数</w:t>
      </w:r>
      <w:r>
        <w:rPr>
          <w:rFonts w:ascii="仿宋_GB2312" w:eastAsia="仿宋_GB2312"/>
          <w:sz w:val="32"/>
          <w:szCs w:val="32"/>
        </w:rPr>
        <w:t>0.83个/生（2024年0.8个/生），形成“校内实训强基础、校外实践提技能”的实践教学平台。</w:t>
      </w:r>
    </w:p>
    <w:p>
      <w:pPr>
        <w:spacing w:line="560" w:lineRule="exact"/>
        <w:ind w:firstLineChars="200" w:firstLine="640"/>
        <w:rPr>
          <w:rFonts w:ascii="仿宋_GB2312" w:eastAsia="仿宋_GB2312"/>
          <w:b/>
          <w:bCs/>
          <w:sz w:val="32"/>
          <w:szCs w:val="32"/>
        </w:rPr>
      </w:pPr>
      <w:r>
        <w:rPr>
          <w:rFonts w:ascii="仿宋_GB2312" w:eastAsia="仿宋_GB2312"/>
          <w:b/>
          <w:bCs/>
          <w:sz w:val="32"/>
          <w:szCs w:val="32"/>
        </w:rPr>
        <w:t>1.5.2基础设施与数字化建设</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基础设施：生均占地面积</w:t>
      </w:r>
      <w:r>
        <w:rPr>
          <w:rFonts w:ascii="仿宋_GB2312" w:eastAsia="仿宋_GB2312"/>
          <w:sz w:val="32"/>
          <w:szCs w:val="32"/>
        </w:rPr>
        <w:t>53.1平方米、生均建筑面积21.9平方米，均符合省级办学标准；纸质图书总量156.8万册、电子图书42.3万册，生均纸质图书32.8册。</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数字化建设：所有学校实现校园无线网络全覆盖，互联网出口带宽稳定在</w:t>
      </w:r>
      <w:r>
        <w:rPr>
          <w:rFonts w:ascii="仿宋_GB2312" w:eastAsia="仿宋_GB2312"/>
          <w:sz w:val="32"/>
          <w:szCs w:val="32"/>
        </w:rPr>
        <w:t>2000Mbps；智慧教室占比达65%，建成校级数字化教学资源库32个，混合式教学模式实现主干专业全覆盖；接入国家智慧教育平台课程16门（2024年14门），数字化教学资源持续扩容。</w:t>
      </w:r>
    </w:p>
    <w:p>
      <w:pPr>
        <w:spacing w:line="560" w:lineRule="exact"/>
        <w:ind w:firstLineChars="200" w:firstLine="640"/>
        <w:rPr>
          <w:rFonts w:ascii="仿宋_GB2312" w:eastAsia="仿宋_GB2312"/>
          <w:b/>
          <w:bCs/>
          <w:sz w:val="32"/>
          <w:szCs w:val="32"/>
        </w:rPr>
      </w:pPr>
      <w:r>
        <w:rPr>
          <w:rFonts w:ascii="仿宋_GB2312" w:eastAsia="仿宋_GB2312"/>
          <w:b/>
          <w:bCs/>
          <w:sz w:val="32"/>
          <w:szCs w:val="32"/>
        </w:rPr>
        <w:t>1.5.3政策保障</w:t>
      </w:r>
    </w:p>
    <w:p>
      <w:pPr>
        <w:spacing w:line="560" w:lineRule="exact"/>
        <w:ind w:firstLineChars="200" w:firstLine="640"/>
        <w:rPr>
          <w:rFonts w:ascii="仿宋_GB2312" w:eastAsia="仿宋_GB2312"/>
          <w:sz w:val="32"/>
          <w:szCs w:val="32"/>
        </w:rPr>
      </w:pPr>
      <w:r>
        <w:rPr>
          <w:rFonts w:ascii="仿宋_GB2312" w:eastAsia="仿宋_GB2312"/>
          <w:sz w:val="32"/>
          <w:szCs w:val="32"/>
        </w:rPr>
        <w:t>2025年落实职教政策成效显著：</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年生均财政拨款水平</w:t>
      </w:r>
      <w:r>
        <w:rPr>
          <w:rFonts w:ascii="仿宋_GB2312" w:eastAsia="仿宋_GB2312"/>
          <w:sz w:val="32"/>
          <w:szCs w:val="32"/>
        </w:rPr>
        <w:t>5983.8元（2024年5178.89元），年财政专项经费42594.45万元（2024年23692.41万元）；</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教职工核定编制数</w:t>
      </w:r>
      <w:r>
        <w:rPr>
          <w:rFonts w:ascii="仿宋_GB2312" w:eastAsia="仿宋_GB2312"/>
          <w:sz w:val="32"/>
          <w:szCs w:val="32"/>
        </w:rPr>
        <w:t>3998人（2024年3684人），专任教师中思政课教师233人（2024年297人）、体育课教师192人（2024年176人）；</w:t>
      </w:r>
    </w:p>
    <w:p>
      <w:pPr>
        <w:spacing w:line="560" w:lineRule="exact"/>
        <w:ind w:firstLineChars="200" w:firstLine="640"/>
        <w:rPr>
          <w:rFonts w:ascii="仿宋_GB2312" w:eastAsia="仿宋_GB2312"/>
          <w:sz w:val="32"/>
          <w:szCs w:val="32"/>
        </w:rPr>
      </w:pPr>
      <w:r>
        <w:rPr>
          <w:rFonts w:ascii="仿宋_GB2312" w:eastAsia="仿宋_GB2312" w:hint="eastAsia"/>
          <w:sz w:val="32"/>
          <w:szCs w:val="32"/>
        </w:rPr>
        <w:t>年实习专项经费</w:t>
      </w:r>
      <w:r>
        <w:rPr>
          <w:rFonts w:ascii="仿宋_GB2312" w:eastAsia="仿宋_GB2312"/>
          <w:sz w:val="32"/>
          <w:szCs w:val="32"/>
        </w:rPr>
        <w:t>263.92万元（2024年279.75万元），实习责任险经费27.33万元（2024年40.9万元），实践教学保障体系不断完善。</w:t>
      </w:r>
    </w:p>
    <w:p>
      <w:pPr>
        <w:widowControl/>
        <w:spacing w:beforeLines="50" w:before="156"/>
        <w:jc w:val="center"/>
        <w:outlineLvl w:val="3"/>
        <w:rPr>
          <w:rFonts w:ascii="宋体" w:eastAsia="宋体"/>
          <w:b/>
          <w:bCs/>
          <w:sz w:val="24"/>
          <w:szCs w:val="24"/>
        </w:rPr>
      </w:pPr>
      <w:bookmarkStart w:id="20" w:name="_Toc218688663"/>
      <w:r>
        <w:rPr>
          <w:rFonts w:ascii="宋体" w:eastAsia="宋体" w:hint="eastAsia"/>
          <w:b/>
          <w:bCs/>
          <w:color w:val="1F2329"/>
          <w:kern w:val="0"/>
          <w:sz w:val="24"/>
          <w:szCs w:val="24"/>
          <w:shd w:val="clear" w:color="auto" w:fill="FFFFFF"/>
        </w:rPr>
        <w:t>表</w:t>
      </w:r>
      <w:r>
        <w:rPr>
          <w:rFonts w:ascii="宋体" w:eastAsia="宋体"/>
          <w:b/>
          <w:bCs/>
          <w:color w:val="1F2329"/>
          <w:kern w:val="0"/>
          <w:sz w:val="24"/>
          <w:szCs w:val="24"/>
          <w:shd w:val="clear" w:color="auto" w:fill="FFFFFF"/>
        </w:rPr>
        <w:t xml:space="preserve">1-1 </w:t>
      </w:r>
      <w:r>
        <w:rPr>
          <w:rFonts w:ascii="宋体" w:eastAsia="宋体" w:hint="eastAsia"/>
          <w:b/>
          <w:bCs/>
          <w:color w:val="1F2329"/>
          <w:kern w:val="0"/>
          <w:sz w:val="24"/>
          <w:szCs w:val="24"/>
          <w:shd w:val="clear" w:color="auto" w:fill="FFFFFF"/>
        </w:rPr>
        <w:t>2024-2025 年核心数据对比表</w:t>
      </w:r>
      <w:bookmarkEnd w:id="20"/>
    </w:p>
    <w:tbl>
      <w:tblPr>
        <w:jc w:val="left"/>
        <w:tblInd w:w="-431" w:type="dxa"/>
        <w:tblW w:w="90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1790"/>
        <w:gridCol w:w="2251"/>
        <w:gridCol w:w="1333"/>
        <w:gridCol w:w="1673"/>
        <w:gridCol w:w="2026"/>
      </w:tblGrid>
      <w:tr>
        <w:trPr>
          <w:trHeight w:val="597"/>
        </w:trPr>
        <w:tc>
          <w:tcPr>
            <w:tcW w:w="1790" w:type="dxa"/>
            <w:tcBorders>
              <w:top w:val="single" w:sz="4" w:space="0" w:color="auto"/>
              <w:left w:val="single" w:sz="4" w:space="0" w:color="auto"/>
              <w:bottom w:val="single" w:sz="4" w:space="0" w:color="auto"/>
              <w:right w:val="single" w:sz="4" w:space="0" w:color="auto"/>
            </w:tcBorders>
            <w:shd w:val="clear" w:color="auto" w:fill="0372AE"/>
            <w:noWrap/>
            <w:vAlign w:val="center"/>
          </w:tcPr>
          <w:p>
            <w:pPr>
              <w:widowControl/>
              <w:spacing w:line="360" w:lineRule="auto"/>
              <w:jc w:val="center"/>
              <w:rPr>
                <w:rFonts w:ascii="宋体" w:hAnsi="宋体"/>
                <w:b/>
                <w:bCs/>
                <w:color w:val="FFFFFF"/>
                <w:sz w:val="24"/>
                <w:szCs w:val="24"/>
              </w:rPr>
            </w:pPr>
            <w:r>
              <w:rPr>
                <w:rFonts w:ascii="宋体" w:hAnsi="宋体"/>
                <w:b/>
                <w:bCs/>
                <w:color w:val="FFFFFF"/>
                <w:sz w:val="24"/>
                <w:szCs w:val="24"/>
              </w:rPr>
              <w:t>指标类别</w:t>
            </w:r>
          </w:p>
        </w:tc>
        <w:tc>
          <w:tcPr>
            <w:tcW w:w="2251" w:type="dxa"/>
            <w:tcBorders>
              <w:top w:val="single" w:sz="4" w:space="0" w:color="auto"/>
              <w:left w:val="single" w:sz="4" w:space="0" w:color="auto"/>
              <w:bottom w:val="single" w:sz="4" w:space="0" w:color="auto"/>
              <w:right w:val="single" w:sz="4" w:space="0" w:color="auto"/>
            </w:tcBorders>
            <w:shd w:val="clear" w:color="auto" w:fill="0372AE"/>
            <w:noWrap/>
            <w:vAlign w:val="center"/>
          </w:tcPr>
          <w:p>
            <w:pPr>
              <w:widowControl/>
              <w:spacing w:line="360" w:lineRule="auto"/>
              <w:jc w:val="center"/>
              <w:rPr>
                <w:rFonts w:ascii="宋体" w:hAnsi="宋体"/>
                <w:b/>
                <w:bCs/>
                <w:color w:val="FFFFFF"/>
                <w:sz w:val="24"/>
                <w:szCs w:val="24"/>
              </w:rPr>
            </w:pPr>
            <w:r>
              <w:rPr>
                <w:rFonts w:ascii="宋体" w:hAnsi="宋体"/>
                <w:b/>
                <w:bCs/>
                <w:color w:val="FFFFFF"/>
                <w:sz w:val="24"/>
                <w:szCs w:val="24"/>
              </w:rPr>
              <w:t>核心指标</w:t>
            </w:r>
          </w:p>
        </w:tc>
        <w:tc>
          <w:tcPr>
            <w:tcW w:w="1333" w:type="dxa"/>
            <w:tcBorders>
              <w:top w:val="single" w:sz="4" w:space="0" w:color="auto"/>
              <w:left w:val="single" w:sz="4" w:space="0" w:color="auto"/>
              <w:bottom w:val="single" w:sz="4" w:space="0" w:color="auto"/>
              <w:right w:val="single" w:sz="4" w:space="0" w:color="auto"/>
            </w:tcBorders>
            <w:shd w:val="clear" w:color="auto" w:fill="0372AE"/>
            <w:noWrap/>
            <w:vAlign w:val="center"/>
          </w:tcPr>
          <w:p>
            <w:pPr>
              <w:widowControl/>
              <w:spacing w:line="360" w:lineRule="auto"/>
              <w:jc w:val="center"/>
              <w:rPr>
                <w:rFonts w:ascii="宋体" w:hAnsi="宋体"/>
                <w:b/>
                <w:bCs/>
                <w:color w:val="FFFFFF"/>
                <w:sz w:val="24"/>
                <w:szCs w:val="24"/>
              </w:rPr>
            </w:pPr>
            <w:r>
              <w:rPr>
                <w:rFonts w:ascii="宋体" w:hAnsi="宋体"/>
                <w:b/>
                <w:bCs/>
                <w:color w:val="FFFFFF"/>
                <w:sz w:val="24"/>
                <w:szCs w:val="24"/>
              </w:rPr>
              <w:t>2024 年</w:t>
            </w:r>
          </w:p>
        </w:tc>
        <w:tc>
          <w:tcPr>
            <w:tcW w:w="1673" w:type="dxa"/>
            <w:tcBorders>
              <w:top w:val="single" w:sz="4" w:space="0" w:color="auto"/>
              <w:left w:val="single" w:sz="4" w:space="0" w:color="auto"/>
              <w:bottom w:val="single" w:sz="4" w:space="0" w:color="auto"/>
              <w:right w:val="single" w:sz="4" w:space="0" w:color="auto"/>
            </w:tcBorders>
            <w:shd w:val="clear" w:color="auto" w:fill="0372AE"/>
            <w:noWrap/>
            <w:vAlign w:val="center"/>
          </w:tcPr>
          <w:p>
            <w:pPr>
              <w:widowControl/>
              <w:spacing w:line="360" w:lineRule="auto"/>
              <w:jc w:val="center"/>
              <w:rPr>
                <w:rFonts w:ascii="宋体" w:hAnsi="宋体"/>
                <w:b/>
                <w:bCs/>
                <w:color w:val="FFFFFF"/>
                <w:sz w:val="24"/>
                <w:szCs w:val="24"/>
              </w:rPr>
            </w:pPr>
            <w:r>
              <w:rPr>
                <w:rFonts w:ascii="宋体" w:hAnsi="宋体"/>
                <w:b/>
                <w:bCs/>
                <w:color w:val="FFFFFF"/>
                <w:sz w:val="24"/>
                <w:szCs w:val="24"/>
              </w:rPr>
              <w:t>2025 年</w:t>
            </w:r>
          </w:p>
        </w:tc>
        <w:tc>
          <w:tcPr>
            <w:tcW w:w="2026" w:type="dxa"/>
            <w:tcBorders>
              <w:top w:val="single" w:sz="4" w:space="0" w:color="auto"/>
              <w:left w:val="single" w:sz="4" w:space="0" w:color="auto"/>
              <w:bottom w:val="single" w:sz="4" w:space="0" w:color="auto"/>
              <w:right w:val="single" w:sz="4" w:space="0" w:color="auto"/>
            </w:tcBorders>
            <w:shd w:val="clear" w:color="auto" w:fill="0372AE"/>
            <w:noWrap/>
            <w:vAlign w:val="center"/>
          </w:tcPr>
          <w:p>
            <w:pPr>
              <w:widowControl/>
              <w:spacing w:line="360" w:lineRule="auto"/>
              <w:jc w:val="center"/>
              <w:rPr>
                <w:rFonts w:ascii="宋体" w:hAnsi="宋体"/>
                <w:b/>
                <w:bCs/>
                <w:color w:val="FFFFFF"/>
                <w:sz w:val="24"/>
                <w:szCs w:val="24"/>
              </w:rPr>
            </w:pPr>
            <w:r>
              <w:rPr>
                <w:rFonts w:ascii="宋体" w:hAnsi="宋体"/>
                <w:b/>
                <w:bCs/>
                <w:color w:val="FFFFFF"/>
                <w:sz w:val="24"/>
                <w:szCs w:val="24"/>
              </w:rPr>
              <w:t>变化情况</w:t>
            </w:r>
          </w:p>
        </w:tc>
      </w:tr>
      <w:tr>
        <w:trPr>
          <w:trHeight w:val="535"/>
        </w:trPr>
        <w:tc>
          <w:tcPr>
            <w:tcW w:w="1790" w:type="dxa"/>
            <w:tcBorders>
              <w:top w:val="single" w:sz="4" w:space="0" w:color="auto"/>
              <w:left w:val="single" w:sz="4" w:space="0" w:color="auto"/>
              <w:bottom w:val="single" w:sz="4" w:space="0" w:color="auto"/>
              <w:right w:val="single" w:sz="4" w:space="0" w:color="auto"/>
            </w:tcBorders>
            <w:shd w:val="clear" w:color="auto" w:fill="00B0F0"/>
            <w:noWrap/>
            <w:vAlign w:val="center"/>
          </w:tcPr>
          <w:p>
            <w:pPr>
              <w:widowControl/>
              <w:spacing w:line="360" w:lineRule="auto"/>
              <w:jc w:val="center"/>
              <w:rPr>
                <w:rFonts w:ascii="宋体" w:hAnsi="宋体"/>
                <w:b/>
                <w:bCs/>
                <w:color w:val="FFFFFF"/>
                <w:sz w:val="24"/>
                <w:szCs w:val="24"/>
              </w:rPr>
            </w:pPr>
            <w:r>
              <w:rPr>
                <w:rFonts w:ascii="宋体" w:hAnsi="宋体"/>
                <w:b/>
                <w:bCs/>
                <w:color w:val="FFFFFF"/>
                <w:sz w:val="24"/>
                <w:szCs w:val="24"/>
              </w:rPr>
              <w:t>办学规模</w:t>
            </w:r>
          </w:p>
        </w:tc>
        <w:tc>
          <w:tcPr>
            <w:tcW w:w="2251"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全日制在校生数</w:t>
            </w:r>
          </w:p>
        </w:tc>
        <w:tc>
          <w:tcPr>
            <w:tcW w:w="1333"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75541 人</w:t>
            </w:r>
          </w:p>
        </w:tc>
        <w:tc>
          <w:tcPr>
            <w:tcW w:w="1673"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color w:val="FF0000"/>
                <w:sz w:val="24"/>
                <w:szCs w:val="24"/>
              </w:rPr>
            </w:pPr>
            <w:r>
              <w:rPr>
                <w:rFonts w:ascii="宋体" w:hAnsi="宋体"/>
                <w:color w:val="FF0000"/>
                <w:sz w:val="24"/>
                <w:szCs w:val="24"/>
              </w:rPr>
              <w:t>69393 人</w:t>
            </w:r>
          </w:p>
        </w:tc>
        <w:tc>
          <w:tcPr>
            <w:tcW w:w="2026"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color w:val="FF0000"/>
                <w:sz w:val="24"/>
                <w:szCs w:val="24"/>
              </w:rPr>
            </w:pPr>
            <w:r>
              <w:rPr>
                <w:rFonts w:ascii="宋体" w:hAnsi="宋体"/>
                <w:color w:val="FF0000"/>
                <w:sz w:val="24"/>
                <w:szCs w:val="24"/>
              </w:rPr>
              <w:t>-6148 人</w:t>
            </w:r>
          </w:p>
        </w:tc>
      </w:tr>
      <w:tr>
        <w:trPr>
          <w:trHeight w:val="627"/>
        </w:trPr>
        <w:tc>
          <w:tcPr>
            <w:tcW w:w="1790" w:type="dxa"/>
            <w:vMerge w:val="restart"/>
            <w:tcBorders>
              <w:top w:val="single" w:sz="4" w:space="0" w:color="auto"/>
              <w:left w:val="single" w:sz="4" w:space="0" w:color="auto"/>
              <w:bottom w:val="single" w:sz="4" w:space="0" w:color="auto"/>
              <w:right w:val="single" w:sz="4" w:space="0" w:color="auto"/>
            </w:tcBorders>
            <w:shd w:val="clear" w:color="auto" w:fill="00B0F0"/>
            <w:noWrap/>
            <w:vAlign w:val="center"/>
          </w:tcPr>
          <w:p>
            <w:pPr>
              <w:widowControl/>
              <w:spacing w:line="360" w:lineRule="auto"/>
              <w:jc w:val="center"/>
              <w:rPr>
                <w:rFonts w:ascii="宋体" w:hAnsi="宋体"/>
                <w:b/>
                <w:bCs/>
                <w:color w:val="FFFFFF"/>
                <w:sz w:val="24"/>
                <w:szCs w:val="24"/>
              </w:rPr>
            </w:pPr>
            <w:r>
              <w:rPr>
                <w:rFonts w:ascii="宋体" w:hAnsi="宋体"/>
                <w:b/>
                <w:bCs/>
                <w:color w:val="FFFFFF"/>
                <w:sz w:val="24"/>
                <w:szCs w:val="24"/>
              </w:rPr>
              <w:t>专业建设</w:t>
            </w:r>
          </w:p>
        </w:tc>
        <w:tc>
          <w:tcPr>
            <w:tcW w:w="2251"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专业数</w:t>
            </w:r>
          </w:p>
        </w:tc>
        <w:tc>
          <w:tcPr>
            <w:tcW w:w="1333"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213 个</w:t>
            </w:r>
          </w:p>
        </w:tc>
        <w:tc>
          <w:tcPr>
            <w:tcW w:w="1673"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212 个</w:t>
            </w:r>
          </w:p>
        </w:tc>
        <w:tc>
          <w:tcPr>
            <w:tcW w:w="2026"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-1 个</w:t>
            </w:r>
          </w:p>
        </w:tc>
      </w:tr>
      <w:tr>
        <w:tc>
          <w:tcPr>
            <w:tcW w:w="1790" w:type="dxa"/>
            <w:vMerge/>
            <w:tcBorders>
              <w:top w:val="single" w:sz="4" w:space="0" w:color="auto"/>
              <w:left w:val="single" w:sz="4" w:space="0" w:color="auto"/>
              <w:bottom w:val="single" w:sz="4" w:space="0" w:color="auto"/>
              <w:right w:val="single" w:sz="4" w:space="0" w:color="auto"/>
            </w:tcBorders>
            <w:shd w:val="clear" w:color="auto" w:fill="00B0F0"/>
            <w:noWrap/>
            <w:vAlign w:val="center"/>
          </w:tcPr>
          <w:p/>
        </w:tc>
        <w:tc>
          <w:tcPr>
            <w:tcW w:w="2251"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国家级在线精品课程数</w:t>
            </w:r>
          </w:p>
        </w:tc>
        <w:tc>
          <w:tcPr>
            <w:tcW w:w="1333"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2 门</w:t>
            </w:r>
          </w:p>
        </w:tc>
        <w:tc>
          <w:tcPr>
            <w:tcW w:w="1673"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10 门</w:t>
            </w:r>
          </w:p>
        </w:tc>
        <w:tc>
          <w:tcPr>
            <w:tcW w:w="2026"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+8 门</w:t>
            </w:r>
          </w:p>
        </w:tc>
      </w:tr>
      <w:tr>
        <w:trPr>
          <w:trHeight w:val="419"/>
        </w:trPr>
        <w:tc>
          <w:tcPr>
            <w:tcW w:w="1790" w:type="dxa"/>
            <w:vMerge w:val="restart"/>
            <w:tcBorders>
              <w:top w:val="single" w:sz="4" w:space="0" w:color="auto"/>
              <w:left w:val="single" w:sz="4" w:space="0" w:color="auto"/>
              <w:bottom w:val="single" w:sz="4" w:space="0" w:color="auto"/>
              <w:right w:val="single" w:sz="4" w:space="0" w:color="auto"/>
            </w:tcBorders>
            <w:shd w:val="clear" w:color="auto" w:fill="00B0F0"/>
            <w:noWrap/>
            <w:vAlign w:val="center"/>
          </w:tcPr>
          <w:p>
            <w:pPr>
              <w:widowControl/>
              <w:spacing w:line="360" w:lineRule="auto"/>
              <w:jc w:val="center"/>
              <w:rPr>
                <w:rFonts w:ascii="宋体" w:hAnsi="宋体"/>
                <w:b/>
                <w:bCs/>
                <w:color w:val="FFFFFF"/>
                <w:sz w:val="24"/>
                <w:szCs w:val="24"/>
              </w:rPr>
            </w:pPr>
            <w:r>
              <w:rPr>
                <w:rFonts w:ascii="宋体" w:hAnsi="宋体"/>
                <w:b/>
                <w:bCs/>
                <w:color w:val="FFFFFF"/>
                <w:sz w:val="24"/>
                <w:szCs w:val="24"/>
              </w:rPr>
              <w:t>学生发展</w:t>
            </w:r>
          </w:p>
        </w:tc>
        <w:tc>
          <w:tcPr>
            <w:tcW w:w="2251"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本科升学人数</w:t>
            </w:r>
          </w:p>
        </w:tc>
        <w:tc>
          <w:tcPr>
            <w:tcW w:w="1333"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881 人</w:t>
            </w:r>
          </w:p>
        </w:tc>
        <w:tc>
          <w:tcPr>
            <w:tcW w:w="1673"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1528 人</w:t>
            </w:r>
          </w:p>
        </w:tc>
        <w:tc>
          <w:tcPr>
            <w:tcW w:w="2026"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+647 人</w:t>
            </w:r>
          </w:p>
        </w:tc>
      </w:tr>
      <w:tr>
        <w:trPr>
          <w:trHeight w:val="537"/>
        </w:trPr>
        <w:tc>
          <w:tcPr>
            <w:tcW w:w="1790" w:type="dxa"/>
            <w:vMerge/>
            <w:tcBorders>
              <w:top w:val="single" w:sz="4" w:space="0" w:color="auto"/>
              <w:left w:val="single" w:sz="4" w:space="0" w:color="auto"/>
              <w:bottom w:val="single" w:sz="4" w:space="0" w:color="auto"/>
              <w:right w:val="single" w:sz="4" w:space="0" w:color="auto"/>
            </w:tcBorders>
            <w:shd w:val="clear" w:color="auto" w:fill="00B0F0"/>
            <w:noWrap/>
            <w:vAlign w:val="center"/>
          </w:tcPr>
          <w:p/>
        </w:tc>
        <w:tc>
          <w:tcPr>
            <w:tcW w:w="2251"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用人单位满意度</w:t>
            </w:r>
          </w:p>
        </w:tc>
        <w:tc>
          <w:tcPr>
            <w:tcW w:w="1333"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85.6%</w:t>
            </w:r>
          </w:p>
        </w:tc>
        <w:tc>
          <w:tcPr>
            <w:tcW w:w="1673"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94.58%</w:t>
            </w:r>
          </w:p>
        </w:tc>
        <w:tc>
          <w:tcPr>
            <w:tcW w:w="2026"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+8.98%</w:t>
            </w:r>
          </w:p>
        </w:tc>
      </w:tr>
      <w:tr>
        <w:trPr>
          <w:trHeight w:val="485"/>
        </w:trPr>
        <w:tc>
          <w:tcPr>
            <w:tcW w:w="1790" w:type="dxa"/>
            <w:vMerge w:val="restart"/>
            <w:tcBorders>
              <w:top w:val="single" w:sz="4" w:space="0" w:color="auto"/>
              <w:left w:val="single" w:sz="4" w:space="0" w:color="auto"/>
              <w:bottom w:val="single" w:sz="4" w:space="0" w:color="auto"/>
              <w:right w:val="single" w:sz="4" w:space="0" w:color="auto"/>
            </w:tcBorders>
            <w:shd w:val="clear" w:color="auto" w:fill="00B0F0"/>
            <w:noWrap/>
            <w:vAlign w:val="center"/>
          </w:tcPr>
          <w:p>
            <w:pPr>
              <w:widowControl/>
              <w:spacing w:line="360" w:lineRule="auto"/>
              <w:jc w:val="center"/>
              <w:rPr>
                <w:rFonts w:ascii="宋体" w:hAnsi="宋体"/>
                <w:b/>
                <w:bCs/>
                <w:color w:val="FFFFFF"/>
                <w:sz w:val="24"/>
                <w:szCs w:val="24"/>
              </w:rPr>
            </w:pPr>
            <w:r>
              <w:rPr>
                <w:rFonts w:ascii="宋体" w:hAnsi="宋体"/>
                <w:b/>
                <w:bCs/>
                <w:color w:val="FFFFFF"/>
                <w:sz w:val="24"/>
                <w:szCs w:val="24"/>
              </w:rPr>
              <w:t>教师队伍</w:t>
            </w:r>
          </w:p>
        </w:tc>
        <w:tc>
          <w:tcPr>
            <w:tcW w:w="2251"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生师比</w:t>
            </w:r>
          </w:p>
        </w:tc>
        <w:tc>
          <w:tcPr>
            <w:tcW w:w="1333"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18.04:1</w:t>
            </w:r>
          </w:p>
        </w:tc>
        <w:tc>
          <w:tcPr>
            <w:tcW w:w="1673"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15.25:1</w:t>
            </w:r>
          </w:p>
        </w:tc>
        <w:tc>
          <w:tcPr>
            <w:tcW w:w="2026"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优化 2.79</w:t>
            </w:r>
          </w:p>
        </w:tc>
      </w:tr>
      <w:tr>
        <w:tc>
          <w:tcPr>
            <w:tcW w:w="1790" w:type="dxa"/>
            <w:vMerge/>
            <w:tcBorders>
              <w:top w:val="single" w:sz="4" w:space="0" w:color="auto"/>
              <w:left w:val="single" w:sz="4" w:space="0" w:color="auto"/>
              <w:bottom w:val="single" w:sz="4" w:space="0" w:color="auto"/>
              <w:right w:val="single" w:sz="4" w:space="0" w:color="auto"/>
            </w:tcBorders>
            <w:shd w:val="clear" w:color="auto" w:fill="00B0F0"/>
            <w:noWrap/>
            <w:vAlign w:val="center"/>
          </w:tcPr>
          <w:p/>
        </w:tc>
        <w:tc>
          <w:tcPr>
            <w:tcW w:w="2251"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“双师型” 教师比例</w:t>
            </w:r>
          </w:p>
        </w:tc>
        <w:tc>
          <w:tcPr>
            <w:tcW w:w="1333"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27.94%</w:t>
            </w:r>
          </w:p>
        </w:tc>
        <w:tc>
          <w:tcPr>
            <w:tcW w:w="1673"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color w:val="FF0000"/>
                <w:sz w:val="24"/>
                <w:szCs w:val="24"/>
              </w:rPr>
              <w:t>53.2%</w:t>
            </w:r>
          </w:p>
        </w:tc>
        <w:tc>
          <w:tcPr>
            <w:tcW w:w="2026"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+11.11%</w:t>
            </w:r>
          </w:p>
        </w:tc>
      </w:tr>
      <w:tr>
        <w:tc>
          <w:tcPr>
            <w:tcW w:w="1790" w:type="dxa"/>
            <w:vMerge w:val="restart"/>
            <w:tcBorders>
              <w:top w:val="single" w:sz="4" w:space="0" w:color="auto"/>
              <w:left w:val="single" w:sz="4" w:space="0" w:color="auto"/>
              <w:bottom w:val="single" w:sz="4" w:space="0" w:color="auto"/>
              <w:right w:val="single" w:sz="4" w:space="0" w:color="auto"/>
            </w:tcBorders>
            <w:shd w:val="clear" w:color="auto" w:fill="00B0F0"/>
            <w:noWrap/>
            <w:vAlign w:val="center"/>
          </w:tcPr>
          <w:p>
            <w:pPr>
              <w:widowControl/>
              <w:spacing w:line="360" w:lineRule="auto"/>
              <w:jc w:val="center"/>
              <w:rPr>
                <w:rFonts w:ascii="宋体" w:hAnsi="宋体"/>
                <w:b/>
                <w:bCs/>
                <w:color w:val="FFFFFF"/>
                <w:sz w:val="24"/>
                <w:szCs w:val="24"/>
              </w:rPr>
            </w:pPr>
            <w:r>
              <w:rPr>
                <w:rFonts w:ascii="宋体" w:hAnsi="宋体"/>
                <w:b/>
                <w:bCs/>
                <w:color w:val="FFFFFF"/>
                <w:sz w:val="24"/>
                <w:szCs w:val="24"/>
              </w:rPr>
              <w:t>办学条件</w:t>
            </w:r>
          </w:p>
        </w:tc>
        <w:tc>
          <w:tcPr>
            <w:tcW w:w="2251"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教学仪器设备生均值</w:t>
            </w:r>
          </w:p>
        </w:tc>
        <w:tc>
          <w:tcPr>
            <w:tcW w:w="1333"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4733 元</w:t>
            </w:r>
          </w:p>
        </w:tc>
        <w:tc>
          <w:tcPr>
            <w:tcW w:w="1673"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5904 元</w:t>
            </w:r>
          </w:p>
        </w:tc>
        <w:tc>
          <w:tcPr>
            <w:tcW w:w="2026"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+1171 元</w:t>
            </w:r>
          </w:p>
        </w:tc>
      </w:tr>
      <w:tr>
        <w:tc>
          <w:tcPr>
            <w:tcW w:w="1790" w:type="dxa"/>
            <w:vMerge/>
            <w:tcBorders>
              <w:top w:val="single" w:sz="4" w:space="0" w:color="auto"/>
              <w:left w:val="single" w:sz="4" w:space="0" w:color="auto"/>
              <w:bottom w:val="single" w:sz="4" w:space="0" w:color="auto"/>
              <w:right w:val="single" w:sz="4" w:space="0" w:color="auto"/>
            </w:tcBorders>
            <w:shd w:val="clear" w:color="auto" w:fill="00B0F0"/>
            <w:noWrap/>
            <w:vAlign w:val="center"/>
          </w:tcPr>
          <w:p/>
        </w:tc>
        <w:tc>
          <w:tcPr>
            <w:tcW w:w="2251"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年财政专项经费</w:t>
            </w:r>
          </w:p>
        </w:tc>
        <w:tc>
          <w:tcPr>
            <w:tcW w:w="1333"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23692.41 万元</w:t>
            </w:r>
          </w:p>
        </w:tc>
        <w:tc>
          <w:tcPr>
            <w:tcW w:w="1673"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42594.45 万元</w:t>
            </w:r>
          </w:p>
        </w:tc>
        <w:tc>
          <w:tcPr>
            <w:tcW w:w="2026" w:type="dxa"/>
            <w:tcBorders>
              <w:top w:val="single" w:sz="4" w:space="0" w:color="auto"/>
              <w:left w:val="single" w:sz="4" w:space="0" w:color="auto"/>
              <w:bottom w:val="single" w:sz="4" w:space="0" w:color="auto"/>
              <w:right w:val="single" w:sz="4" w:space="0" w:color="auto"/>
            </w:tcBorders>
            <w:noWrap/>
            <w:vAlign w:val="center"/>
          </w:tcPr>
          <w:p>
            <w:pPr>
              <w:widowControl/>
              <w:jc w:val="center"/>
              <w:rPr>
                <w:rFonts w:ascii="宋体" w:hAnsi="宋体"/>
                <w:sz w:val="24"/>
                <w:szCs w:val="24"/>
              </w:rPr>
            </w:pPr>
            <w:r>
              <w:rPr>
                <w:rFonts w:ascii="宋体" w:hAnsi="宋体"/>
                <w:sz w:val="24"/>
                <w:szCs w:val="24"/>
              </w:rPr>
              <w:t>+18902.04 万元</w:t>
            </w:r>
          </w:p>
        </w:tc>
      </w:tr>
    </w:tbl>
    <w:p>
      <w:pPr>
        <w:widowControl/>
        <w:jc w:val="left"/>
      </w:pPr>
    </w:p>
    <w:p>
      <w:pPr>
        <w:pStyle w:val="1"/>
        <w:spacing w:beforeLines="50" w:before="156" w:afterLines="50" w:after="156" w:line="520" w:lineRule="exact"/>
        <w:ind w:firstLineChars="200" w:firstLine="640"/>
        <w:rPr>
          <w:rFonts w:ascii="黑体" w:eastAsia="黑体"/>
          <w:b w:val="0"/>
          <w:bCs w:val="0"/>
          <w:sz w:val="32"/>
          <w:szCs w:val="32"/>
          <w:shd w:val="clear" w:color="auto" w:fill="FFFFFF"/>
        </w:rPr>
      </w:pPr>
      <w:bookmarkStart w:id="21" w:name="_Toc218617427"/>
      <w:bookmarkStart w:id="22" w:name="_Toc218688913"/>
      <w:r>
        <w:rPr>
          <w:rFonts w:ascii="黑体" w:eastAsia="黑体" w:hint="eastAsia"/>
          <w:b w:val="0"/>
          <w:bCs w:val="0"/>
          <w:sz w:val="32"/>
          <w:szCs w:val="32"/>
          <w:shd w:val="clear" w:color="auto" w:fill="FFFFFF"/>
        </w:rPr>
        <w:t>2</w:t>
      </w:r>
      <w:r>
        <w:rPr>
          <w:rFonts w:ascii="黑体" w:eastAsia="黑体"/>
          <w:b w:val="0"/>
          <w:bCs w:val="0"/>
          <w:sz w:val="32"/>
          <w:szCs w:val="32"/>
          <w:shd w:val="clear" w:color="auto" w:fill="FFFFFF"/>
        </w:rPr>
        <w:t xml:space="preserve">. </w:t>
      </w:r>
      <w:r>
        <w:rPr>
          <w:rFonts w:ascii="黑体" w:eastAsia="黑体" w:hint="eastAsia"/>
          <w:b w:val="0"/>
          <w:bCs w:val="0"/>
          <w:sz w:val="32"/>
          <w:szCs w:val="32"/>
          <w:shd w:val="clear" w:color="auto" w:fill="FFFFFF"/>
        </w:rPr>
        <w:t>人才培养</w:t>
      </w:r>
      <w:bookmarkEnd w:id="21"/>
      <w:bookmarkEnd w:id="22"/>
    </w:p>
    <w:p>
      <w:pPr>
        <w:pStyle w:val="2"/>
        <w:spacing w:before="0" w:after="0" w:line="560" w:lineRule="exact"/>
        <w:ind w:firstLineChars="200" w:firstLine="640"/>
        <w:rPr>
          <w:rFonts w:ascii="楷体" w:eastAsia="楷体"/>
          <w:shd w:val="clear" w:color="auto" w:fill="FFFFFF"/>
        </w:rPr>
      </w:pPr>
      <w:bookmarkStart w:id="23" w:name="_Toc218688914"/>
      <w:r>
        <w:rPr>
          <w:rFonts w:ascii="楷体" w:eastAsia="楷体" w:hint="eastAsia"/>
          <w:shd w:val="clear" w:color="auto" w:fill="FFFFFF"/>
        </w:rPr>
        <w:t>2</w:t>
      </w:r>
      <w:r>
        <w:rPr>
          <w:rFonts w:ascii="楷体" w:eastAsia="楷体"/>
          <w:shd w:val="clear" w:color="auto" w:fill="FFFFFF"/>
        </w:rPr>
        <w:t>.1</w:t>
      </w:r>
      <w:r>
        <w:rPr>
          <w:rFonts w:ascii="楷体" w:eastAsia="楷体" w:hint="eastAsia"/>
          <w:shd w:val="clear" w:color="auto" w:fill="FFFFFF"/>
        </w:rPr>
        <w:t>专业动态调整</w:t>
      </w:r>
      <w:bookmarkEnd w:id="23"/>
    </w:p>
    <w:p>
      <w:pPr>
        <w:pStyle w:val="23"/>
        <w:widowControl/>
        <w:shd w:val="clear" w:color="auto" w:fill="FFFFFF"/>
        <w:rPr>
          <w:rFonts w:ascii="仿宋_GB2312" w:cs="仿宋_GB2312"/>
          <w:color w:val="0F1115"/>
          <w:sz w:val="32"/>
          <w:szCs w:val="32"/>
          <w:shd w:val="clear" w:color="auto" w:fill="FFFFFF"/>
        </w:rPr>
      </w:pPr>
      <w:r>
        <w:rPr>
          <w:rFonts w:ascii="仿宋_GB2312" w:cs="仿宋_GB2312" w:hint="eastAsia"/>
          <w:color w:val="0F1115"/>
          <w:sz w:val="32"/>
          <w:szCs w:val="32"/>
          <w:shd w:val="clear" w:color="auto" w:fill="FFFFFF"/>
        </w:rPr>
        <w:t>永州市中职学校紧扣区域产业布局、市场需求及湖南省“三高四新”战略在永州的落地实践，建立“需求导向、动态优化”的专业设置与调整机制，构建“调研-论证-调整-评估-优化”的闭环管理流程，通过优化专业布局、深化产教协同、推进中高职衔接等关键举措，实现专业与产业精准对接，持续优化区域人才供给结构，为区域经济发展与民生改善提供高质量适配人才支撑。</w:t>
      </w:r>
    </w:p>
    <w:p>
      <w:pPr>
        <w:spacing w:line="560" w:lineRule="exact"/>
        <w:ind w:firstLineChars="200" w:firstLine="640"/>
        <w:rPr>
          <w:rFonts w:ascii="仿宋_GB2312" w:eastAsia="仿宋_GB2312"/>
          <w:b/>
          <w:bCs/>
          <w:sz w:val="32"/>
          <w:szCs w:val="32"/>
        </w:rPr>
      </w:pPr>
      <w:r>
        <w:rPr>
          <w:rFonts w:ascii="仿宋_GB2312" w:eastAsia="仿宋_GB2312" w:hint="eastAsia"/>
          <w:b/>
          <w:bCs/>
          <w:sz w:val="32"/>
          <w:szCs w:val="32"/>
        </w:rPr>
        <w:t>2.1.1优化专业布局，精准对接产业与民生需求</w:t>
      </w:r>
    </w:p>
    <w:p>
      <w:pPr>
        <w:pStyle w:val="23"/>
        <w:widowControl/>
        <w:shd w:val="clear" w:color="auto" w:fill="FFFFFF"/>
        <w:rPr>
          <w:rFonts w:ascii="仿宋_GB2312" w:cs="仿宋_GB2312"/>
          <w:color w:val="0F1115"/>
          <w:sz w:val="32"/>
          <w:szCs w:val="32"/>
          <w:shd w:val="clear" w:color="auto" w:fill="FFFFFF"/>
        </w:rPr>
      </w:pPr>
      <w:r>
        <w:rPr>
          <w:rFonts w:ascii="仿宋_GB2312" w:cs="仿宋_GB2312" w:hint="eastAsia"/>
          <w:color w:val="0F1115"/>
          <w:sz w:val="32"/>
          <w:szCs w:val="32"/>
          <w:shd w:val="clear" w:color="auto" w:fill="FFFFFF"/>
        </w:rPr>
        <w:t>聚焦主导与新兴产业集群，做强特色专业支撑。全市中职学校共开设专业85个，涵盖7大类别，建成省级“楚怡”优质专业群16个（其中A档12个、B档4个），核心覆盖机电技术应用、数控技术应用、智能制造、汽车运用与维修等重点领域。其中，江华职中紧扣县域“马达之城”定位和瑶族文化特色，构建以2个省级“楚怡”优质专业群为主体、电子信息技术为支撑、旅游服务与瑶药康养为特色的专业格局；祁阳职中打造电子信息、智能制造等5大专业群；宁远职中依托智能制造、汽车运用与维修两个省级“楚怡”优质专业群，精准对接高端装备制造和汽车后市场服务产业链；祁阳职中、永州工贸</w:t>
      </w:r>
      <w:r>
        <w:rPr>
          <w:rFonts w:ascii="仿宋_GB2312" w:cs="仿宋_GB2312"/>
          <w:color w:val="0F1115"/>
          <w:sz w:val="32"/>
          <w:szCs w:val="32"/>
          <w:shd w:val="clear" w:color="auto" w:fill="FFFFFF"/>
        </w:rPr>
        <w:t>学校</w:t>
      </w:r>
      <w:r>
        <w:rPr>
          <w:rFonts w:ascii="仿宋_GB2312" w:cs="仿宋_GB2312" w:hint="eastAsia"/>
          <w:color w:val="0F1115"/>
          <w:sz w:val="32"/>
          <w:szCs w:val="32"/>
          <w:shd w:val="clear" w:color="auto" w:fill="FFFFFF"/>
        </w:rPr>
        <w:t>等校前瞻性开设无人机操控与维护专业，主动服务低空经济新赛道。</w:t>
      </w:r>
    </w:p>
    <w:p>
      <w:pPr>
        <w:pStyle w:val="23"/>
        <w:widowControl/>
        <w:shd w:val="clear" w:color="auto" w:fill="FFFFFF"/>
        <w:rPr>
          <w:rFonts w:ascii="仿宋_GB2312" w:cs="仿宋_GB2312"/>
          <w:color w:val="0F1115"/>
          <w:sz w:val="32"/>
          <w:szCs w:val="32"/>
          <w:shd w:val="clear" w:color="auto" w:fill="FFFFFF"/>
        </w:rPr>
      </w:pPr>
      <w:r>
        <w:rPr>
          <w:rFonts w:ascii="仿宋_GB2312" w:cs="仿宋_GB2312" w:hint="eastAsia"/>
          <w:color w:val="0F1115"/>
          <w:sz w:val="32"/>
          <w:szCs w:val="32"/>
          <w:shd w:val="clear" w:color="auto" w:fill="FFFFFF"/>
        </w:rPr>
        <w:t>适配民生刚需方向，培育新兴专业增长点。紧扣康养、文旅等民生需求，多所学校精准增设特色专业。例如，工商职中、江华职中增设智慧健康养老服务、应急救援技术专业；新田职中做强智慧健康养老服务专业，融入富硒农产品电商运营内容；东安职中创新开设中餐烹饪（东安鸡方向）专业，助力地方非遗美食品牌化、产业化发展，通过专业布局优化筑牢民生服务人才保障。</w:t>
      </w:r>
    </w:p>
    <w:p>
      <w:pPr>
        <w:pStyle w:val="23"/>
        <w:widowControl/>
        <w:shd w:val="clear" w:color="auto" w:fill="FFFFFF"/>
        <w:rPr>
          <w:rFonts w:ascii="仿宋_GB2312" w:cs="仿宋_GB2312"/>
          <w:color w:val="0F1115"/>
          <w:sz w:val="32"/>
          <w:szCs w:val="32"/>
          <w:shd w:val="clear" w:color="auto" w:fill="FFFFFF"/>
        </w:rPr>
      </w:pPr>
      <w:r>
        <w:rPr>
          <w:rFonts w:ascii="仿宋_GB2312" w:cs="仿宋_GB2312" w:hint="eastAsia"/>
          <w:color w:val="0F1115"/>
          <w:sz w:val="32"/>
          <w:szCs w:val="32"/>
          <w:shd w:val="clear" w:color="auto" w:fill="FFFFFF"/>
        </w:rPr>
        <w:t>健全预警退出机制，优化专业结构存量。在强化专业增量优化的同时，建立以就业质量、产业适配度、评估结果为核心指标的专业预警与退出机制，对市场需求弱、就业质量低的专业果断停办或整合。</w:t>
      </w:r>
      <w:r>
        <w:rPr>
          <w:rFonts w:ascii="仿宋_GB2312" w:cs="仿宋_GB2312"/>
          <w:color w:val="0F1115"/>
          <w:sz w:val="32"/>
          <w:szCs w:val="32"/>
          <w:shd w:val="clear" w:color="auto" w:fill="FFFFFF"/>
        </w:rPr>
        <w:t>2025，全市累计撤销与产业需求明显脱节的专业</w:t>
      </w:r>
      <w:r>
        <w:rPr>
          <w:rFonts w:ascii="仿宋_GB2312" w:cs="仿宋_GB2312"/>
          <w:color w:val="FF0000"/>
          <w:sz w:val="32"/>
          <w:szCs w:val="32"/>
          <w:shd w:val="clear" w:color="auto" w:fill="FFFFFF"/>
        </w:rPr>
        <w:t>24</w:t>
      </w:r>
      <w:r>
        <w:rPr>
          <w:rFonts w:ascii="仿宋_GB2312" w:cs="仿宋_GB2312"/>
          <w:color w:val="0F1115"/>
          <w:sz w:val="32"/>
          <w:szCs w:val="32"/>
          <w:shd w:val="clear" w:color="auto" w:fill="FFFFFF"/>
        </w:rPr>
        <w:t>个，确保专业结构持续优化、教育资源高效配置。</w:t>
      </w:r>
    </w:p>
    <w:p>
      <w:pPr>
        <w:spacing w:line="560" w:lineRule="exact"/>
        <w:ind w:firstLineChars="200" w:firstLine="640"/>
        <w:rPr>
          <w:rFonts w:ascii="仿宋_GB2312" w:eastAsia="仿宋_GB2312"/>
          <w:b/>
          <w:bCs/>
          <w:sz w:val="32"/>
          <w:szCs w:val="32"/>
        </w:rPr>
      </w:pPr>
      <w:r>
        <w:rPr>
          <w:rFonts w:ascii="仿宋_GB2312" w:eastAsia="仿宋_GB2312" w:hint="eastAsia"/>
          <w:b/>
          <w:bCs/>
          <w:sz w:val="32"/>
          <w:szCs w:val="32"/>
        </w:rPr>
        <w:t>2.1.2创新实施路径，保障专业调整落地见效</w:t>
      </w:r>
    </w:p>
    <w:p>
      <w:pPr>
        <w:pStyle w:val="23"/>
        <w:widowControl/>
        <w:shd w:val="clear" w:color="auto" w:fill="FFFFFF"/>
        <w:rPr>
          <w:rFonts w:ascii="仿宋_GB2312" w:cs="仿宋_GB2312"/>
          <w:color w:val="0F1115"/>
          <w:sz w:val="32"/>
          <w:szCs w:val="32"/>
          <w:shd w:val="clear" w:color="auto" w:fill="FFFFFF"/>
        </w:rPr>
      </w:pPr>
      <w:r>
        <w:rPr>
          <w:rFonts w:ascii="仿宋_GB2312" w:cs="仿宋_GB2312" w:hint="eastAsia"/>
          <w:color w:val="0F1115"/>
          <w:sz w:val="32"/>
          <w:szCs w:val="32"/>
          <w:shd w:val="clear" w:color="auto" w:fill="FFFFFF"/>
        </w:rPr>
        <w:t>深化调研论证，夯实调整基础。各校组建由行业企业专家、教育学者、骨干教师构成的专业建设指导委员会，常态化深入本地产业园区、重点企业开展调研，精准捕捉产业链人才需求动态与岗位能力要求，为专业调整、人才培养方案修订及课程体系重构提供科学依据。</w:t>
      </w:r>
    </w:p>
    <w:p>
      <w:pPr>
        <w:pStyle w:val="23"/>
        <w:shd w:val="clear" w:color="auto" w:fill="FFFFFF"/>
        <w:rPr>
          <w:rFonts w:ascii="仿宋_GB2312" w:cs="仿宋_GB2312"/>
          <w:color w:val="0F1115"/>
          <w:sz w:val="32"/>
          <w:szCs w:val="32"/>
          <w:shd w:val="clear" w:color="auto" w:fill="FFFFFF"/>
        </w:rPr>
      </w:pPr>
      <w:r>
        <w:rPr>
          <w:rFonts w:ascii="仿宋_GB2312" w:cs="仿宋_GB2312" w:hint="eastAsia"/>
          <w:color w:val="0F1115"/>
          <w:sz w:val="32"/>
          <w:szCs w:val="32"/>
          <w:shd w:val="clear" w:color="auto" w:fill="FFFFFF"/>
        </w:rPr>
        <w:t>推进中高职衔接，构建人才培养通道。多所学校积极开展中高职贯通培养，例如，江华职中与湖南科技职业学院开展“3+2”中高职衔接；永州工贸与多所高职院校推进五年制贯通培养，2025年新增的无人机操控与维护专业已纳入衔接体系；新田职中与长沙环保职院等院校共建中高职教研联盟，打通中职到高职的人才成长路径。</w:t>
      </w:r>
    </w:p>
    <w:p>
      <w:pPr>
        <w:pStyle w:val="23"/>
        <w:shd w:val="clear" w:color="auto" w:fill="FFFFFF"/>
        <w:rPr>
          <w:rFonts w:ascii="仿宋_GB2312" w:cs="仿宋_GB2312"/>
          <w:color w:val="0F1115"/>
          <w:sz w:val="32"/>
          <w:szCs w:val="32"/>
          <w:shd w:val="clear" w:color="auto" w:fill="FFFFFF"/>
        </w:rPr>
      </w:pPr>
      <w:r>
        <w:rPr>
          <w:rFonts w:ascii="仿宋_GB2312" w:cs="仿宋_GB2312" w:hint="eastAsia"/>
          <w:color w:val="0F1115"/>
          <w:sz w:val="32"/>
          <w:szCs w:val="32"/>
          <w:shd w:val="clear" w:color="auto" w:fill="FFFFFF"/>
        </w:rPr>
        <w:t>创新校企共建模式，深化产教融合。各校积极联动行业企业打造协同育人平台，例如，江华职中在江华县消防大队指导下开设应急救援技术专业，与江华县中医院合作共建智慧健康养老专业；宁远职中将3个专业人才培养模式升级为现代学徒制培养，实现“入学即入职、毕业即上岗”，通过校企深度协同提升人才培养精准度与岗位适配性。</w:t>
      </w:r>
    </w:p>
    <w:tbl>
      <w:tblPr>
        <w:jc w:val="left"/>
        <w:tblInd w:w="0" w:type="dx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rPr>
          <w:trHeight w:hRule="exact" w:val="680"/>
        </w:trPr>
        <w:tc>
          <w:tcPr>
            <w:tcW w:w="5000" w:type="pct"/>
            <w:tcBorders>
              <w:top w:val="single" w:sz="4" w:space="0" w:color="auto"/>
              <w:left w:val="single" w:sz="4" w:space="0" w:color="auto"/>
              <w:bottom w:val="single" w:sz="4" w:space="0" w:color="auto"/>
              <w:right w:val="single" w:sz="4" w:space="0" w:color="auto"/>
            </w:tcBorders>
            <w:shd w:val="clear" w:color="auto" w:fill="7C7264"/>
            <w:noWrap/>
            <w:vAlign w:val="center"/>
          </w:tcPr>
          <w:p>
            <w:pPr>
              <w:pStyle w:val="23"/>
              <w:widowControl/>
              <w:spacing w:line="440" w:lineRule="exact"/>
              <w:ind w:firstLineChars="0" w:firstLine="0"/>
              <w:jc w:val="left"/>
              <w:outlineLvl w:val="4"/>
              <w:rPr>
                <w:rFonts w:ascii="仿宋_GB2312" w:cs="仿宋_GB2312"/>
                <w:b/>
                <w:bCs/>
                <w:color w:val="0F1115"/>
                <w:sz w:val="32"/>
                <w:szCs w:val="32"/>
              </w:rPr>
            </w:pPr>
            <w:bookmarkStart w:id="24" w:name="_Toc218688677"/>
            <w:r>
              <w:rPr>
                <w:rFonts w:ascii="仿宋_GB2312" w:cs="仿宋_GB2312" w:hint="eastAsia"/>
                <w:b/>
                <w:bCs/>
                <w:color w:val="FFFFFF"/>
                <w:sz w:val="32"/>
                <w:szCs w:val="32"/>
              </w:rPr>
              <w:t>案例</w:t>
            </w:r>
            <w:r>
              <w:rPr>
                <w:rFonts w:ascii="仿宋_GB2312" w:cs="仿宋_GB2312"/>
                <w:b/>
                <w:bCs/>
                <w:color w:val="FFFFFF"/>
                <w:sz w:val="32"/>
                <w:szCs w:val="32"/>
              </w:rPr>
              <w:t>2-1：</w:t>
            </w:r>
            <w:r>
              <w:rPr>
                <w:rFonts w:ascii="仿宋_GB2312" w:cs="仿宋_GB2312" w:hint="eastAsia"/>
                <w:b/>
                <w:bCs/>
                <w:color w:val="FFFFFF"/>
                <w:sz w:val="32"/>
                <w:szCs w:val="32"/>
              </w:rPr>
              <w:t>江华职中：</w:t>
            </w:r>
            <w:r>
              <w:rPr>
                <w:rFonts w:ascii="仿宋_GB2312" w:cs="仿宋_GB2312"/>
                <w:b/>
                <w:bCs/>
                <w:color w:val="FFFFFF"/>
                <w:sz w:val="32"/>
                <w:szCs w:val="32"/>
              </w:rPr>
              <w:t>瑶药赋能智慧康养专业</w:t>
            </w:r>
            <w:bookmarkEnd w:id="24"/>
          </w:p>
        </w:tc>
      </w:tr>
      <w:tr>
        <w:tc>
          <w:tcPr>
            <w:tcW w:w="5000" w:type="pct"/>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江华职中智慧健康养老专业紧扣国家智慧化养老服务体系建设需求，立足区域瑶族医药文化资源，以动态适配市场与文化传承双重需求为核心，走出特色专业建设之路。</w:t>
            </w:r>
          </w:p>
          <w:p>
            <w:pPr>
              <w:pStyle w:val="23"/>
              <w:widowControl/>
              <w:tabs>
                <w:tab w:val="left" w:pos="1890"/>
              </w:tabs>
              <w:spacing w:line="480" w:lineRule="exact"/>
              <w:rPr>
                <w:rFonts w:ascii="宋体" w:eastAsia="宋体" w:cs="仿宋_GB2312"/>
                <w:color w:val="0F1115"/>
                <w:sz w:val="28"/>
                <w:szCs w:val="28"/>
              </w:rPr>
            </w:pPr>
            <w:r>
              <w:rPr>
                <w:rFonts w:ascii="宋体" w:eastAsia="宋体" w:cs="仿宋_GB2312" w:hint="eastAsia"/>
                <w:color w:val="0F1115"/>
                <w:sz w:val="28"/>
                <w:szCs w:val="28"/>
              </w:rPr>
              <w:t>构建“理论筑基、实践强能、特色赋能”的教学体系。课程设置科学多元，以人体解剖学、生理学、老年护理学筑牢专业知识根基，通过老年人沟通技巧课程涵养人文关怀素养；精准对接市场需求，新增瑶药基础知识、瑶药养生保健、瑶医特色照护等特色课程，深挖瑶族医药在老年康养中的独特价值。教学中创新采用模型教具、情境模拟、实操训练及瑶药炮制与应用实训等多元方式，助力学生在沉浸式学习中提升实践能力与服务意识。</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同时，依托与江华县中医院的深度合作，充分发挥医教协同与瑶药资源优势，搭建临床参观、岗位体验、瑶药康养实训等多层次学习平台，让学生在真实医疗护理场景中深化对老年健康与照护需求的认知，让学生在真实场景中熟练掌握瑶药在老年慢性病调理、康复护理中的应用。其“现代技术</w:t>
            </w:r>
            <w:r>
              <w:rPr>
                <w:rFonts w:ascii="宋体" w:eastAsia="宋体" w:cs="仿宋_GB2312"/>
                <w:color w:val="0F1115"/>
                <w:sz w:val="28"/>
                <w:szCs w:val="28"/>
              </w:rPr>
              <w:t>+民族特色”的融合路径，为职业教育专业建设提供了可复制模式；医教协同、校企合作的办学机制，有效破解了康养专业实践教学难题；立足区域文化资源打造专业亮点的做法，为兄弟学校精准对接地方产业需求提供了参考。专业建成后，毕业生可凭借“智慧养老+瑶药康养”复合优势广受市场青睐，既为区域养老事业注入专业力量，也助力瑶族医药文化传承，实现教育价值与社会价值双赢</w:t>
            </w:r>
            <w:r>
              <w:rPr>
                <w:rFonts w:ascii="宋体" w:eastAsia="宋体" w:cs="仿宋_GB2312" w:hint="eastAsia"/>
                <w:color w:val="0F1115"/>
                <w:sz w:val="28"/>
                <w:szCs w:val="28"/>
              </w:rPr>
              <w:t>。</w:t>
            </w:r>
          </w:p>
          <w:p>
            <w:pPr>
              <w:pStyle w:val="23"/>
              <w:widowControl/>
              <w:spacing w:line="240" w:lineRule="auto"/>
              <w:ind w:firstLineChars="0" w:firstLine="0"/>
              <w:jc w:val="center"/>
              <w:rPr>
                <w:rFonts w:ascii="仿宋_GB2312" w:cs="仿宋_GB2312"/>
                <w:color w:val="0F1115"/>
                <w:sz w:val="32"/>
                <w:szCs w:val="32"/>
              </w:rPr>
            </w:pPr>
            <w:r>
              <w:rPr>
                <w:sz w:val="28"/>
                <w:szCs w:val="28"/>
              </w:rPr>
              <w:drawing>
                <wp:inline distT="0" distB="0" distL="114300" distR="114300">
                  <wp:extent cx="4968240" cy="3147060"/>
                  <wp:effectExtent l="0" t="0" r="19" b="47"/>
                  <wp:docPr id="17" name="图片 75" descr="D:\微信数据\WeChat Files\wxid_glht0goidg522\FileStorage\Temp\c1dfd17f50b2c03e6d9827232f85e5e.jpg"/>
                  <wp:cNvGraphicFramePr>
                    <a:graphicFrameLocks noChangeAspect="0"/>
                  </wp:cNvGraphicFramePr>
                  <a:graphic>
                    <a:graphicData uri="http://schemas.openxmlformats.org/drawingml/2006/picture">
                      <pic:pic>
                        <pic:nvPicPr>
                          <pic:cNvPr id="19" name="图片 75 19"/>
                          <pic:cNvPicPr/>
                        </pic:nvPicPr>
                        <pic:blipFill>
                          <a:blip r:embed="rId13"/>
                          <a:stretch>
                            <a:fillRect/>
                          </a:stretch>
                        </pic:blipFill>
                        <pic:spPr>
                          <a:xfrm rot="0">
                            <a:off x="0" y="0"/>
                            <a:ext cx="4968240" cy="3147060"/>
                          </a:xfrm>
                          <a:prstGeom prst="rect"/>
                          <a:noFill/>
                          <a:ln w="9525" cmpd="sng" cap="flat">
                            <a:noFill/>
                            <a:prstDash val="solid"/>
                            <a:round/>
                          </a:ln>
                        </pic:spPr>
                      </pic:pic>
                    </a:graphicData>
                  </a:graphic>
                </wp:inline>
              </w:drawing>
            </w:r>
          </w:p>
          <w:p>
            <w:pPr>
              <w:pStyle w:val="23"/>
              <w:widowControl/>
              <w:spacing w:afterLines="50" w:after="156" w:line="240" w:lineRule="auto"/>
              <w:ind w:firstLineChars="0" w:firstLine="0"/>
              <w:jc w:val="center"/>
              <w:outlineLvl w:val="2"/>
              <w:rPr>
                <w:rFonts w:ascii="仿宋_GB2312" w:cs="仿宋_GB2312"/>
                <w:b/>
                <w:bCs/>
                <w:color w:val="0F1115"/>
                <w:sz w:val="32"/>
                <w:szCs w:val="32"/>
              </w:rPr>
            </w:pPr>
            <w:bookmarkStart w:id="25" w:name="_Toc218688625"/>
            <w:r>
              <w:rPr>
                <w:rFonts w:ascii="宋体" w:eastAsia="宋体" w:hint="eastAsia"/>
                <w:b/>
                <w:bCs/>
              </w:rPr>
              <w:t>图</w:t>
            </w:r>
            <w:r>
              <w:rPr>
                <w:rFonts w:ascii="宋体" w:eastAsia="宋体"/>
                <w:b/>
                <w:bCs/>
              </w:rPr>
              <w:t>2-1</w:t>
            </w:r>
            <w:r>
              <w:rPr>
                <w:rFonts w:ascii="宋体" w:eastAsia="宋体" w:hint="eastAsia"/>
                <w:b/>
                <w:bCs/>
              </w:rPr>
              <w:t>江华职中智慧健康养老专业学生实操训练现场</w:t>
            </w:r>
            <w:bookmarkEnd w:id="25"/>
          </w:p>
        </w:tc>
      </w:tr>
    </w:tbl>
    <w:p>
      <w:pPr>
        <w:pStyle w:val="2"/>
        <w:spacing w:before="0" w:after="0" w:line="560" w:lineRule="exact"/>
        <w:ind w:firstLineChars="200" w:firstLine="640"/>
        <w:rPr>
          <w:rFonts w:ascii="楷体" w:eastAsia="楷体"/>
          <w:shd w:val="clear" w:color="auto" w:fill="FFFFFF"/>
        </w:rPr>
      </w:pPr>
      <w:bookmarkStart w:id="26" w:name="_Toc218688915"/>
      <w:r>
        <w:rPr>
          <w:rFonts w:ascii="楷体" w:eastAsia="楷体" w:hint="eastAsia"/>
          <w:shd w:val="clear" w:color="auto" w:fill="FFFFFF"/>
        </w:rPr>
        <w:t>2</w:t>
      </w:r>
      <w:r>
        <w:rPr>
          <w:rFonts w:ascii="楷体" w:eastAsia="楷体"/>
          <w:shd w:val="clear" w:color="auto" w:fill="FFFFFF"/>
        </w:rPr>
        <w:t>.2“岗课赛证”融合实践</w:t>
      </w:r>
      <w:bookmarkEnd w:id="26"/>
    </w:p>
    <w:p>
      <w:pPr>
        <w:pStyle w:val="23"/>
        <w:widowControl/>
        <w:shd w:val="clear" w:color="auto" w:fill="FFFFFF"/>
        <w:rPr>
          <w:rFonts w:ascii="仿宋_GB2312" w:cs="仿宋_GB2312"/>
          <w:color w:val="0F1115"/>
          <w:sz w:val="32"/>
          <w:szCs w:val="32"/>
          <w:shd w:val="clear" w:color="auto" w:fill="FFFFFF"/>
        </w:rPr>
      </w:pPr>
      <w:r>
        <w:rPr>
          <w:rFonts w:ascii="仿宋_GB2312" w:cs="仿宋_GB2312"/>
          <w:color w:val="0F1115"/>
          <w:sz w:val="32"/>
          <w:szCs w:val="32"/>
          <w:shd w:val="clear" w:color="auto" w:fill="FFFFFF"/>
        </w:rPr>
        <w:t>永州市将“岗课赛证”综合育人模式作为核心抓手，以岗位能力要求为逻辑起点，系统整合职业标准、技能竞赛、证书考核等关键要素，反向设计并重构课程内容与教学模式，实现学习、训练、评价与就业的有机贯通，全面提升学生综合职业能力与就业竞争力，推动职业教育高质量发展。</w:t>
      </w:r>
    </w:p>
    <w:p>
      <w:pPr>
        <w:spacing w:line="560" w:lineRule="exact"/>
        <w:ind w:firstLineChars="200" w:firstLine="640"/>
        <w:rPr>
          <w:rFonts w:ascii="仿宋_GB2312" w:eastAsia="仿宋_GB2312"/>
          <w:b/>
          <w:bCs/>
          <w:sz w:val="32"/>
          <w:szCs w:val="32"/>
        </w:rPr>
      </w:pPr>
      <w:r>
        <w:rPr>
          <w:rFonts w:ascii="仿宋_GB2312" w:eastAsia="仿宋_GB2312" w:hint="eastAsia"/>
          <w:b/>
          <w:bCs/>
          <w:sz w:val="32"/>
          <w:szCs w:val="32"/>
        </w:rPr>
        <w:t>2.2.1以“岗”定标，重构课程内容体系</w:t>
      </w:r>
    </w:p>
    <w:p>
      <w:pPr>
        <w:pStyle w:val="23"/>
        <w:widowControl/>
        <w:shd w:val="clear" w:color="auto" w:fill="FFFFFF"/>
        <w:rPr>
          <w:rFonts w:ascii="仿宋_GB2312" w:cs="仿宋_GB2312"/>
          <w:color w:val="0F1115"/>
          <w:sz w:val="32"/>
          <w:szCs w:val="32"/>
          <w:shd w:val="clear" w:color="auto" w:fill="FFFFFF"/>
        </w:rPr>
      </w:pPr>
      <w:r>
        <w:rPr>
          <w:rFonts w:ascii="仿宋_GB2312" w:cs="仿宋_GB2312" w:hint="eastAsia"/>
          <w:color w:val="0F1115"/>
          <w:sz w:val="32"/>
          <w:szCs w:val="32"/>
          <w:shd w:val="clear" w:color="auto" w:fill="FFFFFF"/>
        </w:rPr>
        <w:t>永州市</w:t>
      </w:r>
      <w:r>
        <w:rPr>
          <w:rFonts w:ascii="仿宋_GB2312" w:cs="仿宋_GB2312"/>
          <w:color w:val="0F1115"/>
          <w:sz w:val="32"/>
          <w:szCs w:val="32"/>
          <w:shd w:val="clear" w:color="auto" w:fill="FFFFFF"/>
        </w:rPr>
        <w:t>各</w:t>
      </w:r>
      <w:r>
        <w:rPr>
          <w:rFonts w:ascii="仿宋_GB2312" w:cs="仿宋_GB2312" w:hint="eastAsia"/>
          <w:color w:val="0F1115"/>
          <w:sz w:val="32"/>
          <w:szCs w:val="32"/>
          <w:shd w:val="clear" w:color="auto" w:fill="FFFFFF"/>
        </w:rPr>
        <w:t>中职学校</w:t>
      </w:r>
      <w:r>
        <w:rPr>
          <w:rFonts w:ascii="仿宋_GB2312" w:cs="仿宋_GB2312"/>
          <w:color w:val="0F1115"/>
          <w:sz w:val="32"/>
          <w:szCs w:val="32"/>
          <w:shd w:val="clear" w:color="auto" w:fill="FFFFFF"/>
        </w:rPr>
        <w:t>深度对接职业岗位标准、行业技术规范及“1+X”职业技能等级标准，将其模块化、系统化分解融入课程体系，推动课程内容与产业需求、岗位要求精准对接。</w:t>
      </w:r>
    </w:p>
    <w:p>
      <w:pPr>
        <w:pStyle w:val="23"/>
        <w:widowControl/>
        <w:shd w:val="clear" w:color="auto" w:fill="FFFFFF"/>
        <w:rPr>
          <w:rFonts w:ascii="仿宋_GB2312" w:cs="仿宋_GB2312"/>
          <w:color w:val="0F1115"/>
          <w:sz w:val="32"/>
          <w:szCs w:val="32"/>
          <w:shd w:val="clear" w:color="auto" w:fill="FFFFFF"/>
        </w:rPr>
      </w:pPr>
      <w:r>
        <w:rPr>
          <w:rFonts w:ascii="仿宋_GB2312" w:cs="仿宋_GB2312"/>
          <w:color w:val="0F1115"/>
          <w:sz w:val="32"/>
          <w:szCs w:val="32"/>
          <w:shd w:val="clear" w:color="auto" w:fill="FFFFFF"/>
        </w:rPr>
        <w:t>在校企合作重构教学内容方面，</w:t>
      </w:r>
      <w:r>
        <w:rPr>
          <w:rFonts w:ascii="仿宋_GB2312" w:cs="仿宋_GB2312" w:hint="eastAsia"/>
          <w:color w:val="0F1115"/>
          <w:sz w:val="32"/>
          <w:szCs w:val="32"/>
          <w:shd w:val="clear" w:color="auto" w:fill="FFFFFF"/>
        </w:rPr>
        <w:t>永州综职</w:t>
      </w:r>
      <w:r>
        <w:rPr>
          <w:rFonts w:ascii="仿宋_GB2312" w:cs="仿宋_GB2312"/>
          <w:color w:val="0F1115"/>
          <w:sz w:val="32"/>
          <w:szCs w:val="32"/>
          <w:shd w:val="clear" w:color="auto" w:fill="FFFFFF"/>
        </w:rPr>
        <w:t>与深圳智能时代产业园等企业深度协作，将企业真实岗位标准引入课程体系，通过订单班、现代学徒制等培养模式，实现教学过程与生产实践无缝对接；新田</w:t>
      </w:r>
      <w:r>
        <w:rPr>
          <w:rFonts w:ascii="仿宋_GB2312" w:cs="仿宋_GB2312" w:hint="eastAsia"/>
          <w:color w:val="0F1115"/>
          <w:sz w:val="32"/>
          <w:szCs w:val="32"/>
          <w:shd w:val="clear" w:color="auto" w:fill="FFFFFF"/>
        </w:rPr>
        <w:t>职中</w:t>
      </w:r>
      <w:r>
        <w:rPr>
          <w:rFonts w:ascii="仿宋_GB2312" w:cs="仿宋_GB2312"/>
          <w:color w:val="0F1115"/>
          <w:sz w:val="32"/>
          <w:szCs w:val="32"/>
          <w:shd w:val="clear" w:color="auto" w:fill="FFFFFF"/>
        </w:rPr>
        <w:t>聚焦产业发展需求，修订15门核心课程标准，新增《智能制造单元运维》《富硒农产品直播营销》等4门校企共建课程，确保教学内容与产业技术迭代同步更新。</w:t>
      </w:r>
    </w:p>
    <w:p>
      <w:pPr>
        <w:pStyle w:val="23"/>
        <w:widowControl/>
        <w:shd w:val="clear" w:color="auto" w:fill="FFFFFF"/>
        <w:rPr>
          <w:rFonts w:ascii="仿宋_GB2312" w:cs="仿宋_GB2312"/>
          <w:color w:val="0F1115"/>
          <w:sz w:val="32"/>
          <w:szCs w:val="32"/>
          <w:shd w:val="clear" w:color="auto" w:fill="FFFFFF"/>
        </w:rPr>
      </w:pPr>
      <w:r>
        <w:rPr>
          <w:rFonts w:ascii="仿宋_GB2312" w:cs="仿宋_GB2312"/>
          <w:color w:val="0F1115"/>
          <w:sz w:val="32"/>
          <w:szCs w:val="32"/>
          <w:shd w:val="clear" w:color="auto" w:fill="FFFFFF"/>
        </w:rPr>
        <w:t>在课证赛融通课程开发方面，祁阳职中精准对接数控车工（中级）、电子商务师（中级）等证书考核要求，将职业伦理教育融入教学全过程，开发8门“赛证+思政+心理”融合实训课程；宁远</w:t>
      </w:r>
      <w:r>
        <w:rPr>
          <w:rFonts w:ascii="仿宋_GB2312" w:cs="仿宋_GB2312" w:hint="eastAsia"/>
          <w:color w:val="0F1115"/>
          <w:sz w:val="32"/>
          <w:szCs w:val="32"/>
          <w:shd w:val="clear" w:color="auto" w:fill="FFFFFF"/>
        </w:rPr>
        <w:t>职中</w:t>
      </w:r>
      <w:r>
        <w:rPr>
          <w:rFonts w:ascii="仿宋_GB2312" w:cs="仿宋_GB2312"/>
          <w:color w:val="0F1115"/>
          <w:sz w:val="32"/>
          <w:szCs w:val="32"/>
          <w:shd w:val="clear" w:color="auto" w:fill="FFFFFF"/>
        </w:rPr>
        <w:t>针对性开发《电工基础》等7门深度融通课程；永州工贸电子技术应用专业打造“岗课赛证”融合样板，将企业规范、竞赛任务、证书考点转化为32个具体教学点，实施“企业订单+竞赛模拟+证书训练”三位一体教学模式，提升教学针对性与实效性。</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rPr>
          <w:trHeight w:hRule="exact" w:val="680"/>
        </w:trPr>
        <w:tc>
          <w:tcPr>
            <w:tcW w:w="8296" w:type="dxa"/>
            <w:tcBorders>
              <w:top w:val="single" w:sz="4" w:space="0" w:color="auto"/>
              <w:left w:val="single" w:sz="4" w:space="0" w:color="auto"/>
              <w:bottom w:val="single" w:sz="4" w:space="0" w:color="auto"/>
              <w:right w:val="single" w:sz="4" w:space="0" w:color="auto"/>
            </w:tcBorders>
            <w:shd w:val="clear" w:color="auto" w:fill="7C7264"/>
            <w:noWrap/>
            <w:vAlign w:val="center"/>
          </w:tcPr>
          <w:p>
            <w:pPr>
              <w:pStyle w:val="23"/>
              <w:widowControl/>
              <w:spacing w:line="440" w:lineRule="exact"/>
              <w:ind w:firstLineChars="0" w:firstLine="0"/>
              <w:jc w:val="left"/>
              <w:outlineLvl w:val="4"/>
              <w:rPr>
                <w:rFonts w:ascii="仿宋_GB2312" w:cs="仿宋_GB2312"/>
                <w:b/>
                <w:bCs/>
                <w:color w:val="0F1115"/>
                <w:sz w:val="32"/>
                <w:szCs w:val="32"/>
              </w:rPr>
            </w:pPr>
            <w:bookmarkStart w:id="27" w:name="_Toc218688678"/>
            <w:r>
              <w:rPr>
                <w:rFonts w:ascii="仿宋_GB2312" w:cs="仿宋_GB2312" w:hint="eastAsia"/>
                <w:b/>
                <w:bCs/>
                <w:color w:val="FFFFFF"/>
                <w:sz w:val="32"/>
                <w:szCs w:val="32"/>
              </w:rPr>
              <w:t>案例</w:t>
            </w:r>
            <w:r>
              <w:rPr>
                <w:rFonts w:ascii="仿宋_GB2312" w:cs="仿宋_GB2312"/>
                <w:b/>
                <w:bCs/>
                <w:color w:val="FFFFFF"/>
                <w:sz w:val="32"/>
                <w:szCs w:val="32"/>
              </w:rPr>
              <w:t>2-2：</w:t>
            </w:r>
            <w:r>
              <w:rPr>
                <w:rFonts w:ascii="仿宋_GB2312" w:cs="仿宋_GB2312" w:hint="eastAsia"/>
                <w:b/>
                <w:bCs/>
                <w:color w:val="FFFFFF"/>
                <w:sz w:val="32"/>
                <w:szCs w:val="32"/>
              </w:rPr>
              <w:t>祁阳职中：匠心赛教，风采新篇</w:t>
            </w:r>
            <w:bookmarkEnd w:id="27"/>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“欲善其事，必先利其器”，教学设计是课堂革新的核心支点。为深化“以赛促教，以赛促学”理念，祁阳职中先施行了一系列教学改革举措，为教师成长搭建平台，最终在中职教学设计大赛中收获丰硕成果。</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在教学改革方面，学校聚焦核心素养培育，多措并举推动教学提质。一是构建模块化课程体系，以职业岗位需求为导向，将课程内容按岗位能力拆解为若干模块，强化“岗课赛证”深度融通，把职业资格证书标准、企业技术规范和技能竞赛要求融入课程模块，实现教学与岗位需求无缝衔接。二是创新教学方法矩阵，推行“多媒体融合</w:t>
            </w:r>
            <w:r>
              <w:rPr>
                <w:rFonts w:ascii="宋体" w:eastAsia="宋体" w:cs="仿宋_GB2312"/>
                <w:color w:val="0F1115"/>
                <w:sz w:val="28"/>
                <w:szCs w:val="28"/>
              </w:rPr>
              <w:t>+实践任务+真实场景”的三维教学模式，鼓励教师广泛运用项目式、情境化、案例探究等教学方法，打破传统讲授式教学局限，实现“教-学-做”一体化。三是完善教学支持机制，开展常态化教学研讨、跨专业示范课和数字化教学技能培训，提</w:t>
            </w:r>
            <w:r>
              <w:rPr>
                <w:rFonts w:ascii="宋体" w:eastAsia="宋体" w:cs="仿宋_GB2312" w:hint="eastAsia"/>
                <w:color w:val="0F1115"/>
                <w:sz w:val="28"/>
                <w:szCs w:val="28"/>
              </w:rPr>
              <w:t>供优质教学资源库和仿真教学平台，助力教师提升教材处理、资源整合与创新设计能力。四是优化教学评价体系，建立分层作业设计与多元评价机制，兼顾不同层次学生学习需求，突出技能考核与过程性评价并重。</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在湖南省教科院主办的</w:t>
            </w:r>
            <w:r>
              <w:rPr>
                <w:rFonts w:ascii="宋体" w:eastAsia="宋体" w:cs="仿宋_GB2312"/>
                <w:color w:val="0F1115"/>
                <w:sz w:val="28"/>
                <w:szCs w:val="28"/>
              </w:rPr>
              <w:t>2025年湖南省中等职业学校教师教学设计与展示交流活动中，祁阳职中陈诗芬老师、杨娟老师分别荣获思想政治、美容美发类二等奖；陈远老师、邓建军老师分别荣获交通类、建筑类三等奖。此外，杨娟老师还代表湖南省出征国赛。</w:t>
            </w:r>
          </w:p>
          <w:p>
            <w:pPr>
              <w:pStyle w:val="23"/>
              <w:widowControl/>
              <w:spacing w:line="240" w:lineRule="auto"/>
              <w:ind w:firstLineChars="0" w:firstLine="0"/>
              <w:rPr>
                <w:rFonts w:ascii="仿宋_GB2312" w:cs="仿宋_GB2312"/>
                <w:color w:val="0F1115"/>
                <w:sz w:val="32"/>
                <w:szCs w:val="32"/>
              </w:rPr>
            </w:pPr>
            <w:r>
              <w:drawing>
                <wp:inline distT="0" distB="0" distL="114300" distR="114300">
                  <wp:extent cx="5039995" cy="2879725"/>
                  <wp:effectExtent l="0" t="0" r="14" b="19"/>
                  <wp:docPr id="20" name="图片 3"/>
                  <wp:cNvGraphicFramePr>
                    <a:graphicFrameLocks noChangeAspect="0"/>
                  </wp:cNvGraphicFramePr>
                  <a:graphic>
                    <a:graphicData uri="http://schemas.openxmlformats.org/drawingml/2006/picture">
                      <pic:pic>
                        <pic:nvPicPr>
                          <pic:cNvPr id="22" name="图片 3 22"/>
                          <pic:cNvPicPr/>
                        </pic:nvPicPr>
                        <pic:blipFill>
                          <a:blip r:embed="rId14"/>
                          <a:stretch>
                            <a:fillRect/>
                          </a:stretch>
                        </pic:blipFill>
                        <pic:spPr>
                          <a:xfrm rot="0">
                            <a:off x="0" y="0"/>
                            <a:ext cx="5039995" cy="2879725"/>
                          </a:xfrm>
                          <a:prstGeom prst="rect"/>
                          <a:noFill/>
                          <a:ln w="9525" cmpd="sng" cap="flat">
                            <a:noFill/>
                            <a:prstDash val="solid"/>
                            <a:round/>
                          </a:ln>
                        </pic:spPr>
                      </pic:pic>
                    </a:graphicData>
                  </a:graphic>
                </wp:inline>
              </w:drawing>
            </w:r>
          </w:p>
          <w:p>
            <w:pPr>
              <w:pStyle w:val="23"/>
              <w:widowControl/>
              <w:spacing w:afterLines="50" w:after="156" w:line="240" w:lineRule="auto"/>
              <w:ind w:firstLineChars="0" w:firstLine="0"/>
              <w:jc w:val="center"/>
              <w:outlineLvl w:val="2"/>
              <w:rPr>
                <w:rFonts w:ascii="宋体" w:eastAsia="宋体" w:cs="仿宋_GB2312"/>
                <w:b/>
                <w:bCs/>
                <w:color w:val="0F1115"/>
                <w:sz w:val="32"/>
                <w:szCs w:val="32"/>
              </w:rPr>
            </w:pPr>
            <w:bookmarkStart w:id="28" w:name="_Toc218688626"/>
            <w:r>
              <w:rPr>
                <w:rFonts w:ascii="宋体" w:eastAsia="宋体" w:hint="eastAsia"/>
                <w:b/>
                <w:bCs/>
              </w:rPr>
              <w:t>图</w:t>
            </w:r>
            <w:r>
              <w:rPr>
                <w:rFonts w:ascii="宋体" w:eastAsia="宋体"/>
                <w:b/>
                <w:bCs/>
              </w:rPr>
              <w:t xml:space="preserve">2-2 </w:t>
            </w:r>
            <w:r>
              <w:rPr>
                <w:rFonts w:ascii="宋体" w:eastAsia="宋体" w:hint="eastAsia"/>
                <w:b/>
                <w:bCs/>
              </w:rPr>
              <w:t>祁阳职中在湖南省教师教学设计与展示交流活动中获奖</w:t>
            </w:r>
            <w:bookmarkEnd w:id="28"/>
          </w:p>
        </w:tc>
      </w:tr>
    </w:tbl>
    <w:p>
      <w:pPr>
        <w:spacing w:line="560" w:lineRule="exact"/>
        <w:ind w:firstLineChars="200" w:firstLine="640"/>
        <w:rPr>
          <w:rFonts w:ascii="仿宋_GB2312" w:eastAsia="仿宋_GB2312"/>
          <w:b/>
          <w:bCs/>
          <w:sz w:val="32"/>
          <w:szCs w:val="32"/>
        </w:rPr>
      </w:pPr>
      <w:r>
        <w:rPr>
          <w:rFonts w:ascii="仿宋_GB2312" w:eastAsia="仿宋_GB2312" w:hint="eastAsia"/>
          <w:b/>
          <w:bCs/>
          <w:sz w:val="32"/>
          <w:szCs w:val="32"/>
        </w:rPr>
        <w:t>2.2.2以“赛”促教，深化教学改革与创新</w:t>
      </w:r>
    </w:p>
    <w:p>
      <w:pPr>
        <w:pStyle w:val="23"/>
        <w:widowControl/>
        <w:shd w:val="clear" w:color="auto" w:fill="FFFFFF"/>
        <w:rPr>
          <w:rFonts w:ascii="仿宋_GB2312" w:cs="仿宋_GB2312"/>
          <w:color w:val="0F1115"/>
          <w:sz w:val="32"/>
          <w:szCs w:val="32"/>
          <w:shd w:val="clear" w:color="auto" w:fill="FFFFFF"/>
        </w:rPr>
      </w:pPr>
      <w:r>
        <w:rPr>
          <w:rFonts w:ascii="仿宋_GB2312" w:cs="仿宋_GB2312" w:hint="eastAsia"/>
          <w:color w:val="0F1115"/>
          <w:sz w:val="32"/>
          <w:szCs w:val="32"/>
          <w:shd w:val="clear" w:color="auto" w:fill="FFFFFF"/>
        </w:rPr>
        <w:t>永州市</w:t>
      </w:r>
      <w:r>
        <w:rPr>
          <w:rFonts w:ascii="仿宋_GB2312" w:cs="仿宋_GB2312"/>
          <w:color w:val="0F1115"/>
          <w:sz w:val="32"/>
          <w:szCs w:val="32"/>
          <w:shd w:val="clear" w:color="auto" w:fill="FFFFFF"/>
        </w:rPr>
        <w:t>构建并完善“校-市-省-国”四级联动、覆盖全员的技能竞赛体系，常态化开展“技能</w:t>
      </w:r>
      <w:r>
        <w:rPr>
          <w:rFonts w:ascii="仿宋_GB2312" w:cs="仿宋_GB2312" w:hint="eastAsia"/>
          <w:color w:val="0F1115"/>
          <w:sz w:val="32"/>
          <w:szCs w:val="32"/>
          <w:shd w:val="clear" w:color="auto" w:fill="FFFFFF"/>
        </w:rPr>
        <w:t>节</w:t>
      </w:r>
      <w:r>
        <w:rPr>
          <w:rFonts w:ascii="仿宋_GB2312" w:cs="仿宋_GB2312"/>
          <w:color w:val="0F1115"/>
          <w:sz w:val="32"/>
          <w:szCs w:val="32"/>
          <w:shd w:val="clear" w:color="auto" w:fill="FFFFFF"/>
        </w:rPr>
        <w:t>”“一课一赛”等活动，充分发挥技能竞赛“以赛促学、以赛促教、以赛促改”的引领作用，推动竞赛成果与教学改革双向赋能。</w:t>
      </w:r>
    </w:p>
    <w:p>
      <w:pPr>
        <w:pStyle w:val="23"/>
        <w:widowControl/>
        <w:shd w:val="clear" w:color="auto" w:fill="FFFFFF"/>
        <w:rPr>
          <w:rFonts w:ascii="仿宋_GB2312" w:cs="仿宋_GB2312"/>
          <w:color w:val="0F1115"/>
          <w:sz w:val="32"/>
          <w:szCs w:val="32"/>
          <w:shd w:val="clear" w:color="auto" w:fill="FFFFFF"/>
        </w:rPr>
      </w:pPr>
      <w:r>
        <w:rPr>
          <w:rFonts w:ascii="仿宋_GB2312" w:cs="仿宋_GB2312" w:hint="eastAsia"/>
          <w:color w:val="0F1115"/>
          <w:sz w:val="32"/>
          <w:szCs w:val="32"/>
          <w:shd w:val="clear" w:color="auto" w:fill="FFFFFF"/>
        </w:rPr>
        <w:t>各中职学校</w:t>
      </w:r>
      <w:r>
        <w:rPr>
          <w:rFonts w:ascii="仿宋_GB2312" w:cs="仿宋_GB2312"/>
          <w:color w:val="0F1115"/>
          <w:sz w:val="32"/>
          <w:szCs w:val="32"/>
          <w:shd w:val="clear" w:color="auto" w:fill="FFFFFF"/>
        </w:rPr>
        <w:t>积极将各级技能大赛规程、内容及评价标准全面融入日常教学与训练</w:t>
      </w:r>
      <w:r>
        <w:rPr>
          <w:rFonts w:ascii="仿宋_GB2312" w:cs="仿宋_GB2312" w:hint="eastAsia"/>
          <w:color w:val="0F1115"/>
          <w:sz w:val="32"/>
          <w:szCs w:val="32"/>
          <w:shd w:val="clear" w:color="auto" w:fill="FFFFFF"/>
        </w:rPr>
        <w:t>。例如，</w:t>
      </w:r>
      <w:r>
        <w:rPr>
          <w:rFonts w:ascii="仿宋_GB2312" w:cs="仿宋_GB2312"/>
          <w:color w:val="0F1115"/>
          <w:sz w:val="32"/>
          <w:szCs w:val="32"/>
          <w:shd w:val="clear" w:color="auto" w:fill="FFFFFF"/>
        </w:rPr>
        <w:t>新田</w:t>
      </w:r>
      <w:r>
        <w:rPr>
          <w:rFonts w:ascii="仿宋_GB2312" w:cs="仿宋_GB2312" w:hint="eastAsia"/>
          <w:color w:val="0F1115"/>
          <w:sz w:val="32"/>
          <w:szCs w:val="32"/>
          <w:shd w:val="clear" w:color="auto" w:fill="FFFFFF"/>
        </w:rPr>
        <w:t>职中</w:t>
      </w:r>
      <w:r>
        <w:rPr>
          <w:rFonts w:ascii="仿宋_GB2312" w:cs="仿宋_GB2312"/>
          <w:color w:val="0F1115"/>
          <w:sz w:val="32"/>
          <w:szCs w:val="32"/>
          <w:shd w:val="clear" w:color="auto" w:fill="FFFFFF"/>
        </w:rPr>
        <w:t>通过举办校级技能比武层层选拔优秀选手，强化竞赛技能专项训练，其学生团队在世界职业院校技能大赛中荣获铜牌；</w:t>
      </w:r>
      <w:r>
        <w:rPr>
          <w:rFonts w:ascii="仿宋_GB2312" w:cs="仿宋_GB2312" w:hint="eastAsia"/>
          <w:color w:val="0F1115"/>
          <w:sz w:val="32"/>
          <w:szCs w:val="32"/>
          <w:shd w:val="clear" w:color="auto" w:fill="FFFFFF"/>
        </w:rPr>
        <w:t>江华职中</w:t>
      </w:r>
      <w:r>
        <w:rPr>
          <w:rFonts w:ascii="仿宋_GB2312" w:cs="仿宋_GB2312"/>
          <w:color w:val="0F1115"/>
          <w:sz w:val="32"/>
          <w:szCs w:val="32"/>
          <w:shd w:val="clear" w:color="auto" w:fill="FFFFFF"/>
        </w:rPr>
        <w:t>以技能</w:t>
      </w:r>
      <w:r>
        <w:rPr>
          <w:rFonts w:ascii="仿宋_GB2312" w:cs="仿宋_GB2312" w:hint="eastAsia"/>
          <w:color w:val="0F1115"/>
          <w:sz w:val="32"/>
          <w:szCs w:val="32"/>
          <w:shd w:val="clear" w:color="auto" w:fill="FFFFFF"/>
        </w:rPr>
        <w:t>竞赛</w:t>
      </w:r>
      <w:r>
        <w:rPr>
          <w:rFonts w:ascii="仿宋_GB2312" w:cs="仿宋_GB2312"/>
          <w:color w:val="0F1115"/>
          <w:sz w:val="32"/>
          <w:szCs w:val="32"/>
          <w:shd w:val="clear" w:color="auto" w:fill="FFFFFF"/>
        </w:rPr>
        <w:t>为重要抓手，将竞赛项目系统转化为教学模块，2025年组织学生参与省、市级职业技能竞赛斩获多项奖项；永州综职学生在省级技能大赛中获三等奖4人次，教师团队在省级教学设计比赛中获奖6个，实现师生能力协同提升。此外，祁阳职中学生在“一带一路”暨金砖国家技能大赛中荣获全国二等奖，江华</w:t>
      </w:r>
      <w:r>
        <w:rPr>
          <w:rFonts w:ascii="仿宋_GB2312" w:cs="仿宋_GB2312" w:hint="eastAsia"/>
          <w:color w:val="0F1115"/>
          <w:sz w:val="32"/>
          <w:szCs w:val="32"/>
          <w:shd w:val="clear" w:color="auto" w:fill="FFFFFF"/>
        </w:rPr>
        <w:t>职中</w:t>
      </w:r>
      <w:r>
        <w:rPr>
          <w:rFonts w:ascii="仿宋_GB2312" w:cs="仿宋_GB2312"/>
          <w:color w:val="0F1115"/>
          <w:sz w:val="32"/>
          <w:szCs w:val="32"/>
          <w:shd w:val="clear" w:color="auto" w:fill="FFFFFF"/>
        </w:rPr>
        <w:t>、宁远职中等校教师在省市级教学能力比赛中屡获佳绩，竞赛成果有效反哺教学模式优化与评价方式改革。</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rPr>
          <w:trHeight w:hRule="exact" w:val="680"/>
        </w:trPr>
        <w:tc>
          <w:tcPr>
            <w:tcW w:w="8296" w:type="dxa"/>
            <w:tcBorders>
              <w:top w:val="single" w:sz="4" w:space="0" w:color="auto"/>
              <w:left w:val="single" w:sz="4" w:space="0" w:color="auto"/>
              <w:bottom w:val="single" w:sz="4" w:space="0" w:color="auto"/>
              <w:right w:val="single" w:sz="4" w:space="0" w:color="auto"/>
            </w:tcBorders>
            <w:shd w:val="clear" w:color="auto" w:fill="7C7264"/>
            <w:noWrap/>
            <w:vAlign w:val="center"/>
          </w:tcPr>
          <w:p>
            <w:pPr>
              <w:pStyle w:val="23"/>
              <w:widowControl/>
              <w:spacing w:line="440" w:lineRule="exact"/>
              <w:ind w:firstLineChars="0" w:firstLine="0"/>
              <w:jc w:val="left"/>
              <w:outlineLvl w:val="4"/>
              <w:rPr>
                <w:rFonts w:ascii="仿宋_GB2312" w:cs="仿宋_GB2312"/>
                <w:b/>
                <w:bCs/>
                <w:color w:val="0F1115"/>
                <w:sz w:val="32"/>
                <w:szCs w:val="32"/>
              </w:rPr>
            </w:pPr>
            <w:bookmarkStart w:id="29" w:name="_Toc218688679"/>
            <w:r>
              <w:rPr>
                <w:rFonts w:ascii="仿宋_GB2312" w:cs="仿宋_GB2312" w:hint="eastAsia"/>
                <w:b/>
                <w:bCs/>
                <w:color w:val="FFFFFF"/>
                <w:sz w:val="32"/>
                <w:szCs w:val="32"/>
              </w:rPr>
              <w:t>案例2-3：新田职中世赛夺铜，赛教融合创佳绩</w:t>
            </w:r>
            <w:bookmarkEnd w:id="29"/>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新田职中持续深化“以赛促教、以赛促改”人才培养模式，将技能竞赛作为提升教学质量和师生专业技能的重要抓手。</w:t>
            </w:r>
            <w:r>
              <w:rPr>
                <w:rFonts w:ascii="宋体" w:eastAsia="宋体" w:cs="仿宋_GB2312"/>
                <w:color w:val="0F1115"/>
                <w:sz w:val="28"/>
                <w:szCs w:val="28"/>
              </w:rPr>
              <w:t>2025年，在胡桐芳老师带领下的学生团队在世界职业院校技能大赛总决赛“生态保护与环境治理”赛道上荣获铜牌，实现了学校在国际赛事中的历史性突破。</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学校构建了完整的竞赛培养体系，建立“早启动、早谋划、严管理”的工作机制。在备战过程中，学校安排参赛团队赴长沙环境保护职业技术学院开展为期两个月的专项培训，系统学习水质监测、土壤修复等前沿环境治理技术，掌握气相色谱仪等先进设备操作。同时，学校组建了专业教练团队，推行“双师型”教学模式，将竞赛标准全面融入日常教学，实现“岗课赛证”综合育人。通过举办校级技能比武，层层选拔优秀苗子，形成“校赛</w:t>
            </w:r>
            <w:r>
              <w:rPr>
                <w:rFonts w:ascii="宋体" w:eastAsia="宋体" w:cs="仿宋_GB2312"/>
                <w:color w:val="0F1115"/>
                <w:sz w:val="28"/>
                <w:szCs w:val="28"/>
              </w:rPr>
              <w:t>-市赛-省赛”的递进式培养路径，为竞赛储备优质选手。这一成绩充分证明中等职业学校通过科学培养机制完全有能力在国际舞台展现中国</w:t>
            </w:r>
            <w:r>
              <w:rPr>
                <w:rFonts w:ascii="宋体" w:eastAsia="宋体" w:cs="仿宋_GB2312" w:hint="eastAsia"/>
                <w:color w:val="0F1115"/>
                <w:sz w:val="28"/>
                <w:szCs w:val="28"/>
              </w:rPr>
              <w:t>职教风采。赛后，学校及时将竞赛资源转化为教学资源，开发环境应急处理等实训模块，建设数字化教学资源库，让竞赛成果惠及更多师生。</w:t>
            </w:r>
          </w:p>
          <w:p>
            <w:pPr>
              <w:pStyle w:val="23"/>
              <w:widowControl/>
              <w:spacing w:line="240" w:lineRule="auto"/>
              <w:ind w:firstLineChars="0" w:firstLine="0"/>
              <w:rPr>
                <w:rFonts w:ascii="仿宋_GB2312" w:cs="仿宋_GB2312"/>
                <w:color w:val="0F1115"/>
                <w:sz w:val="32"/>
                <w:szCs w:val="32"/>
              </w:rPr>
            </w:pPr>
            <w:r>
              <w:rPr>
                <w:rFonts w:ascii="仿宋" w:eastAsia="仿宋" w:cs="仿宋" w:hint="eastAsia"/>
                <w:szCs w:val="32"/>
              </w:rPr>
              <w:drawing>
                <wp:inline distT="0" distB="0" distL="114300" distR="114300">
                  <wp:extent cx="5070475" cy="3476625"/>
                  <wp:effectExtent l="0" t="0" r="14" b="42"/>
                  <wp:docPr id="23" name="图片 7" descr="2ef23946cbd6cf21fbb31fa1f8995cf"/>
                  <wp:cNvGraphicFramePr>
                    <a:graphicFrameLocks noChangeAspect="0"/>
                  </wp:cNvGraphicFramePr>
                  <a:graphic>
                    <a:graphicData uri="http://schemas.openxmlformats.org/drawingml/2006/picture">
                      <pic:pic>
                        <pic:nvPicPr>
                          <pic:cNvPr id="25" name="图片 7 25"/>
                          <pic:cNvPicPr/>
                        </pic:nvPicPr>
                        <pic:blipFill>
                          <a:blip r:embed="rId15"/>
                          <a:stretch>
                            <a:fillRect/>
                          </a:stretch>
                        </pic:blipFill>
                        <pic:spPr>
                          <a:xfrm rot="0">
                            <a:off x="0" y="0"/>
                            <a:ext cx="5070475" cy="3476625"/>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宋体" w:eastAsia="宋体" w:cs="仿宋_GB2312"/>
                <w:b/>
                <w:bCs/>
                <w:color w:val="0F1115"/>
              </w:rPr>
            </w:pPr>
            <w:bookmarkStart w:id="30" w:name="_Toc218688627"/>
            <w:r>
              <w:rPr>
                <w:rFonts w:ascii="宋体" w:eastAsia="宋体" w:hint="eastAsia"/>
                <w:b/>
                <w:bCs/>
              </w:rPr>
              <w:t>图</w:t>
            </w:r>
            <w:r>
              <w:rPr>
                <w:rFonts w:ascii="宋体" w:eastAsia="宋体"/>
                <w:b/>
                <w:bCs/>
              </w:rPr>
              <w:t xml:space="preserve">2-3 </w:t>
            </w:r>
            <w:r>
              <w:rPr>
                <w:rFonts w:ascii="宋体" w:eastAsia="宋体" w:hint="eastAsia"/>
                <w:b/>
                <w:bCs/>
              </w:rPr>
              <w:t>新田职中获</w:t>
            </w:r>
            <w:r>
              <w:rPr>
                <w:rFonts w:ascii="宋体" w:eastAsia="宋体"/>
                <w:b/>
                <w:bCs/>
              </w:rPr>
              <w:t>2025世界职业院校技能大赛铜奖</w:t>
            </w:r>
            <w:bookmarkEnd w:id="30"/>
          </w:p>
        </w:tc>
      </w:tr>
    </w:tbl>
    <w:p>
      <w:pPr>
        <w:pStyle w:val="23"/>
        <w:widowControl/>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2.2.3以“证”验效，畅通人才成长通道</w:t>
      </w:r>
    </w:p>
    <w:p>
      <w:pPr>
        <w:pStyle w:val="23"/>
        <w:widowControl/>
        <w:shd w:val="clear" w:color="auto" w:fill="FFFFFF"/>
        <w:rPr>
          <w:rFonts w:ascii="仿宋_GB2312" w:cs="仿宋_GB2312"/>
          <w:color w:val="0F1115"/>
          <w:sz w:val="32"/>
          <w:szCs w:val="32"/>
          <w:shd w:val="clear" w:color="auto" w:fill="FFFFFF"/>
        </w:rPr>
      </w:pPr>
      <w:r>
        <w:rPr>
          <w:rFonts w:ascii="仿宋_GB2312" w:cs="仿宋_GB2312" w:hint="eastAsia"/>
          <w:color w:val="0F1115"/>
          <w:sz w:val="32"/>
          <w:szCs w:val="32"/>
          <w:shd w:val="clear" w:color="auto" w:fill="FFFFFF"/>
        </w:rPr>
        <w:t>永州</w:t>
      </w:r>
      <w:r>
        <w:rPr>
          <w:rFonts w:ascii="仿宋_GB2312" w:cs="仿宋_GB2312"/>
          <w:color w:val="0F1115"/>
          <w:sz w:val="32"/>
          <w:szCs w:val="32"/>
          <w:shd w:val="clear" w:color="auto" w:fill="FFFFFF"/>
        </w:rPr>
        <w:t>市积极推进“1+X”证书制度试点工作，将职业技能等级标准有机融入专业人才培养方案与课程体系，强化证书考核与培养目标的精准衔接，以证书验证学习成效，拓宽学生成长路径。</w:t>
      </w:r>
    </w:p>
    <w:p>
      <w:pPr>
        <w:pStyle w:val="23"/>
        <w:widowControl/>
        <w:shd w:val="clear" w:color="auto" w:fill="FFFFFF"/>
        <w:rPr>
          <w:rFonts w:ascii="仿宋_GB2312" w:cs="仿宋_GB2312"/>
          <w:color w:val="0F1115"/>
          <w:sz w:val="32"/>
          <w:szCs w:val="32"/>
          <w:shd w:val="clear" w:color="auto" w:fill="FFFFFF"/>
        </w:rPr>
      </w:pPr>
      <w:r>
        <w:rPr>
          <w:rFonts w:ascii="仿宋_GB2312" w:cs="仿宋_GB2312" w:hint="eastAsia"/>
          <w:color w:val="0F1115"/>
          <w:sz w:val="32"/>
          <w:szCs w:val="32"/>
          <w:shd w:val="clear" w:color="auto" w:fill="FFFFFF"/>
        </w:rPr>
        <w:t>永州市各中职学校</w:t>
      </w:r>
      <w:r>
        <w:rPr>
          <w:rFonts w:ascii="仿宋_GB2312" w:cs="仿宋_GB2312"/>
          <w:color w:val="0F1115"/>
          <w:sz w:val="32"/>
          <w:szCs w:val="32"/>
          <w:shd w:val="clear" w:color="auto" w:fill="FFFFFF"/>
        </w:rPr>
        <w:t>精准推进试点建设与能力认定</w:t>
      </w:r>
      <w:r>
        <w:rPr>
          <w:rFonts w:ascii="仿宋_GB2312" w:cs="仿宋_GB2312" w:hint="eastAsia"/>
          <w:color w:val="0F1115"/>
          <w:sz w:val="32"/>
          <w:szCs w:val="32"/>
          <w:shd w:val="clear" w:color="auto" w:fill="FFFFFF"/>
        </w:rPr>
        <w:t>。其中，</w:t>
      </w:r>
      <w:r>
        <w:rPr>
          <w:rFonts w:ascii="仿宋_GB2312" w:cs="仿宋_GB2312"/>
          <w:color w:val="0F1115"/>
          <w:sz w:val="32"/>
          <w:szCs w:val="32"/>
          <w:shd w:val="clear" w:color="auto" w:fill="FFFFFF"/>
        </w:rPr>
        <w:t>宁远</w:t>
      </w:r>
      <w:r>
        <w:rPr>
          <w:rFonts w:ascii="仿宋_GB2312" w:cs="仿宋_GB2312" w:hint="eastAsia"/>
          <w:color w:val="0F1115"/>
          <w:sz w:val="32"/>
          <w:szCs w:val="32"/>
          <w:shd w:val="clear" w:color="auto" w:fill="FFFFFF"/>
        </w:rPr>
        <w:t>职中</w:t>
      </w:r>
      <w:r>
        <w:rPr>
          <w:rFonts w:ascii="仿宋_GB2312" w:cs="仿宋_GB2312"/>
          <w:color w:val="0F1115"/>
          <w:sz w:val="32"/>
          <w:szCs w:val="32"/>
          <w:shd w:val="clear" w:color="auto" w:fill="FFFFFF"/>
        </w:rPr>
        <w:t>成功获批《数控车铣加工职业技能等级证书》《智能网联汽车检测与运维职业技能等级证书》“1+X”试点院校，7门课证融通课程每期课时达120学时，保障融合教学质量；蓝山</w:t>
      </w:r>
      <w:r>
        <w:rPr>
          <w:rFonts w:ascii="仿宋_GB2312" w:cs="仿宋_GB2312" w:hint="eastAsia"/>
          <w:color w:val="0F1115"/>
          <w:sz w:val="32"/>
          <w:szCs w:val="32"/>
          <w:shd w:val="clear" w:color="auto" w:fill="FFFFFF"/>
        </w:rPr>
        <w:t>职中</w:t>
      </w:r>
      <w:r>
        <w:rPr>
          <w:rFonts w:ascii="仿宋_GB2312" w:cs="仿宋_GB2312"/>
          <w:color w:val="0F1115"/>
          <w:sz w:val="32"/>
          <w:szCs w:val="32"/>
          <w:shd w:val="clear" w:color="auto" w:fill="FFFFFF"/>
        </w:rPr>
        <w:t>聚焦数控专业核心能力培养，建设“1+X”数控车、数控铣实训基地，完善证书考核硬件条件；</w:t>
      </w:r>
      <w:r>
        <w:rPr>
          <w:rFonts w:ascii="仿宋_GB2312" w:cs="仿宋_GB2312" w:hint="eastAsia"/>
          <w:color w:val="0F1115"/>
          <w:sz w:val="32"/>
          <w:szCs w:val="32"/>
          <w:shd w:val="clear" w:color="auto" w:fill="FFFFFF"/>
        </w:rPr>
        <w:t>江华职中已具备茶艺师、汽车维修、电工等13个工种的职业技能等级认定资格。</w:t>
      </w:r>
      <w:r>
        <w:rPr>
          <w:rFonts w:ascii="仿宋_GB2312" w:cs="仿宋_GB2312"/>
          <w:color w:val="0F1115"/>
          <w:sz w:val="32"/>
          <w:szCs w:val="32"/>
          <w:shd w:val="clear" w:color="auto" w:fill="FFFFFF"/>
        </w:rPr>
        <w:t>2025年，全市中职学生参加职业技能等级认定平均通过率超86%，重点专业及订单班通过率高达95%以上，实现学生学历证书与职业技能证书“双证融通”，人才培养质量可测量、可评价，为学生高质量就业奠定坚实基础。</w:t>
      </w:r>
    </w:p>
    <w:p>
      <w:pPr>
        <w:pStyle w:val="2"/>
        <w:spacing w:before="0" w:after="0" w:line="560" w:lineRule="exact"/>
        <w:ind w:firstLineChars="200" w:firstLine="640"/>
        <w:rPr>
          <w:rFonts w:ascii="楷体" w:eastAsia="楷体"/>
          <w:shd w:val="clear" w:color="auto" w:fill="FFFFFF"/>
        </w:rPr>
      </w:pPr>
      <w:bookmarkStart w:id="31" w:name="_Toc218688916"/>
      <w:r>
        <w:rPr>
          <w:rFonts w:ascii="楷体" w:eastAsia="楷体" w:hint="eastAsia"/>
          <w:shd w:val="clear" w:color="auto" w:fill="FFFFFF"/>
        </w:rPr>
        <w:t>2</w:t>
      </w:r>
      <w:r>
        <w:rPr>
          <w:rFonts w:ascii="楷体" w:eastAsia="楷体"/>
          <w:shd w:val="clear" w:color="auto" w:fill="FFFFFF"/>
        </w:rPr>
        <w:t>.3“双师型”教师建设</w:t>
      </w:r>
      <w:bookmarkEnd w:id="31"/>
    </w:p>
    <w:p>
      <w:pPr>
        <w:pStyle w:val="23"/>
        <w:shd w:val="clear" w:color="auto" w:fill="FFFFFF"/>
        <w:rPr>
          <w:rFonts w:ascii="仿宋_GB2312" w:cs="仿宋_GB2312"/>
          <w:color w:val="0F1115"/>
          <w:sz w:val="32"/>
          <w:szCs w:val="32"/>
          <w:shd w:val="clear" w:color="auto" w:fill="FFFFFF"/>
        </w:rPr>
      </w:pPr>
      <w:r>
        <w:rPr>
          <w:rFonts w:ascii="仿宋_GB2312" w:cs="仿宋_GB2312"/>
          <w:color w:val="0F1115"/>
          <w:sz w:val="32"/>
          <w:szCs w:val="32"/>
          <w:shd w:val="clear" w:color="auto" w:fill="FFFFFF"/>
        </w:rPr>
        <w:t>建设高素质“双师型”教师队伍是永州市提升职业教育人才培养质量的关键保障。全市中职学校以职业教育高质量发展需求为导向，通过机制创新、路径拓展与资源整合，构建多元化、系统化的教师专业发展体系，推动“双师型”教师队伍数量稳步增长、结构持续优化、能力全面提升。</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2.3.1</w:t>
      </w:r>
      <w:r>
        <w:rPr>
          <w:rFonts w:ascii="仿宋_GB2312" w:cs="仿宋_GB2312"/>
          <w:b/>
          <w:bCs/>
          <w:color w:val="0F1115"/>
          <w:sz w:val="32"/>
          <w:szCs w:val="32"/>
          <w:shd w:val="clear" w:color="auto" w:fill="FFFFFF"/>
        </w:rPr>
        <w:t>深化校企协同，强化实践能力</w:t>
      </w:r>
      <w:r>
        <w:rPr>
          <w:rFonts w:ascii="仿宋_GB2312" w:cs="仿宋_GB2312" w:hint="eastAsia"/>
          <w:b/>
          <w:bCs/>
          <w:color w:val="0F1115"/>
          <w:sz w:val="32"/>
          <w:szCs w:val="32"/>
          <w:shd w:val="clear" w:color="auto" w:fill="FFFFFF"/>
        </w:rPr>
        <w:t>培养</w:t>
      </w:r>
    </w:p>
    <w:p>
      <w:pPr>
        <w:pStyle w:val="23"/>
        <w:shd w:val="clear" w:color="auto" w:fill="FFFFFF"/>
        <w:rPr>
          <w:rFonts w:ascii="仿宋_GB2312" w:cs="仿宋_GB2312"/>
          <w:color w:val="0F1115"/>
          <w:sz w:val="32"/>
          <w:szCs w:val="32"/>
          <w:shd w:val="clear" w:color="auto" w:fill="FFFFFF"/>
        </w:rPr>
      </w:pPr>
      <w:r>
        <w:rPr>
          <w:rFonts w:ascii="仿宋_GB2312" w:cs="仿宋_GB2312"/>
          <w:color w:val="0F1115"/>
          <w:sz w:val="32"/>
          <w:szCs w:val="32"/>
          <w:shd w:val="clear" w:color="auto" w:fill="FFFFFF"/>
        </w:rPr>
        <w:t>各校紧扣产业发展脉搏</w:t>
      </w:r>
      <w:r>
        <w:rPr>
          <w:rFonts w:ascii="仿宋_GB2312" w:cs="仿宋_GB2312" w:hint="eastAsia"/>
          <w:color w:val="0F1115"/>
          <w:sz w:val="32"/>
          <w:szCs w:val="32"/>
          <w:shd w:val="clear" w:color="auto" w:fill="FFFFFF"/>
        </w:rPr>
        <w:t>，</w:t>
      </w:r>
      <w:r>
        <w:rPr>
          <w:rFonts w:ascii="仿宋_GB2312" w:cs="仿宋_GB2312"/>
          <w:color w:val="0F1115"/>
          <w:sz w:val="32"/>
          <w:szCs w:val="32"/>
          <w:shd w:val="clear" w:color="auto" w:fill="FFFFFF"/>
        </w:rPr>
        <w:t>各校与核心合作企业共建“教师企业实践基地”，制度化</w:t>
      </w:r>
      <w:r>
        <w:rPr>
          <w:rFonts w:ascii="仿宋_GB2312" w:cs="仿宋_GB2312" w:hint="eastAsia"/>
          <w:color w:val="0F1115"/>
          <w:sz w:val="32"/>
          <w:szCs w:val="32"/>
          <w:shd w:val="clear" w:color="auto" w:fill="FFFFFF"/>
        </w:rPr>
        <w:t>、常态化</w:t>
      </w:r>
      <w:r>
        <w:rPr>
          <w:rFonts w:ascii="仿宋_GB2312" w:cs="仿宋_GB2312"/>
          <w:color w:val="0F1115"/>
          <w:sz w:val="32"/>
          <w:szCs w:val="32"/>
          <w:shd w:val="clear" w:color="auto" w:fill="FFFFFF"/>
        </w:rPr>
        <w:t>安排专业教师定期赴企业进行顶岗实践、技术研修和项目研发。</w:t>
      </w:r>
      <w:r>
        <w:rPr>
          <w:rFonts w:ascii="仿宋_GB2312" w:cs="仿宋_GB2312" w:hint="eastAsia"/>
          <w:color w:val="0F1115"/>
          <w:sz w:val="32"/>
          <w:szCs w:val="32"/>
          <w:shd w:val="clear" w:color="auto" w:fill="FFFFFF"/>
        </w:rPr>
        <w:t>通过</w:t>
      </w:r>
      <w:r>
        <w:rPr>
          <w:rFonts w:ascii="仿宋_GB2312" w:cs="仿宋_GB2312"/>
          <w:color w:val="0F1115"/>
          <w:sz w:val="32"/>
          <w:szCs w:val="32"/>
          <w:shd w:val="clear" w:color="auto" w:fill="FFFFFF"/>
        </w:rPr>
        <w:t>广泛推</w:t>
      </w:r>
      <w:r>
        <w:rPr>
          <w:rFonts w:ascii="仿宋_GB2312" w:cs="仿宋_GB2312" w:hint="eastAsia"/>
          <w:color w:val="0F1115"/>
          <w:sz w:val="32"/>
          <w:szCs w:val="32"/>
          <w:shd w:val="clear" w:color="auto" w:fill="FFFFFF"/>
        </w:rPr>
        <w:t>行实施</w:t>
      </w:r>
      <w:r>
        <w:rPr>
          <w:rFonts w:ascii="仿宋_GB2312" w:cs="仿宋_GB2312"/>
          <w:color w:val="0F1115"/>
          <w:sz w:val="32"/>
          <w:szCs w:val="32"/>
          <w:shd w:val="clear" w:color="auto" w:fill="FFFFFF"/>
        </w:rPr>
        <w:t>“双师赋能计划”（如永州工贸、祁阳职中的“三阶段”培养模式），</w:t>
      </w:r>
      <w:r>
        <w:rPr>
          <w:rFonts w:ascii="仿宋_GB2312" w:cs="仿宋_GB2312" w:hint="eastAsia"/>
          <w:color w:val="0F1115"/>
          <w:sz w:val="32"/>
          <w:szCs w:val="32"/>
          <w:shd w:val="clear" w:color="auto" w:fill="FFFFFF"/>
        </w:rPr>
        <w:t>推动</w:t>
      </w:r>
      <w:r>
        <w:rPr>
          <w:rFonts w:ascii="仿宋_GB2312" w:cs="仿宋_GB2312"/>
          <w:color w:val="0F1115"/>
          <w:sz w:val="32"/>
          <w:szCs w:val="32"/>
          <w:shd w:val="clear" w:color="auto" w:fill="FFFFFF"/>
        </w:rPr>
        <w:t>教师深入生产一线，参与真实项目，并将新技术、新工艺、新规范</w:t>
      </w:r>
      <w:r>
        <w:rPr>
          <w:rFonts w:ascii="仿宋_GB2312" w:cs="仿宋_GB2312" w:hint="eastAsia"/>
          <w:color w:val="0F1115"/>
          <w:sz w:val="32"/>
          <w:szCs w:val="32"/>
          <w:shd w:val="clear" w:color="auto" w:fill="FFFFFF"/>
        </w:rPr>
        <w:t>及时</w:t>
      </w:r>
      <w:r>
        <w:rPr>
          <w:rFonts w:ascii="仿宋_GB2312" w:cs="仿宋_GB2312"/>
          <w:color w:val="0F1115"/>
          <w:sz w:val="32"/>
          <w:szCs w:val="32"/>
          <w:shd w:val="clear" w:color="auto" w:fill="FFFFFF"/>
        </w:rPr>
        <w:t>转化为教学案例、实训项目或活页式教材。</w:t>
      </w:r>
      <w:r>
        <w:rPr>
          <w:rFonts w:ascii="仿宋_GB2312" w:cs="仿宋_GB2312" w:hint="eastAsia"/>
          <w:color w:val="0F1115"/>
          <w:sz w:val="32"/>
          <w:szCs w:val="32"/>
          <w:shd w:val="clear" w:color="auto" w:fill="FFFFFF"/>
        </w:rPr>
        <w:t>例如，江华</w:t>
      </w:r>
      <w:r>
        <w:rPr>
          <w:rFonts w:ascii="仿宋_GB2312" w:cs="仿宋_GB2312"/>
          <w:color w:val="0F1115"/>
          <w:sz w:val="32"/>
          <w:szCs w:val="32"/>
          <w:shd w:val="clear" w:color="auto" w:fill="FFFFFF"/>
        </w:rPr>
        <w:t>职中</w:t>
      </w:r>
      <w:r>
        <w:rPr>
          <w:rFonts w:ascii="仿宋_GB2312" w:cs="仿宋_GB2312"/>
          <w:color w:val="000000"/>
          <w:sz w:val="31"/>
          <w:szCs w:val="31"/>
        </w:rPr>
        <w:t>以机电产业学院为蓝本构建江华机电行业产教联合体</w:t>
      </w:r>
      <w:r>
        <w:rPr>
          <w:rFonts w:ascii="仿宋_GB2312" w:cs="仿宋_GB2312"/>
          <w:color w:val="0F1115"/>
          <w:sz w:val="32"/>
          <w:szCs w:val="32"/>
          <w:shd w:val="clear" w:color="auto" w:fill="FFFFFF"/>
        </w:rPr>
        <w:t>深度合作，其教师团队成功入选</w:t>
      </w:r>
      <w:r>
        <w:rPr>
          <w:rFonts w:ascii="仿宋_GB2312" w:cs="仿宋_GB2312" w:hint="eastAsia"/>
          <w:color w:val="0F1115"/>
          <w:sz w:val="32"/>
          <w:szCs w:val="32"/>
          <w:shd w:val="clear" w:color="auto" w:fill="FFFFFF"/>
        </w:rPr>
        <w:t>湖南省“楚怡”高水平教育教学创新</w:t>
      </w:r>
      <w:r>
        <w:rPr>
          <w:rFonts w:ascii="仿宋_GB2312" w:cs="仿宋_GB2312"/>
          <w:color w:val="0F1115"/>
          <w:sz w:val="32"/>
          <w:szCs w:val="32"/>
          <w:shd w:val="clear" w:color="auto" w:fill="FFFFFF"/>
        </w:rPr>
        <w:t>团队。</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2.3.2</w:t>
      </w:r>
      <w:r>
        <w:rPr>
          <w:rFonts w:ascii="仿宋_GB2312" w:cs="仿宋_GB2312"/>
          <w:b/>
          <w:bCs/>
          <w:color w:val="0F1115"/>
          <w:sz w:val="32"/>
          <w:szCs w:val="32"/>
          <w:shd w:val="clear" w:color="auto" w:fill="FFFFFF"/>
        </w:rPr>
        <w:t>拓宽培养路径，促进</w:t>
      </w:r>
      <w:r>
        <w:rPr>
          <w:rFonts w:ascii="仿宋_GB2312" w:cs="仿宋_GB2312" w:hint="eastAsia"/>
          <w:b/>
          <w:bCs/>
          <w:color w:val="0F1115"/>
          <w:sz w:val="32"/>
          <w:szCs w:val="32"/>
          <w:shd w:val="clear" w:color="auto" w:fill="FFFFFF"/>
        </w:rPr>
        <w:t>综合</w:t>
      </w:r>
      <w:r>
        <w:rPr>
          <w:rFonts w:ascii="仿宋_GB2312" w:cs="仿宋_GB2312"/>
          <w:b/>
          <w:bCs/>
          <w:color w:val="0F1115"/>
          <w:sz w:val="32"/>
          <w:szCs w:val="32"/>
          <w:shd w:val="clear" w:color="auto" w:fill="FFFFFF"/>
        </w:rPr>
        <w:t>能力</w:t>
      </w:r>
      <w:r>
        <w:rPr>
          <w:rFonts w:ascii="仿宋_GB2312" w:cs="仿宋_GB2312" w:hint="eastAsia"/>
          <w:b/>
          <w:bCs/>
          <w:color w:val="0F1115"/>
          <w:sz w:val="32"/>
          <w:szCs w:val="32"/>
          <w:shd w:val="clear" w:color="auto" w:fill="FFFFFF"/>
        </w:rPr>
        <w:t>提升</w:t>
      </w:r>
    </w:p>
    <w:p>
      <w:pPr>
        <w:pStyle w:val="23"/>
        <w:shd w:val="clear" w:color="auto" w:fill="FFFFFF"/>
        <w:rPr>
          <w:rFonts w:ascii="仿宋_GB2312" w:cs="仿宋_GB2312"/>
          <w:color w:val="0F1115"/>
          <w:sz w:val="32"/>
          <w:szCs w:val="32"/>
          <w:shd w:val="clear" w:color="auto" w:fill="FFFFFF"/>
        </w:rPr>
      </w:pPr>
      <w:r>
        <w:rPr>
          <w:rFonts w:ascii="仿宋_GB2312" w:cs="仿宋_GB2312"/>
          <w:color w:val="0F1115"/>
          <w:sz w:val="32"/>
          <w:szCs w:val="32"/>
          <w:shd w:val="clear" w:color="auto" w:fill="FFFFFF"/>
        </w:rPr>
        <w:t>各校</w:t>
      </w:r>
      <w:r>
        <w:rPr>
          <w:rFonts w:ascii="仿宋_GB2312" w:cs="仿宋_GB2312" w:hint="eastAsia"/>
          <w:color w:val="0F1115"/>
          <w:sz w:val="32"/>
          <w:szCs w:val="32"/>
          <w:shd w:val="clear" w:color="auto" w:fill="FFFFFF"/>
        </w:rPr>
        <w:t>整合多方资源，构建“青蓝工程+技能竞赛+名师引领+层级培训”的立体化培养体系。通过“青蓝工程”师徒结对，发挥骨干教师传帮带作用，加速青年教师成长；以教学能力比赛为抓手，以赛促教、以赛促改，倒逼教师提升教学创新能力；依托名师工作室、技能大师工作室，聚焦课程开发、科研创新等核心任务，引领教师专业发展；积极组织教师参与国培、省培、市培等各级培训项目，全面覆盖师德师风、课程思政、数字教学等关键领域。其中，江华职中针对性开展“双师型”教师认定申报专题培训，精准破解教师认定难题；新田职中、蓝山职中等校鼓励教师将企业实践经验转化为教研成果，多名教师通过实践历练成功主持省级课题、出版专业教材，实现教学能力与科研水平双提升。</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2.3.3</w:t>
      </w:r>
      <w:r>
        <w:rPr>
          <w:rFonts w:ascii="仿宋_GB2312" w:cs="仿宋_GB2312"/>
          <w:b/>
          <w:bCs/>
          <w:color w:val="0F1115"/>
          <w:sz w:val="32"/>
          <w:szCs w:val="32"/>
          <w:shd w:val="clear" w:color="auto" w:fill="FFFFFF"/>
        </w:rPr>
        <w:t>优化队伍结构，激发队伍</w:t>
      </w:r>
      <w:r>
        <w:rPr>
          <w:rFonts w:ascii="仿宋_GB2312" w:cs="仿宋_GB2312" w:hint="eastAsia"/>
          <w:b/>
          <w:bCs/>
          <w:color w:val="0F1115"/>
          <w:sz w:val="32"/>
          <w:szCs w:val="32"/>
          <w:shd w:val="clear" w:color="auto" w:fill="FFFFFF"/>
        </w:rPr>
        <w:t>内生</w:t>
      </w:r>
      <w:r>
        <w:rPr>
          <w:rFonts w:ascii="仿宋_GB2312" w:cs="仿宋_GB2312"/>
          <w:b/>
          <w:bCs/>
          <w:color w:val="0F1115"/>
          <w:sz w:val="32"/>
          <w:szCs w:val="32"/>
          <w:shd w:val="clear" w:color="auto" w:fill="FFFFFF"/>
        </w:rPr>
        <w:t>活力。</w:t>
      </w:r>
    </w:p>
    <w:p>
      <w:pPr>
        <w:pStyle w:val="23"/>
        <w:shd w:val="clear" w:color="auto" w:fill="FFFFFF"/>
        <w:rPr>
          <w:rFonts w:ascii="仿宋_GB2312" w:cs="仿宋_GB2312"/>
          <w:color w:val="0F1115"/>
          <w:sz w:val="32"/>
          <w:szCs w:val="32"/>
          <w:shd w:val="clear" w:color="auto" w:fill="FFFFFF"/>
        </w:rPr>
      </w:pPr>
      <w:r>
        <w:rPr>
          <w:rFonts w:ascii="仿宋_GB2312" w:cs="仿宋_GB2312"/>
          <w:color w:val="0F1115"/>
          <w:sz w:val="32"/>
          <w:szCs w:val="32"/>
          <w:shd w:val="clear" w:color="auto" w:fill="FFFFFF"/>
        </w:rPr>
        <w:t>各校坚持“引育并举、专兼结合”原则，持续优化“双师型”教师队伍结构。一方面，积极引进企业技术骨干、能工巧匠、非遗传承人等行业优质人才担任兼职教师，补充实践教学力量；另一方面，完善校内教师培养激励机制，鼓励专任教师考取职业技能等级证书、参与行业技术服务，向“双师型”教师转型。2025年，</w:t>
      </w:r>
      <w:r>
        <w:rPr>
          <w:rFonts w:ascii="仿宋_GB2312" w:cs="仿宋_GB2312"/>
          <w:color w:val="FF0000"/>
          <w:sz w:val="32"/>
          <w:szCs w:val="32"/>
          <w:shd w:val="clear" w:color="auto" w:fill="FFFFFF"/>
        </w:rPr>
        <w:t>全市全面开展“双师型”教师认定工作，共认定“双师型”教师847人，“双师型”教师占比达53.2%。</w:t>
      </w:r>
      <w:r>
        <w:rPr>
          <w:rFonts w:ascii="仿宋_GB2312" w:cs="仿宋_GB2312"/>
          <w:color w:val="0F1115"/>
          <w:sz w:val="32"/>
          <w:szCs w:val="32"/>
          <w:shd w:val="clear" w:color="auto" w:fill="FFFFFF"/>
        </w:rPr>
        <w:t>这支结构合理、专兼结合的“双师型”教学团队，既精通理论教学，又擅长实训指导、技能传承、技术服务与创新育人，为永州职业教育技术技能人才培养筑牢了坚实的师资根基。</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rPr>
          <w:trHeight w:hRule="exact" w:val="680"/>
        </w:trPr>
        <w:tc>
          <w:tcPr>
            <w:tcW w:w="8296" w:type="dxa"/>
            <w:tcBorders>
              <w:top w:val="single" w:sz="4" w:space="0" w:color="auto"/>
              <w:left w:val="single" w:sz="4" w:space="0" w:color="auto"/>
              <w:bottom w:val="single" w:sz="4" w:space="0" w:color="auto"/>
              <w:right w:val="single" w:sz="4" w:space="0" w:color="auto"/>
            </w:tcBorders>
            <w:shd w:val="clear" w:color="auto" w:fill="7C7264"/>
            <w:noWrap/>
            <w:vAlign w:val="center"/>
          </w:tcPr>
          <w:p>
            <w:pPr>
              <w:pStyle w:val="23"/>
              <w:widowControl/>
              <w:spacing w:line="440" w:lineRule="exact"/>
              <w:ind w:firstLineChars="0" w:firstLine="0"/>
              <w:jc w:val="left"/>
              <w:outlineLvl w:val="4"/>
              <w:rPr>
                <w:rFonts w:ascii="仿宋_GB2312" w:cs="仿宋_GB2312"/>
                <w:b/>
                <w:bCs/>
                <w:color w:val="0F1115"/>
                <w:sz w:val="32"/>
                <w:szCs w:val="32"/>
              </w:rPr>
            </w:pPr>
            <w:bookmarkStart w:id="32" w:name="_Toc218688680"/>
            <w:r>
              <w:rPr>
                <w:rFonts w:ascii="仿宋_GB2312" w:cs="仿宋_GB2312" w:hint="eastAsia"/>
                <w:b/>
                <w:bCs/>
                <w:color w:val="FFFFFF"/>
                <w:sz w:val="32"/>
                <w:szCs w:val="32"/>
              </w:rPr>
              <w:t>案例</w:t>
            </w:r>
            <w:r>
              <w:rPr>
                <w:rFonts w:ascii="仿宋_GB2312" w:cs="仿宋_GB2312"/>
                <w:b/>
                <w:bCs/>
                <w:color w:val="FFFFFF"/>
                <w:sz w:val="32"/>
                <w:szCs w:val="32"/>
              </w:rPr>
              <w:t>2-4：</w:t>
            </w:r>
            <w:r>
              <w:rPr>
                <w:rFonts w:ascii="仿宋_GB2312" w:cs="仿宋_GB2312" w:hint="eastAsia"/>
                <w:b/>
                <w:bCs/>
                <w:color w:val="FFFFFF"/>
                <w:sz w:val="32"/>
                <w:szCs w:val="32"/>
              </w:rPr>
              <w:t>蓝山职中：精准送培 赋能双师</w:t>
            </w:r>
            <w:bookmarkEnd w:id="32"/>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蓝山职中聚焦</w:t>
            </w:r>
            <w:r>
              <w:rPr>
                <w:rFonts w:ascii="宋体" w:eastAsia="宋体" w:cs="仿宋_GB2312"/>
                <w:color w:val="0F1115"/>
                <w:sz w:val="28"/>
                <w:szCs w:val="28"/>
              </w:rPr>
              <w:t>“双师型”教师培养核心任务，针对部分教师专业技能与产业需求脱节、教学创新能力不足等问题，于2025年8月引入国家级培训项目，以“精准送培到校”模式破解师资短板。</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学校前期深入调研，联合培训承办方定制</w:t>
            </w:r>
            <w:r>
              <w:rPr>
                <w:rFonts w:ascii="宋体" w:eastAsia="宋体" w:cs="仿宋_GB2312"/>
                <w:color w:val="0F1115"/>
                <w:sz w:val="28"/>
                <w:szCs w:val="28"/>
              </w:rPr>
              <w:t>“理论授课+实践交流”双轨方案，直击教学痛点。为期10天的培训中，通过专家专题讲座、案例研讨、小组演练等多元形式搭建互动平台</w:t>
            </w:r>
            <w:r>
              <w:rPr>
                <w:rFonts w:ascii="宋体" w:eastAsia="宋体" w:cs="仿宋_GB2312" w:hint="eastAsia"/>
                <w:color w:val="0F1115"/>
                <w:sz w:val="28"/>
                <w:szCs w:val="28"/>
              </w:rPr>
              <w:t>，将</w:t>
            </w:r>
            <w:r>
              <w:rPr>
                <w:rFonts w:ascii="宋体" w:eastAsia="宋体" w:cs="仿宋_GB2312"/>
                <w:color w:val="0F1115"/>
                <w:sz w:val="28"/>
                <w:szCs w:val="28"/>
              </w:rPr>
              <w:t>结业阶段的成果展播与学员分享，强化了知识吸收转化。培训邀请岳阳职业技术学院副校长付高勤等专家全程指导，学校领导全程参与，推动培训与教学实践深度衔接。</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此次培训创新亮点突出，打破传统外出培训局限，将国家级优质资源引入校园，兼顾</w:t>
            </w:r>
            <w:r>
              <w:rPr>
                <w:rFonts w:ascii="宋体" w:eastAsia="宋体" w:cs="仿宋_GB2312"/>
                <w:color w:val="0F1115"/>
                <w:sz w:val="28"/>
                <w:szCs w:val="28"/>
              </w:rPr>
              <w:t>“教育理念革新+教学能力跃升” 双重目标，形成“培训—反思—实践”闭环。培训成效显著，教师专业基础夯实，教学创新与实践应用能力实现突破，“双师型”队伍结构持续优化；同时探索出“需求导向—资源整合—成果转化”的培养路径，为同类院校提供了可复制经验。</w:t>
            </w:r>
          </w:p>
          <w:p>
            <w:pPr>
              <w:pStyle w:val="23"/>
              <w:widowControl/>
              <w:spacing w:line="480" w:lineRule="exact"/>
              <w:rPr>
                <w:rFonts w:ascii="仿宋" w:eastAsia="仿宋" w:cs="仿宋"/>
                <w:szCs w:val="32"/>
              </w:rPr>
            </w:pPr>
            <w:r>
              <w:rPr>
                <w:rFonts w:ascii="宋体" w:eastAsia="宋体" w:cs="仿宋_GB2312" w:hint="eastAsia"/>
                <w:color w:val="0F1115"/>
                <w:sz w:val="28"/>
                <w:szCs w:val="28"/>
              </w:rPr>
              <w:t>该模式具有广泛推广价值，县域职校可借鉴开展校本培训，同类中职学校可参考其环节设计强化成效落地，职教管理部门可纳入典型案例，助力职业教育内涵式发展，为技术技能人才培养筑牢师资根基。</w:t>
            </w:r>
          </w:p>
          <w:p>
            <w:pPr>
              <w:pStyle w:val="23"/>
              <w:widowControl/>
              <w:spacing w:line="240" w:lineRule="auto"/>
              <w:ind w:firstLineChars="0" w:firstLine="0"/>
              <w:jc w:val="left"/>
              <w:rPr>
                <w:rFonts w:ascii="仿宋_GB2312" w:cs="仿宋_GB2312"/>
                <w:color w:val="0F1115"/>
                <w:sz w:val="32"/>
                <w:szCs w:val="32"/>
              </w:rPr>
            </w:pPr>
            <w:r>
              <w:rPr>
                <w:rFonts w:ascii="仿宋_GB2312" w:cs="仿宋_GB2312" w:hint="eastAsia"/>
                <w:color w:val="0F1115"/>
                <w:sz w:val="32"/>
                <w:szCs w:val="32"/>
                <w:shd w:val="clear" w:color="auto" w:fill="FFFFFF"/>
              </w:rPr>
              <w:drawing>
                <wp:inline distT="0" distB="0" distL="114300" distR="114300">
                  <wp:extent cx="5124450" cy="3070860"/>
                  <wp:effectExtent l="0" t="0" r="17" b="48"/>
                  <wp:docPr id="26" name="图片 1" descr="图片1(1)"/>
                  <wp:cNvGraphicFramePr>
                    <a:graphicFrameLocks noChangeAspect="0"/>
                  </wp:cNvGraphicFramePr>
                  <a:graphic>
                    <a:graphicData uri="http://schemas.openxmlformats.org/drawingml/2006/picture">
                      <pic:pic>
                        <pic:nvPicPr>
                          <pic:cNvPr id="28" name="图片 1 28"/>
                          <pic:cNvPicPr/>
                        </pic:nvPicPr>
                        <pic:blipFill>
                          <a:blip r:embed="rId16"/>
                          <a:stretch>
                            <a:fillRect/>
                          </a:stretch>
                        </pic:blipFill>
                        <pic:spPr>
                          <a:xfrm rot="0">
                            <a:off x="0" y="0"/>
                            <a:ext cx="5124450" cy="3070860"/>
                          </a:xfrm>
                          <a:prstGeom prst="rect"/>
                          <a:noFill/>
                          <a:ln w="9525" cmpd="sng" cap="flat">
                            <a:noFill/>
                            <a:prstDash val="solid"/>
                            <a:round/>
                          </a:ln>
                        </pic:spPr>
                      </pic:pic>
                    </a:graphicData>
                  </a:graphic>
                </wp:inline>
              </w:drawing>
            </w:r>
          </w:p>
          <w:p>
            <w:pPr>
              <w:pStyle w:val="23"/>
              <w:widowControl/>
              <w:spacing w:afterLines="50" w:after="156" w:line="240" w:lineRule="auto"/>
              <w:ind w:firstLineChars="0" w:firstLine="0"/>
              <w:jc w:val="center"/>
              <w:outlineLvl w:val="2"/>
              <w:rPr>
                <w:rFonts w:ascii="宋体" w:eastAsia="宋体" w:cs="仿宋_GB2312"/>
                <w:b/>
                <w:bCs/>
                <w:color w:val="0F1115"/>
                <w:sz w:val="28"/>
                <w:szCs w:val="28"/>
              </w:rPr>
            </w:pPr>
            <w:bookmarkStart w:id="33" w:name="_Toc218688628"/>
            <w:r>
              <w:rPr>
                <w:rFonts w:ascii="宋体" w:eastAsia="宋体" w:hint="eastAsia"/>
                <w:b/>
                <w:bCs/>
              </w:rPr>
              <w:t>图</w:t>
            </w:r>
            <w:r>
              <w:rPr>
                <w:rFonts w:ascii="宋体" w:eastAsia="宋体"/>
                <w:b/>
                <w:bCs/>
              </w:rPr>
              <w:t xml:space="preserve">2-4 </w:t>
            </w:r>
            <w:r>
              <w:rPr>
                <w:rFonts w:ascii="宋体" w:eastAsia="宋体" w:hint="eastAsia"/>
                <w:b/>
                <w:bCs/>
              </w:rPr>
              <w:t>蓝山职中送培到校精准培训开班仪式</w:t>
            </w:r>
            <w:bookmarkEnd w:id="33"/>
          </w:p>
        </w:tc>
      </w:tr>
    </w:tbl>
    <w:p>
      <w:pPr>
        <w:pStyle w:val="23"/>
        <w:shd w:val="clear" w:color="auto" w:fill="FFFFFF"/>
        <w:rPr>
          <w:rFonts w:ascii="仿宋_GB2312" w:cs="仿宋_GB2312"/>
          <w:color w:val="0F1115"/>
          <w:sz w:val="32"/>
          <w:szCs w:val="32"/>
          <w:shd w:val="clear" w:color="auto" w:fill="FFFFFF"/>
        </w:rPr>
      </w:pPr>
    </w:p>
    <w:p>
      <w:pPr>
        <w:pStyle w:val="2"/>
        <w:spacing w:before="0" w:after="0" w:line="560" w:lineRule="exact"/>
        <w:ind w:firstLineChars="200" w:firstLine="640"/>
        <w:rPr>
          <w:rFonts w:ascii="楷体" w:eastAsia="楷体"/>
          <w:shd w:val="clear" w:color="auto" w:fill="FFFFFF"/>
        </w:rPr>
      </w:pPr>
      <w:bookmarkStart w:id="34" w:name="_Toc218688917"/>
      <w:r>
        <w:rPr>
          <w:rFonts w:ascii="楷体" w:eastAsia="楷体" w:hint="eastAsia"/>
          <w:shd w:val="clear" w:color="auto" w:fill="FFFFFF"/>
        </w:rPr>
        <w:t>2</w:t>
      </w:r>
      <w:r>
        <w:rPr>
          <w:rFonts w:ascii="楷体" w:eastAsia="楷体"/>
          <w:shd w:val="clear" w:color="auto" w:fill="FFFFFF"/>
        </w:rPr>
        <w:t>.4实习实训管理</w:t>
      </w:r>
      <w:bookmarkEnd w:id="34"/>
    </w:p>
    <w:p>
      <w:pPr>
        <w:pStyle w:val="23"/>
        <w:shd w:val="clear" w:color="auto" w:fill="FFFFFF"/>
        <w:rPr>
          <w:rFonts w:ascii="仿宋_GB2312" w:cs="仿宋_GB2312"/>
          <w:color w:val="0F1115"/>
          <w:sz w:val="32"/>
          <w:szCs w:val="32"/>
          <w:shd w:val="clear" w:color="auto" w:fill="FFFFFF"/>
        </w:rPr>
      </w:pPr>
      <w:r>
        <w:rPr>
          <w:rFonts w:ascii="仿宋_GB2312" w:cs="仿宋_GB2312"/>
          <w:color w:val="0F1115"/>
          <w:sz w:val="32"/>
          <w:szCs w:val="32"/>
          <w:shd w:val="clear" w:color="auto" w:fill="FFFFFF"/>
        </w:rPr>
        <w:t>永州市高度重视实习实训在技术技能人才培养中的核心作用，以标准化管理、协同化运行、多元化平台为支撑，着力构建“管理规范、校企协同、育训一体”的实践教学管理体系，确保实习实训环节提质增效，为学生技术技能提升筑牢坚实基础。</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2.4.1</w:t>
      </w:r>
      <w:r>
        <w:rPr>
          <w:rFonts w:ascii="仿宋_GB2312" w:cs="仿宋_GB2312"/>
          <w:b/>
          <w:bCs/>
          <w:color w:val="0F1115"/>
          <w:sz w:val="32"/>
          <w:szCs w:val="32"/>
          <w:shd w:val="clear" w:color="auto" w:fill="FFFFFF"/>
        </w:rPr>
        <w:t>管理制度化、流程标准</w:t>
      </w:r>
      <w:r>
        <w:rPr>
          <w:rFonts w:ascii="仿宋_GB2312" w:cs="仿宋_GB2312" w:hint="eastAsia"/>
          <w:b/>
          <w:bCs/>
          <w:color w:val="0F1115"/>
          <w:sz w:val="32"/>
          <w:szCs w:val="32"/>
          <w:shd w:val="clear" w:color="auto" w:fill="FFFFFF"/>
        </w:rPr>
        <w:t>闭环</w:t>
      </w:r>
    </w:p>
    <w:p>
      <w:pPr>
        <w:pStyle w:val="23"/>
        <w:shd w:val="clear" w:color="auto" w:fill="FFFFFF"/>
        <w:rPr>
          <w:rFonts w:ascii="仿宋_GB2312" w:cs="仿宋_GB2312"/>
          <w:color w:val="0F1115"/>
          <w:sz w:val="32"/>
          <w:szCs w:val="32"/>
          <w:shd w:val="clear" w:color="auto" w:fill="FFFFFF"/>
        </w:rPr>
      </w:pPr>
      <w:r>
        <w:rPr>
          <w:rFonts w:ascii="仿宋_GB2312" w:cs="仿宋_GB2312"/>
          <w:color w:val="0F1115"/>
          <w:sz w:val="32"/>
          <w:szCs w:val="32"/>
          <w:shd w:val="clear" w:color="auto" w:fill="FFFFFF"/>
        </w:rPr>
        <w:t>各校严格执行国家《职业学校学生实习管理规定》，均成立了由校级领导负责的实习工作领导小组，制定了详细的实习管理实施细则。全面推行实习协议制度，强化安全教育和全过程风险管控。永州工商职中创新实施“三级教育+动态排查”安全管理机制，从岗前教育、岗中巡查到岗后复盘形成闭环，实现实习安全管理精细化、常态化</w:t>
      </w:r>
      <w:r>
        <w:rPr>
          <w:rFonts w:ascii="仿宋_GB2312" w:cs="仿宋_GB2312" w:hint="eastAsia"/>
          <w:color w:val="0F1115"/>
          <w:sz w:val="32"/>
          <w:szCs w:val="32"/>
          <w:shd w:val="clear" w:color="auto" w:fill="FFFFFF"/>
        </w:rPr>
        <w:t>。</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2.4.2</w:t>
      </w:r>
      <w:r>
        <w:rPr>
          <w:rFonts w:ascii="仿宋_GB2312" w:cs="仿宋_GB2312"/>
          <w:b/>
          <w:bCs/>
          <w:color w:val="0F1115"/>
          <w:sz w:val="32"/>
          <w:szCs w:val="32"/>
          <w:shd w:val="clear" w:color="auto" w:fill="FFFFFF"/>
        </w:rPr>
        <w:t>运行协同化、指导全程</w:t>
      </w:r>
      <w:r>
        <w:rPr>
          <w:rFonts w:ascii="仿宋_GB2312" w:cs="仿宋_GB2312" w:hint="eastAsia"/>
          <w:b/>
          <w:bCs/>
          <w:color w:val="0F1115"/>
          <w:sz w:val="32"/>
          <w:szCs w:val="32"/>
          <w:shd w:val="clear" w:color="auto" w:fill="FFFFFF"/>
        </w:rPr>
        <w:t>跟进</w:t>
      </w:r>
    </w:p>
    <w:p>
      <w:pPr>
        <w:pStyle w:val="23"/>
        <w:shd w:val="clear" w:color="auto" w:fill="FFFFFF"/>
        <w:rPr>
          <w:rFonts w:ascii="仿宋_GB2312" w:cs="仿宋_GB2312"/>
          <w:color w:val="0F1115"/>
          <w:sz w:val="32"/>
          <w:szCs w:val="32"/>
          <w:shd w:val="clear" w:color="auto" w:fill="FFFFFF"/>
        </w:rPr>
      </w:pPr>
      <w:r>
        <w:rPr>
          <w:rFonts w:ascii="仿宋_GB2312" w:cs="仿宋_GB2312"/>
          <w:color w:val="0F1115"/>
          <w:sz w:val="32"/>
          <w:szCs w:val="32"/>
          <w:shd w:val="clear" w:color="auto" w:fill="FFFFFF"/>
        </w:rPr>
        <w:t>“双导师”制（企业导师与校内导师）和“三节点”管理（岗前培训、中期考核、顶岗总结）已成为</w:t>
      </w:r>
      <w:r>
        <w:rPr>
          <w:rFonts w:ascii="仿宋_GB2312" w:cs="仿宋_GB2312" w:hint="eastAsia"/>
          <w:color w:val="0F1115"/>
          <w:sz w:val="32"/>
          <w:szCs w:val="32"/>
          <w:shd w:val="clear" w:color="auto" w:fill="FFFFFF"/>
        </w:rPr>
        <w:t>永州</w:t>
      </w:r>
      <w:r>
        <w:rPr>
          <w:rFonts w:ascii="仿宋_GB2312" w:cs="仿宋_GB2312"/>
          <w:color w:val="0F1115"/>
          <w:sz w:val="32"/>
          <w:szCs w:val="32"/>
          <w:shd w:val="clear" w:color="auto" w:fill="FFFFFF"/>
        </w:rPr>
        <w:t>市实习管理的标准配置。例如，永州工贸与汽车服务企业合作，校企导师共同负责学生从文化融入、技能训练到考核评价的全过程，实现了实习与就业的高效衔接。双牌</w:t>
      </w:r>
      <w:r>
        <w:rPr>
          <w:rFonts w:ascii="仿宋_GB2312" w:cs="仿宋_GB2312" w:hint="eastAsia"/>
          <w:color w:val="0F1115"/>
          <w:sz w:val="32"/>
          <w:szCs w:val="32"/>
          <w:shd w:val="clear" w:color="auto" w:fill="FFFFFF"/>
        </w:rPr>
        <w:t>职中</w:t>
      </w:r>
      <w:r>
        <w:rPr>
          <w:rFonts w:ascii="仿宋_GB2312" w:cs="仿宋_GB2312"/>
          <w:color w:val="0F1115"/>
          <w:sz w:val="32"/>
          <w:szCs w:val="32"/>
          <w:shd w:val="clear" w:color="auto" w:fill="FFFFFF"/>
        </w:rPr>
        <w:t>在老年人服务与管理专业实习中，校企双方共同制定考核标准，确保了育人目标的达成。</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2.4.3</w:t>
      </w:r>
      <w:r>
        <w:rPr>
          <w:rFonts w:ascii="仿宋_GB2312" w:cs="仿宋_GB2312"/>
          <w:b/>
          <w:bCs/>
          <w:color w:val="0F1115"/>
          <w:sz w:val="32"/>
          <w:szCs w:val="32"/>
          <w:shd w:val="clear" w:color="auto" w:fill="FFFFFF"/>
        </w:rPr>
        <w:t>平台多元化、育人一体</w:t>
      </w:r>
      <w:r>
        <w:rPr>
          <w:rFonts w:ascii="仿宋_GB2312" w:cs="仿宋_GB2312" w:hint="eastAsia"/>
          <w:b/>
          <w:bCs/>
          <w:color w:val="0F1115"/>
          <w:sz w:val="32"/>
          <w:szCs w:val="32"/>
          <w:shd w:val="clear" w:color="auto" w:fill="FFFFFF"/>
        </w:rPr>
        <w:t>融合</w:t>
      </w:r>
    </w:p>
    <w:p>
      <w:pPr>
        <w:pStyle w:val="23"/>
        <w:shd w:val="clear" w:color="auto" w:fill="FFFFFF"/>
        <w:rPr>
          <w:rFonts w:ascii="仿宋_GB2312" w:cs="仿宋_GB2312"/>
          <w:color w:val="0F1115"/>
          <w:sz w:val="32"/>
          <w:szCs w:val="32"/>
          <w:shd w:val="clear" w:color="auto" w:fill="FFFFFF"/>
        </w:rPr>
      </w:pPr>
      <w:r>
        <w:rPr>
          <w:rFonts w:ascii="仿宋_GB2312" w:cs="仿宋_GB2312" w:hint="eastAsia"/>
          <w:color w:val="0F1115"/>
          <w:sz w:val="32"/>
          <w:szCs w:val="32"/>
          <w:shd w:val="clear" w:color="auto" w:fill="FFFFFF"/>
        </w:rPr>
        <w:t>各校</w:t>
      </w:r>
      <w:r>
        <w:rPr>
          <w:rFonts w:ascii="仿宋_GB2312" w:cs="仿宋_GB2312"/>
          <w:color w:val="0F1115"/>
          <w:sz w:val="32"/>
          <w:szCs w:val="32"/>
          <w:shd w:val="clear" w:color="auto" w:fill="FFFFFF"/>
        </w:rPr>
        <w:t>校内实训条件持续改善，生均教学仪器设备值普遍达标，并建成了一批如蓝山职中皮具产教融合实训基地（省典型项目）等高水平实训平台。校外，各校与本地园区龙头企业、骨干企业共建了数量充足、专业对口的稳定实习基地。实习与就业的联动效应显著，许多学生在实习期间因表现优异被企业提前录用，形成了“实习-就业-发展”的良性循环。规范高效的实习实训管理，不仅极大提升了学生的岗位实操能力和职业素养，也赢得了合作企业的广泛好评，有效增强了职业教育的社会吸引力。</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rPr>
          <w:trHeight w:hRule="exact" w:val="680"/>
        </w:trPr>
        <w:tc>
          <w:tcPr>
            <w:tcW w:w="8296" w:type="dxa"/>
            <w:tcBorders>
              <w:top w:val="single" w:sz="4" w:space="0" w:color="auto"/>
              <w:left w:val="single" w:sz="4" w:space="0" w:color="auto"/>
              <w:bottom w:val="single" w:sz="4" w:space="0" w:color="auto"/>
              <w:right w:val="single" w:sz="4" w:space="0" w:color="auto"/>
            </w:tcBorders>
            <w:shd w:val="clear" w:color="auto" w:fill="7C7264"/>
            <w:noWrap/>
            <w:vAlign w:val="center"/>
          </w:tcPr>
          <w:p>
            <w:pPr>
              <w:pStyle w:val="23"/>
              <w:widowControl/>
              <w:spacing w:line="440" w:lineRule="exact"/>
              <w:ind w:firstLineChars="0" w:firstLine="0"/>
              <w:jc w:val="left"/>
              <w:outlineLvl w:val="4"/>
              <w:rPr>
                <w:rFonts w:ascii="仿宋_GB2312" w:cs="仿宋_GB2312"/>
                <w:b/>
                <w:bCs/>
                <w:color w:val="0F1115"/>
                <w:sz w:val="32"/>
                <w:szCs w:val="32"/>
              </w:rPr>
            </w:pPr>
            <w:bookmarkStart w:id="35" w:name="_Toc218688681"/>
            <w:r>
              <w:rPr>
                <w:rFonts w:ascii="仿宋_GB2312" w:cs="仿宋_GB2312" w:hint="eastAsia"/>
                <w:b/>
                <w:bCs/>
                <w:color w:val="FFFFFF"/>
                <w:sz w:val="32"/>
                <w:szCs w:val="32"/>
              </w:rPr>
              <w:t>案例</w:t>
            </w:r>
            <w:r>
              <w:rPr>
                <w:rFonts w:ascii="仿宋_GB2312" w:cs="仿宋_GB2312"/>
                <w:b/>
                <w:bCs/>
                <w:color w:val="FFFFFF"/>
                <w:sz w:val="32"/>
                <w:szCs w:val="32"/>
              </w:rPr>
              <w:t>2-5：</w:t>
            </w:r>
            <w:r>
              <w:rPr>
                <w:rFonts w:ascii="仿宋_GB2312" w:cs="仿宋_GB2312" w:hint="eastAsia"/>
                <w:b/>
                <w:bCs/>
                <w:color w:val="FFFFFF"/>
                <w:sz w:val="32"/>
                <w:szCs w:val="32"/>
              </w:rPr>
              <w:t>江华职中车间实景教学解锁机电实训新路径</w:t>
            </w:r>
            <w:bookmarkEnd w:id="35"/>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color w:val="0F1115"/>
                <w:sz w:val="28"/>
                <w:szCs w:val="28"/>
              </w:rPr>
              <w:t>2025年6月13日，江华职中机电专业师生走进本地高新区湖南国梦科技有限公司，开展沉浸式产教融合实训活动，活动以“理论拆解+实操体验”双轨模式，打通了专业知识与岗位应用的壁垒，为机电专业实训教学探索出新路径。</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本次实训以企业真实生产场景为教学载体，分阶段推进。理论讲解环节，专业教师创新采用“人体类比”教学方案，将</w:t>
            </w:r>
            <w:r>
              <w:rPr>
                <w:rFonts w:ascii="宋体" w:eastAsia="宋体" w:cs="仿宋_GB2312"/>
                <w:color w:val="0F1115"/>
                <w:sz w:val="28"/>
                <w:szCs w:val="28"/>
              </w:rPr>
              <w:t>PLC比作自动化系统“头脑”、传感器比作“感官”、变频器比作“心脏”，使复杂电机生产线自动化系统直观易懂。实操训练环节，聚焦变频器调速核心技能，学生以车间皮带流水线为载体，在企业技术人员与学校教师的双重指导下，遵循安全规范调节按钮、设置参数，掌握多段速设置等技能，确保实训贴合岗位实际需求。</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“课堂进车间”的模式破解了传统实训与生产脱节的问题。通过真实设备操作与行业导师指导，不仅强化了学生实操能力，又助其精准把握行业技术趋势，为各专业产教融合实训提供了可复制的“企业实景</w:t>
            </w:r>
            <w:r>
              <w:rPr>
                <w:rFonts w:ascii="宋体" w:eastAsia="宋体" w:cs="仿宋_GB2312"/>
                <w:color w:val="0F1115"/>
                <w:sz w:val="28"/>
                <w:szCs w:val="28"/>
              </w:rPr>
              <w:t>+技能聚焦”模板。这种沉浸式实训既提升了学生职业适配度，深化了校企合作内涵，也为高素质技术人才培养提供了有效路径。</w:t>
            </w:r>
          </w:p>
          <w:p>
            <w:pPr>
              <w:pStyle w:val="23"/>
              <w:widowControl/>
              <w:spacing w:line="240" w:lineRule="auto"/>
              <w:ind w:firstLineChars="0" w:firstLine="0"/>
              <w:jc w:val="center"/>
            </w:pPr>
            <w:r>
              <w:drawing>
                <wp:inline distT="0" distB="0" distL="114300" distR="114300">
                  <wp:extent cx="4724400" cy="3136265"/>
                  <wp:effectExtent l="0" t="1" r="23" b="18"/>
                  <wp:docPr id="29" name="图片 13"/>
                  <wp:cNvGraphicFramePr>
                    <a:graphicFrameLocks noChangeAspect="1"/>
                  </wp:cNvGraphicFramePr>
                  <a:graphic>
                    <a:graphicData uri="http://schemas.openxmlformats.org/drawingml/2006/picture">
                      <pic:pic>
                        <pic:nvPicPr>
                          <pic:cNvPr id="31" name="图片 13 31"/>
                          <pic:cNvPicPr/>
                        </pic:nvPicPr>
                        <pic:blipFill>
                          <a:blip r:embed="rId17"/>
                          <a:stretch>
                            <a:fillRect/>
                          </a:stretch>
                        </pic:blipFill>
                        <pic:spPr>
                          <a:xfrm rot="0">
                            <a:off x="0" y="0"/>
                            <a:ext cx="4724400" cy="3136265"/>
                          </a:xfrm>
                          <a:prstGeom prst="rect"/>
                          <a:noFill/>
                          <a:ln w="9525" cmpd="sng" cap="flat">
                            <a:noFill/>
                            <a:prstDash val="solid"/>
                            <a:round/>
                          </a:ln>
                        </pic:spPr>
                      </pic:pic>
                    </a:graphicData>
                  </a:graphic>
                </wp:inline>
              </w:drawing>
            </w:r>
          </w:p>
          <w:p>
            <w:pPr>
              <w:pStyle w:val="23"/>
              <w:widowControl/>
              <w:spacing w:afterLines="50" w:after="156" w:line="240" w:lineRule="auto"/>
              <w:ind w:firstLineChars="0" w:firstLine="0"/>
              <w:jc w:val="center"/>
              <w:outlineLvl w:val="2"/>
              <w:rPr>
                <w:rFonts w:eastAsia="宋体"/>
              </w:rPr>
            </w:pPr>
            <w:bookmarkStart w:id="36" w:name="_Toc218688629"/>
            <w:r>
              <w:rPr>
                <w:rFonts w:ascii="宋体" w:eastAsia="宋体" w:hint="eastAsia"/>
                <w:b/>
                <w:bCs/>
              </w:rPr>
              <w:t>图</w:t>
            </w:r>
            <w:r>
              <w:rPr>
                <w:rFonts w:ascii="宋体" w:eastAsia="宋体"/>
                <w:b/>
                <w:bCs/>
              </w:rPr>
              <w:t>2-</w:t>
            </w:r>
            <w:r>
              <w:rPr>
                <w:rFonts w:ascii="宋体" w:eastAsia="宋体" w:hint="eastAsia"/>
                <w:b/>
                <w:bCs/>
              </w:rPr>
              <w:t>5</w:t>
            </w:r>
            <w:r>
              <w:rPr>
                <w:rFonts w:ascii="宋体" w:eastAsia="宋体"/>
                <w:b/>
                <w:bCs/>
              </w:rPr>
              <w:t xml:space="preserve"> </w:t>
            </w:r>
            <w:r>
              <w:rPr>
                <w:rFonts w:ascii="宋体" w:eastAsia="宋体" w:hint="eastAsia"/>
                <w:b/>
                <w:bCs/>
              </w:rPr>
              <w:t>江华职中学生参加产教融合实训活动</w:t>
            </w:r>
            <w:bookmarkEnd w:id="36"/>
          </w:p>
        </w:tc>
      </w:tr>
    </w:tbl>
    <w:p>
      <w:pPr>
        <w:pStyle w:val="2"/>
        <w:spacing w:before="0" w:after="0" w:line="560" w:lineRule="exact"/>
        <w:ind w:firstLineChars="200" w:firstLine="640"/>
        <w:rPr>
          <w:rFonts w:ascii="楷体" w:eastAsia="楷体"/>
          <w:shd w:val="clear" w:color="auto" w:fill="FFFFFF"/>
        </w:rPr>
      </w:pPr>
      <w:bookmarkStart w:id="37" w:name="_Toc218688918"/>
      <w:r>
        <w:rPr>
          <w:rFonts w:ascii="楷体" w:eastAsia="楷体"/>
          <w:shd w:val="clear" w:color="auto" w:fill="FFFFFF"/>
        </w:rPr>
        <w:t>2.5技能竞赛</w:t>
      </w:r>
      <w:bookmarkEnd w:id="37"/>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2.5.1构建三级体系，赛事全域覆盖</w:t>
      </w:r>
    </w:p>
    <w:p>
      <w:pPr>
        <w:pStyle w:val="15"/>
      </w:pPr>
      <w:r>
        <w:t>2025年，永州市以“楚怡杯”等赛事为抓手，推动中职学校构建“赛训融合、校企协同”的竞赛培养体系，全市中职学生获省级以上技能竞赛奖项45项，较2024年增长18%，技能人才培养质量显著提升。永州市中职学校普遍秉持“以赛促教、以赛促学、以赛促改、以赛促建”教育理念，构建“校级初赛---市级复赛---省级决赛”三级竞赛体系，将技能竞赛作为检验教学质量、锤炼学生技能、深化教育改革的重要抓手，形成了全员参与、层层递进的竞赛氛围，竞赛成果丰硕。</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2.5.2 赛训融合推进，成果多点开花</w:t>
      </w:r>
    </w:p>
    <w:p>
      <w:pPr>
        <w:pStyle w:val="15"/>
      </w:pPr>
      <w:r>
        <w:t>各学校聚焦核心专业与产业需求，组建专项竞赛集训队，由骨干教师牵头制定科学集训方案，联合企业技术能手开展靶向训练，覆盖技能实操、心理素质、应急处理等多维度能力培养。永州工商职中在湖南省职业院校技能竞赛中斩获省一等奖1项、二等奖3项、三等奖5项，在湖南省青少年科技体育比赛中，航空航天模型（含无人机）项目获一等奖4项、二等奖1项、三等奖4项，全年学生获省级以上技能竞赛18项；东安职中学生在全国信息素养大赛中获二等奖，全年累计获国家级奖项1个、省级奖项12个、市级奖项57个，较2024年新增省级奖项6个、市级奖项14个；江华职中在湖南省职业院校技能竞赛中获二等奖1项、三等奖6项，校内成功举办技能文化节，设置39个赛项，吸引超3000人次参与，790余人次获奖。</w:t>
      </w:r>
    </w:p>
    <w:p>
      <w:pPr>
        <w:pStyle w:val="15"/>
      </w:pPr>
      <w:r>
        <w:t>蓝山职中立足永州南部产业布局与本地智能制造产业集群优势，紧扣全市“先进制造强市”战略，重点布局机械加工、电子装配、电商运营等优势赛项构建“基础训练</w:t>
      </w:r>
      <w:r>
        <w:rPr>
          <w:rFonts w:hint="eastAsia"/>
        </w:rPr>
        <w:t>—</w:t>
      </w:r>
      <w:r>
        <w:t>专项提升</w:t>
      </w:r>
      <w:r>
        <w:rPr>
          <w:rFonts w:hint="eastAsia"/>
        </w:rPr>
        <w:t>—</w:t>
      </w:r>
      <w:r>
        <w:t>模拟竞赛”三阶训练模式。通过常态化开展校内技能比武，选拔优秀选手组建集训队，邀请企业技术骨干参与指导，强化实战化训练。2025年，学校学生在市级职业技能竞赛中表现突出，机械加工、电子信息类赛项多次获奖，部分选手晋级省级竞赛，竞赛成果有效反哺日常教学，推动专业技能教学质量持续提升。</w:t>
      </w:r>
    </w:p>
    <w:p>
      <w:pPr>
        <w:pStyle w:val="15"/>
      </w:pPr>
      <w:r>
        <w:t>上述学校的突出表现，是永州市中职教育赛训融合成果的集中缩影。为进一步呈现各校竞赛实力分布，具体获奖情况汇总如下：</w:t>
      </w:r>
    </w:p>
    <w:p>
      <w:pPr>
        <w:widowControl/>
        <w:spacing w:beforeLines="50" w:before="156"/>
        <w:jc w:val="center"/>
        <w:outlineLvl w:val="3"/>
        <w:rPr>
          <w:rFonts w:ascii="宋体" w:eastAsia="宋体"/>
          <w:b/>
          <w:bCs/>
          <w:sz w:val="28"/>
          <w:szCs w:val="28"/>
        </w:rPr>
      </w:pPr>
      <w:bookmarkStart w:id="38" w:name="_Toc218688664"/>
      <w:r>
        <w:rPr>
          <w:rFonts w:ascii="宋体" w:eastAsia="宋体"/>
          <w:b/>
          <w:bCs/>
          <w:color w:val="1F2329"/>
          <w:kern w:val="0"/>
          <w:sz w:val="24"/>
          <w:szCs w:val="24"/>
          <w:shd w:val="clear" w:color="auto" w:fill="FFFFFF"/>
        </w:rPr>
        <w:t>表2-1永州市部分中职学校2025年技能竞赛获奖情况表</w:t>
      </w:r>
      <w:bookmarkEnd w:id="38"/>
    </w:p>
    <w:tbl>
      <w:tblPr>
        <w:jc w:val="center"/>
        <w:tblW w:w="5430" w:type="pct"/>
        <w:tblBorders>
          <w:top w:val="none" w:sz="0" w:space="0" w:color="auto"/>
          <w:left w:val="single" w:sz="2" w:space="0" w:color="auto"/>
          <w:bottom w:val="single" w:sz="2" w:space="0" w:color="auto"/>
          <w:right w:val="single" w:sz="2" w:space="0" w:color="auto"/>
        </w:tblBorders>
        <w:shd w:val="clear" w:color="auto" w:fill="FFFFFF"/>
        <w:tblCellMar>
          <w:top w:w="0" w:type="dxa"/>
          <w:left w:w="0" w:type="dxa"/>
          <w:bottom w:w="0" w:type="dxa"/>
          <w:right w:w="0" w:type="dxa"/>
        </w:tblCellMar>
      </w:tblPr>
      <w:tblGrid>
        <w:gridCol w:w="1656"/>
        <w:gridCol w:w="925"/>
        <w:gridCol w:w="2358"/>
        <w:gridCol w:w="1161"/>
        <w:gridCol w:w="4056"/>
      </w:tblGrid>
      <w:tr>
        <w:trPr>
          <w:trHeight w:val="530"/>
          <w:tblHeader/>
        </w:trPr>
        <w:tc>
          <w:tcPr>
            <w:tcW w:w="1099" w:type="pct"/>
            <w:tcBorders>
              <w:top w:val="single" w:sz="4" w:space="0" w:color="auto"/>
              <w:left w:val="single" w:sz="4" w:space="0" w:color="auto"/>
              <w:bottom w:val="single" w:sz="4" w:space="0" w:color="auto"/>
              <w:right w:val="single" w:sz="4" w:space="0" w:color="auto"/>
            </w:tcBorders>
            <w:shd w:val="clear" w:color="auto" w:fill="0372AE"/>
            <w:noWrap/>
            <w:tcMar>
              <w:top w:w="180" w:type="dxa"/>
              <w:left w:w="108" w:type="dxa"/>
              <w:bottom w:w="180" w:type="dxa"/>
              <w:right w:w="108" w:type="dxa"/>
            </w:tcMar>
            <w:vAlign w:val="center"/>
          </w:tcPr>
          <w:p>
            <w:pPr>
              <w:jc w:val="center"/>
              <w:rPr>
                <w:rFonts w:ascii="宋体" w:eastAsia="宋体"/>
                <w:b/>
                <w:bCs/>
                <w:color w:val="FFFFFF"/>
                <w:sz w:val="24"/>
                <w:szCs w:val="24"/>
              </w:rPr>
            </w:pPr>
            <w:r>
              <w:rPr>
                <w:rFonts w:ascii="宋体" w:eastAsia="宋体"/>
                <w:b/>
                <w:bCs/>
                <w:color w:val="FFFFFF"/>
                <w:sz w:val="24"/>
                <w:szCs w:val="24"/>
              </w:rPr>
              <w:t>学校名称</w:t>
            </w:r>
          </w:p>
        </w:tc>
        <w:tc>
          <w:tcPr>
            <w:tcW w:w="629" w:type="pct"/>
            <w:tcBorders>
              <w:top w:val="single" w:sz="4" w:space="0" w:color="auto"/>
              <w:left w:val="single" w:sz="4" w:space="0" w:color="auto"/>
              <w:bottom w:val="single" w:sz="4" w:space="0" w:color="auto"/>
              <w:right w:val="single" w:sz="4" w:space="0" w:color="auto"/>
            </w:tcBorders>
            <w:shd w:val="clear" w:color="auto" w:fill="0372AE"/>
            <w:noWrap/>
            <w:tcMar>
              <w:top w:w="180" w:type="dxa"/>
              <w:left w:w="108" w:type="dxa"/>
              <w:bottom w:w="180" w:type="dxa"/>
              <w:right w:w="108" w:type="dxa"/>
            </w:tcMar>
            <w:vAlign w:val="center"/>
          </w:tcPr>
          <w:p>
            <w:pPr>
              <w:jc w:val="center"/>
              <w:rPr>
                <w:rFonts w:ascii="宋体" w:eastAsia="宋体"/>
                <w:b/>
                <w:bCs/>
                <w:color w:val="FFFFFF"/>
                <w:sz w:val="24"/>
                <w:szCs w:val="24"/>
              </w:rPr>
            </w:pPr>
            <w:r>
              <w:rPr>
                <w:rFonts w:ascii="宋体" w:eastAsia="宋体"/>
                <w:b/>
                <w:bCs/>
                <w:color w:val="FFFFFF"/>
                <w:sz w:val="24"/>
                <w:szCs w:val="24"/>
              </w:rPr>
              <w:t>国家级</w:t>
            </w:r>
          </w:p>
          <w:p>
            <w:pPr>
              <w:jc w:val="center"/>
              <w:rPr>
                <w:rFonts w:ascii="宋体" w:eastAsia="宋体"/>
                <w:b/>
                <w:bCs/>
                <w:color w:val="FFFFFF"/>
                <w:sz w:val="24"/>
                <w:szCs w:val="24"/>
              </w:rPr>
            </w:pPr>
            <w:r>
              <w:rPr>
                <w:rFonts w:ascii="宋体" w:eastAsia="宋体"/>
                <w:b/>
                <w:bCs/>
                <w:color w:val="FFFFFF"/>
                <w:sz w:val="24"/>
                <w:szCs w:val="24"/>
              </w:rPr>
              <w:t>奖项</w:t>
            </w:r>
          </w:p>
        </w:tc>
        <w:tc>
          <w:tcPr>
            <w:tcW w:w="1338" w:type="pct"/>
            <w:tcBorders>
              <w:top w:val="single" w:sz="4" w:space="0" w:color="auto"/>
              <w:left w:val="single" w:sz="4" w:space="0" w:color="auto"/>
              <w:bottom w:val="single" w:sz="4" w:space="0" w:color="auto"/>
              <w:right w:val="single" w:sz="4" w:space="0" w:color="auto"/>
            </w:tcBorders>
            <w:shd w:val="clear" w:color="auto" w:fill="0372AE"/>
            <w:noWrap/>
            <w:tcMar>
              <w:top w:w="180" w:type="dxa"/>
              <w:left w:w="108" w:type="dxa"/>
              <w:bottom w:w="180" w:type="dxa"/>
              <w:right w:w="108" w:type="dxa"/>
            </w:tcMar>
            <w:vAlign w:val="center"/>
          </w:tcPr>
          <w:p>
            <w:pPr>
              <w:jc w:val="center"/>
              <w:rPr>
                <w:rFonts w:ascii="宋体" w:eastAsia="宋体"/>
                <w:b/>
                <w:bCs/>
                <w:color w:val="FFFFFF"/>
                <w:sz w:val="24"/>
                <w:szCs w:val="24"/>
              </w:rPr>
            </w:pPr>
            <w:r>
              <w:rPr>
                <w:rFonts w:ascii="宋体" w:eastAsia="宋体"/>
                <w:b/>
                <w:bCs/>
                <w:color w:val="FFFFFF"/>
                <w:sz w:val="24"/>
                <w:szCs w:val="24"/>
              </w:rPr>
              <w:t>省级奖项</w:t>
            </w:r>
          </w:p>
          <w:p>
            <w:pPr>
              <w:jc w:val="center"/>
              <w:rPr>
                <w:rFonts w:ascii="宋体" w:eastAsia="宋体"/>
                <w:b/>
                <w:bCs/>
                <w:color w:val="FFFFFF"/>
                <w:sz w:val="24"/>
                <w:szCs w:val="24"/>
              </w:rPr>
            </w:pPr>
            <w:r>
              <w:rPr>
                <w:rFonts w:ascii="宋体" w:eastAsia="宋体"/>
                <w:b/>
                <w:bCs/>
                <w:color w:val="FFFFFF"/>
                <w:sz w:val="24"/>
                <w:szCs w:val="24"/>
              </w:rPr>
              <w:t>（一</w:t>
            </w:r>
            <w:r>
              <w:rPr>
                <w:rFonts w:ascii="宋体" w:eastAsia="宋体" w:hint="eastAsia"/>
                <w:b/>
                <w:bCs/>
                <w:color w:val="FFFFFF"/>
                <w:sz w:val="24"/>
                <w:szCs w:val="24"/>
              </w:rPr>
              <w:t>、</w:t>
            </w:r>
            <w:r>
              <w:rPr>
                <w:rFonts w:ascii="宋体" w:eastAsia="宋体"/>
                <w:b/>
                <w:bCs/>
                <w:color w:val="FFFFFF"/>
                <w:sz w:val="24"/>
                <w:szCs w:val="24"/>
              </w:rPr>
              <w:t>二</w:t>
            </w:r>
            <w:r>
              <w:rPr>
                <w:rFonts w:ascii="宋体" w:eastAsia="宋体" w:hint="eastAsia"/>
                <w:b/>
                <w:bCs/>
                <w:color w:val="FFFFFF"/>
                <w:sz w:val="24"/>
                <w:szCs w:val="24"/>
              </w:rPr>
              <w:t>、</w:t>
            </w:r>
            <w:r>
              <w:rPr>
                <w:rFonts w:ascii="宋体" w:eastAsia="宋体"/>
                <w:b/>
                <w:bCs/>
                <w:color w:val="FFFFFF"/>
                <w:sz w:val="24"/>
                <w:szCs w:val="24"/>
              </w:rPr>
              <w:t>三等奖）</w:t>
            </w:r>
          </w:p>
        </w:tc>
        <w:tc>
          <w:tcPr>
            <w:tcW w:w="708" w:type="pct"/>
            <w:tcBorders>
              <w:top w:val="single" w:sz="4" w:space="0" w:color="auto"/>
              <w:left w:val="single" w:sz="4" w:space="0" w:color="auto"/>
              <w:bottom w:val="single" w:sz="4" w:space="0" w:color="auto"/>
              <w:right w:val="single" w:sz="4" w:space="0" w:color="auto"/>
            </w:tcBorders>
            <w:shd w:val="clear" w:color="auto" w:fill="0372AE"/>
            <w:noWrap/>
            <w:tcMar>
              <w:top w:w="180" w:type="dxa"/>
              <w:left w:w="108" w:type="dxa"/>
              <w:bottom w:w="180" w:type="dxa"/>
              <w:right w:w="108" w:type="dxa"/>
            </w:tcMar>
            <w:vAlign w:val="center"/>
          </w:tcPr>
          <w:p>
            <w:pPr>
              <w:jc w:val="center"/>
              <w:rPr>
                <w:rFonts w:ascii="宋体" w:eastAsia="宋体"/>
                <w:b/>
                <w:bCs/>
                <w:color w:val="FFFFFF"/>
                <w:sz w:val="24"/>
                <w:szCs w:val="24"/>
              </w:rPr>
            </w:pPr>
            <w:r>
              <w:rPr>
                <w:rFonts w:ascii="宋体" w:eastAsia="宋体"/>
                <w:b/>
                <w:bCs/>
                <w:color w:val="FFFFFF"/>
                <w:sz w:val="24"/>
                <w:szCs w:val="24"/>
              </w:rPr>
              <w:t>市级奖项</w:t>
            </w:r>
          </w:p>
        </w:tc>
        <w:tc>
          <w:tcPr>
            <w:tcW w:w="1227" w:type="pct"/>
            <w:tcBorders>
              <w:top w:val="single" w:sz="4" w:space="0" w:color="auto"/>
              <w:left w:val="single" w:sz="4" w:space="0" w:color="auto"/>
              <w:bottom w:val="single" w:sz="4" w:space="0" w:color="auto"/>
              <w:right w:val="single" w:sz="4" w:space="0" w:color="auto"/>
            </w:tcBorders>
            <w:shd w:val="clear" w:color="auto" w:fill="0372AE"/>
            <w:noWrap/>
            <w:tcMar>
              <w:top w:w="180" w:type="dxa"/>
              <w:left w:w="108" w:type="dxa"/>
              <w:bottom w:w="180" w:type="dxa"/>
              <w:right w:w="108" w:type="dxa"/>
            </w:tcMar>
            <w:vAlign w:val="center"/>
          </w:tcPr>
          <w:p>
            <w:pPr>
              <w:jc w:val="center"/>
              <w:rPr>
                <w:rFonts w:ascii="宋体" w:eastAsia="宋体"/>
                <w:b/>
                <w:bCs/>
                <w:color w:val="FFFFFF"/>
                <w:sz w:val="24"/>
                <w:szCs w:val="24"/>
              </w:rPr>
            </w:pPr>
            <w:r>
              <w:rPr>
                <w:rFonts w:ascii="宋体" w:eastAsia="宋体"/>
                <w:b/>
                <w:bCs/>
                <w:color w:val="FFFFFF"/>
                <w:sz w:val="24"/>
                <w:szCs w:val="24"/>
              </w:rPr>
              <w:t>重点竞赛领域</w:t>
            </w:r>
          </w:p>
        </w:tc>
      </w:tr>
      <w:tr>
        <w:tc>
          <w:tcPr>
            <w:tcW w:w="1099"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hint="eastAsia"/>
                <w:sz w:val="24"/>
                <w:szCs w:val="24"/>
              </w:rPr>
              <w:t>永州工商职中</w:t>
            </w:r>
          </w:p>
        </w:tc>
        <w:tc>
          <w:tcPr>
            <w:tcW w:w="629"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w:t>
            </w:r>
          </w:p>
        </w:tc>
        <w:tc>
          <w:tcPr>
            <w:tcW w:w="1338"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1/3/5</w:t>
            </w:r>
          </w:p>
        </w:tc>
        <w:tc>
          <w:tcPr>
            <w:tcW w:w="708"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w:t>
            </w:r>
          </w:p>
        </w:tc>
        <w:tc>
          <w:tcPr>
            <w:tcW w:w="1227"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rPr>
                <w:rFonts w:ascii="宋体" w:eastAsia="宋体"/>
                <w:sz w:val="24"/>
                <w:szCs w:val="24"/>
              </w:rPr>
            </w:pPr>
            <w:r>
              <w:rPr>
                <w:rFonts w:ascii="宋体" w:eastAsia="宋体"/>
                <w:sz w:val="24"/>
                <w:szCs w:val="24"/>
              </w:rPr>
              <w:t>机械制造、电子信息、水利工程制图</w:t>
            </w:r>
          </w:p>
        </w:tc>
      </w:tr>
      <w:tr>
        <w:trPr>
          <w:trHeight w:val="519"/>
        </w:trPr>
        <w:tc>
          <w:tcPr>
            <w:tcW w:w="1099"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东安</w:t>
            </w:r>
            <w:r>
              <w:rPr>
                <w:rFonts w:ascii="宋体" w:eastAsia="宋体" w:hint="eastAsia"/>
                <w:sz w:val="24"/>
                <w:szCs w:val="24"/>
              </w:rPr>
              <w:t>职中</w:t>
            </w:r>
          </w:p>
        </w:tc>
        <w:tc>
          <w:tcPr>
            <w:tcW w:w="629"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1</w:t>
            </w:r>
          </w:p>
        </w:tc>
        <w:tc>
          <w:tcPr>
            <w:tcW w:w="1338"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0/1/6</w:t>
            </w:r>
          </w:p>
        </w:tc>
        <w:tc>
          <w:tcPr>
            <w:tcW w:w="708"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hint="eastAsia"/>
                <w:sz w:val="24"/>
                <w:szCs w:val="24"/>
              </w:rPr>
              <w:t>多</w:t>
            </w:r>
            <w:r>
              <w:rPr>
                <w:rFonts w:ascii="宋体" w:eastAsia="宋体"/>
                <w:sz w:val="24"/>
                <w:szCs w:val="24"/>
              </w:rPr>
              <w:t>项</w:t>
            </w:r>
          </w:p>
        </w:tc>
        <w:tc>
          <w:tcPr>
            <w:tcW w:w="1227"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信息素养、数控、电工</w:t>
            </w:r>
          </w:p>
        </w:tc>
      </w:tr>
      <w:tr>
        <w:trPr>
          <w:trHeight w:val="620"/>
        </w:trPr>
        <w:tc>
          <w:tcPr>
            <w:tcW w:w="1099"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江华</w:t>
            </w:r>
            <w:r>
              <w:rPr>
                <w:rFonts w:ascii="宋体" w:eastAsia="宋体" w:hint="eastAsia"/>
                <w:sz w:val="24"/>
                <w:szCs w:val="24"/>
              </w:rPr>
              <w:t>职中</w:t>
            </w:r>
          </w:p>
        </w:tc>
        <w:tc>
          <w:tcPr>
            <w:tcW w:w="629"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w:t>
            </w:r>
          </w:p>
        </w:tc>
        <w:tc>
          <w:tcPr>
            <w:tcW w:w="1338"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0/1/6</w:t>
            </w:r>
          </w:p>
        </w:tc>
        <w:tc>
          <w:tcPr>
            <w:tcW w:w="708"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w:t>
            </w:r>
          </w:p>
        </w:tc>
        <w:tc>
          <w:tcPr>
            <w:tcW w:w="1227"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rPr>
                <w:rFonts w:ascii="宋体" w:eastAsia="宋体"/>
                <w:sz w:val="24"/>
                <w:szCs w:val="24"/>
              </w:rPr>
            </w:pPr>
            <w:r>
              <w:rPr>
                <w:rFonts w:ascii="宋体" w:eastAsia="宋体"/>
                <w:sz w:val="24"/>
                <w:szCs w:val="24"/>
              </w:rPr>
              <w:t>数字艺术设计、机电技术、服装制作</w:t>
            </w:r>
          </w:p>
        </w:tc>
      </w:tr>
      <w:tr>
        <w:trPr>
          <w:trHeight w:val="646"/>
        </w:trPr>
        <w:tc>
          <w:tcPr>
            <w:tcW w:w="1099"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蓝山</w:t>
            </w:r>
            <w:r>
              <w:rPr>
                <w:rFonts w:ascii="宋体" w:eastAsia="宋体" w:hint="eastAsia"/>
                <w:sz w:val="24"/>
                <w:szCs w:val="24"/>
              </w:rPr>
              <w:t>职中</w:t>
            </w:r>
          </w:p>
        </w:tc>
        <w:tc>
          <w:tcPr>
            <w:tcW w:w="629"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w:t>
            </w:r>
          </w:p>
        </w:tc>
        <w:tc>
          <w:tcPr>
            <w:tcW w:w="1338"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0/0/2</w:t>
            </w:r>
          </w:p>
        </w:tc>
        <w:tc>
          <w:tcPr>
            <w:tcW w:w="708"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多项</w:t>
            </w:r>
          </w:p>
        </w:tc>
        <w:tc>
          <w:tcPr>
            <w:tcW w:w="1227"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rPr>
                <w:rFonts w:ascii="宋体" w:eastAsia="宋体"/>
                <w:sz w:val="24"/>
                <w:szCs w:val="24"/>
              </w:rPr>
            </w:pPr>
            <w:r>
              <w:rPr>
                <w:rFonts w:ascii="宋体" w:eastAsia="宋体"/>
                <w:sz w:val="24"/>
                <w:szCs w:val="24"/>
              </w:rPr>
              <w:t>机械加工、电子装配、电商运营</w:t>
            </w:r>
          </w:p>
        </w:tc>
      </w:tr>
      <w:tr>
        <w:trPr>
          <w:trHeight w:val="646"/>
        </w:trPr>
        <w:tc>
          <w:tcPr>
            <w:tcW w:w="1099"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祁阳</w:t>
            </w:r>
            <w:r>
              <w:rPr>
                <w:rFonts w:ascii="宋体" w:eastAsia="宋体" w:hint="eastAsia"/>
                <w:sz w:val="24"/>
                <w:szCs w:val="24"/>
              </w:rPr>
              <w:t>职中</w:t>
            </w:r>
          </w:p>
        </w:tc>
        <w:tc>
          <w:tcPr>
            <w:tcW w:w="629"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2</w:t>
            </w:r>
          </w:p>
        </w:tc>
        <w:tc>
          <w:tcPr>
            <w:tcW w:w="1338"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2/3/5</w:t>
            </w:r>
          </w:p>
        </w:tc>
        <w:tc>
          <w:tcPr>
            <w:tcW w:w="708"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w:t>
            </w:r>
          </w:p>
        </w:tc>
        <w:tc>
          <w:tcPr>
            <w:tcW w:w="1227"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rPr>
                <w:rFonts w:ascii="宋体" w:eastAsia="宋体"/>
                <w:sz w:val="24"/>
                <w:szCs w:val="24"/>
              </w:rPr>
            </w:pPr>
            <w:r>
              <w:rPr>
                <w:rFonts w:ascii="宋体" w:eastAsia="宋体"/>
                <w:sz w:val="24"/>
                <w:szCs w:val="24"/>
              </w:rPr>
              <w:t>数字影音后期制作、电子商务运营</w:t>
            </w:r>
          </w:p>
        </w:tc>
      </w:tr>
      <w:tr>
        <w:trPr>
          <w:trHeight w:val="618"/>
        </w:trPr>
        <w:tc>
          <w:tcPr>
            <w:tcW w:w="1099"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宁远</w:t>
            </w:r>
            <w:r>
              <w:rPr>
                <w:rFonts w:ascii="宋体" w:eastAsia="宋体" w:hint="eastAsia"/>
                <w:sz w:val="24"/>
                <w:szCs w:val="24"/>
              </w:rPr>
              <w:t>职中</w:t>
            </w:r>
          </w:p>
        </w:tc>
        <w:tc>
          <w:tcPr>
            <w:tcW w:w="629"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w:t>
            </w:r>
          </w:p>
        </w:tc>
        <w:tc>
          <w:tcPr>
            <w:tcW w:w="1338"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0/0/2</w:t>
            </w:r>
          </w:p>
        </w:tc>
        <w:tc>
          <w:tcPr>
            <w:tcW w:w="708"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7项</w:t>
            </w:r>
          </w:p>
        </w:tc>
        <w:tc>
          <w:tcPr>
            <w:tcW w:w="1227"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rPr>
                <w:rFonts w:ascii="宋体" w:eastAsia="宋体"/>
                <w:sz w:val="24"/>
                <w:szCs w:val="24"/>
              </w:rPr>
            </w:pPr>
            <w:r>
              <w:rPr>
                <w:rFonts w:ascii="宋体" w:eastAsia="宋体"/>
                <w:sz w:val="24"/>
                <w:szCs w:val="24"/>
              </w:rPr>
              <w:t>网络建设与运维、电梯保养与维护</w:t>
            </w:r>
          </w:p>
        </w:tc>
      </w:tr>
      <w:tr>
        <w:trPr>
          <w:trHeight w:val="335"/>
        </w:trPr>
        <w:tc>
          <w:tcPr>
            <w:tcW w:w="1099"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永州综职</w:t>
            </w:r>
          </w:p>
        </w:tc>
        <w:tc>
          <w:tcPr>
            <w:tcW w:w="629"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sz w:val="24"/>
                <w:szCs w:val="24"/>
              </w:rPr>
              <w:t>/</w:t>
            </w:r>
          </w:p>
        </w:tc>
        <w:tc>
          <w:tcPr>
            <w:tcW w:w="1338"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hint="eastAsia"/>
                <w:sz w:val="24"/>
                <w:szCs w:val="24"/>
              </w:rPr>
              <w:t>0/0/1</w:t>
            </w:r>
          </w:p>
        </w:tc>
        <w:tc>
          <w:tcPr>
            <w:tcW w:w="708"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jc w:val="center"/>
              <w:rPr>
                <w:rFonts w:ascii="宋体" w:eastAsia="宋体"/>
                <w:sz w:val="24"/>
                <w:szCs w:val="24"/>
              </w:rPr>
            </w:pPr>
            <w:r>
              <w:rPr>
                <w:rFonts w:ascii="宋体" w:eastAsia="宋体" w:hint="eastAsia"/>
                <w:sz w:val="24"/>
                <w:szCs w:val="24"/>
              </w:rPr>
              <w:t>若干</w:t>
            </w:r>
          </w:p>
        </w:tc>
        <w:tc>
          <w:tcPr>
            <w:tcW w:w="1227" w:type="pct"/>
            <w:tcBorders>
              <w:top w:val="single" w:sz="4" w:space="0" w:color="auto"/>
              <w:left w:val="single" w:sz="4" w:space="0" w:color="auto"/>
              <w:bottom w:val="single" w:sz="4" w:space="0" w:color="auto"/>
              <w:right w:val="single" w:sz="4" w:space="0" w:color="auto"/>
            </w:tcBorders>
            <w:shd w:val="clear" w:color="auto" w:fill="auto"/>
            <w:noWrap/>
            <w:tcMar>
              <w:top w:w="180" w:type="dxa"/>
              <w:left w:w="108" w:type="dxa"/>
              <w:bottom w:w="180" w:type="dxa"/>
              <w:right w:w="108" w:type="dxa"/>
            </w:tcMar>
            <w:vAlign w:val="center"/>
          </w:tcPr>
          <w:p>
            <w:pPr>
              <w:rPr>
                <w:rFonts w:ascii="宋体" w:eastAsia="宋体"/>
                <w:sz w:val="24"/>
                <w:szCs w:val="24"/>
              </w:rPr>
            </w:pPr>
            <w:r>
              <w:rPr>
                <w:rFonts w:ascii="宋体" w:eastAsia="宋体"/>
                <w:sz w:val="24"/>
                <w:szCs w:val="24"/>
              </w:rPr>
              <w:t>母婴护理、电商运营</w:t>
            </w:r>
          </w:p>
        </w:tc>
      </w:tr>
    </w:tbl>
    <w:p>
      <w:pPr>
        <w:pStyle w:val="15"/>
        <w:ind w:firstLineChars="0" w:firstLine="0"/>
        <w:jc w:val="left"/>
        <w:rPr>
          <w:rFonts w:ascii="宋体" w:eastAsia="宋体"/>
          <w:b/>
          <w:bCs/>
          <w:spacing w:val="0"/>
          <w:sz w:val="21"/>
          <w:szCs w:val="21"/>
        </w:rPr>
      </w:pPr>
      <w:r>
        <w:rPr>
          <w:rFonts w:ascii="宋体" w:eastAsia="宋体"/>
          <w:spacing w:val="0"/>
          <w:sz w:val="21"/>
          <w:szCs w:val="21"/>
        </w:rPr>
        <w:t>（</w:t>
      </w:r>
      <w:r>
        <w:rPr>
          <w:rFonts w:ascii="宋体" w:eastAsia="宋体" w:hint="eastAsia"/>
          <w:spacing w:val="0"/>
          <w:sz w:val="21"/>
          <w:szCs w:val="21"/>
        </w:rPr>
        <w:t>注：以上</w:t>
      </w:r>
      <w:r>
        <w:rPr>
          <w:rFonts w:ascii="宋体" w:eastAsia="宋体"/>
          <w:spacing w:val="0"/>
          <w:sz w:val="21"/>
          <w:szCs w:val="21"/>
        </w:rPr>
        <w:t>数据来</w:t>
      </w:r>
      <w:r>
        <w:rPr>
          <w:rFonts w:ascii="宋体" w:eastAsia="宋体" w:hint="eastAsia"/>
          <w:spacing w:val="0"/>
          <w:sz w:val="21"/>
          <w:szCs w:val="21"/>
        </w:rPr>
        <w:t>自</w:t>
      </w:r>
      <w:r>
        <w:rPr>
          <w:rFonts w:ascii="宋体" w:eastAsia="宋体"/>
          <w:spacing w:val="0"/>
          <w:sz w:val="21"/>
          <w:szCs w:val="21"/>
        </w:rPr>
        <w:t>各学校报送，2025年）</w:t>
      </w:r>
    </w:p>
    <w:p>
      <w:pPr>
        <w:pStyle w:val="15"/>
        <w:spacing w:line="240" w:lineRule="auto"/>
        <w:ind w:firstLineChars="0" w:firstLine="0"/>
        <w:jc w:val="center"/>
        <w:rPr>
          <w:rFonts w:ascii="宋体" w:eastAsia="宋体"/>
          <w:b/>
          <w:bCs/>
          <w:sz w:val="28"/>
          <w:szCs w:val="28"/>
        </w:rPr>
      </w:pPr>
      <w:r>
        <w:rPr>
          <w:rFonts w:ascii="宋体" w:eastAsia="宋体"/>
          <w:b/>
          <w:bCs/>
          <w:spacing w:val="0"/>
          <w:sz w:val="28"/>
          <w:szCs w:val="28"/>
        </w:rPr>
        <w:drawing>
          <wp:inline distT="0" distB="0" distL="0" distR="0">
            <wp:extent cx="4933950" cy="2809875"/>
            <wp:effectExtent l="0" t="0" r="20" b="43"/>
            <wp:docPr id="32" name="图片 16"/>
            <wp:cNvGraphicFramePr>
              <a:graphicFrameLocks noChangeAspect="1"/>
            </wp:cNvGraphicFramePr>
            <a:graphic>
              <a:graphicData uri="http://schemas.openxmlformats.org/drawingml/2006/picture">
                <pic:pic>
                  <pic:nvPicPr>
                    <pic:cNvPr id="34" name="图片 16 34"/>
                    <pic:cNvPicPr/>
                  </pic:nvPicPr>
                  <pic:blipFill>
                    <a:blip r:embed="rId18"/>
                    <a:stretch>
                      <a:fillRect/>
                    </a:stretch>
                  </pic:blipFill>
                  <pic:spPr>
                    <a:xfrm rot="0">
                      <a:off x="0" y="0"/>
                      <a:ext cx="4933950" cy="2809875"/>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宋体" w:eastAsia="宋体"/>
          <w:b/>
          <w:bCs/>
          <w:sz w:val="28"/>
          <w:szCs w:val="28"/>
        </w:rPr>
      </w:pPr>
      <w:bookmarkStart w:id="39" w:name="_Toc218688630"/>
      <w:r>
        <w:rPr>
          <w:rFonts w:ascii="宋体" w:eastAsia="宋体" w:hint="eastAsia"/>
          <w:b/>
          <w:bCs/>
          <w:kern w:val="0"/>
        </w:rPr>
        <w:t>图2</w:t>
      </w:r>
      <w:r>
        <w:rPr>
          <w:rFonts w:ascii="宋体" w:eastAsia="宋体"/>
          <w:b/>
          <w:bCs/>
          <w:kern w:val="0"/>
        </w:rPr>
        <w:t>-</w:t>
      </w:r>
      <w:r>
        <w:rPr>
          <w:rFonts w:ascii="宋体" w:eastAsia="宋体" w:hint="eastAsia"/>
          <w:b/>
          <w:bCs/>
          <w:kern w:val="0"/>
        </w:rPr>
        <w:t>6</w:t>
      </w:r>
      <w:r>
        <w:rPr>
          <w:rFonts w:ascii="宋体" w:eastAsia="宋体"/>
          <w:b/>
          <w:bCs/>
          <w:kern w:val="0"/>
        </w:rPr>
        <w:t xml:space="preserve"> 永州市部分中职学校省级技能竞赛获奖数量对比</w:t>
      </w:r>
      <w:bookmarkEnd w:id="39"/>
    </w:p>
    <w:p>
      <w:pPr>
        <w:pStyle w:val="15"/>
        <w:spacing w:line="240" w:lineRule="auto"/>
        <w:ind w:firstLineChars="0" w:firstLine="0"/>
        <w:jc w:val="center"/>
        <w:rPr>
          <w:rFonts w:ascii="宋体" w:eastAsia="宋体"/>
          <w:b/>
          <w:bCs/>
          <w:spacing w:val="0"/>
          <w:sz w:val="28"/>
          <w:szCs w:val="28"/>
        </w:rPr>
      </w:pP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ind w:firstLineChars="0" w:firstLine="0"/>
              <w:jc w:val="center"/>
              <w:outlineLvl w:val="4"/>
              <w:rPr>
                <w:rFonts w:ascii="仿宋_GB2312" w:cs="仿宋_GB2312"/>
                <w:b/>
                <w:bCs/>
                <w:color w:val="FFFFFF"/>
                <w:sz w:val="32"/>
                <w:szCs w:val="32"/>
              </w:rPr>
            </w:pPr>
            <w:bookmarkStart w:id="40" w:name="_Toc218688682"/>
            <w:r>
              <w:rPr>
                <w:rFonts w:ascii="仿宋_GB2312" w:cs="仿宋_GB2312" w:hint="eastAsia"/>
                <w:b/>
                <w:bCs/>
                <w:color w:val="FFFFFF"/>
                <w:sz w:val="32"/>
                <w:szCs w:val="32"/>
              </w:rPr>
              <w:t>案例</w:t>
            </w:r>
            <w:r>
              <w:rPr>
                <w:rFonts w:ascii="仿宋_GB2312" w:cs="仿宋_GB2312"/>
                <w:b/>
                <w:bCs/>
                <w:color w:val="FFFFFF"/>
                <w:sz w:val="32"/>
                <w:szCs w:val="32"/>
              </w:rPr>
              <w:t>2-6：</w:t>
            </w:r>
            <w:r>
              <w:rPr>
                <w:rFonts w:ascii="仿宋_GB2312" w:cs="仿宋_GB2312" w:hint="eastAsia"/>
                <w:b/>
                <w:bCs/>
                <w:color w:val="FFFFFF"/>
                <w:sz w:val="32"/>
                <w:szCs w:val="32"/>
              </w:rPr>
              <w:t>蓝山职中——“赛训岗一体化”赋能技能竞赛</w:t>
            </w:r>
            <w:bookmarkEnd w:id="40"/>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蓝山县职业中专立足本地智能制造产业集群优势，以“赛训岗深度融合”为核心，打造技能竞赛特色培养体系。学校与永州市高信电子科技有限公司、蓝山湘威运动用品有限公司等</w:t>
            </w:r>
            <w:r>
              <w:rPr>
                <w:rFonts w:ascii="宋体" w:eastAsia="宋体" w:cs="仿宋_GB2312"/>
                <w:color w:val="0F1115"/>
                <w:sz w:val="28"/>
                <w:szCs w:val="28"/>
              </w:rPr>
              <w:t>3家县域龙头企业共建实训基地，精准对接企业岗位需求，聚焦机械加工、电子装配、电商运营三大核心赛项。</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核心举措上，校企联合制定《赛训融合人才培养方案》，将企业生产工单（如电子元件焊接、精密机械加工）转化为竞赛训练任务，组建“校内骨干教师</w:t>
            </w:r>
            <w:r>
              <w:rPr>
                <w:rFonts w:ascii="宋体" w:eastAsia="宋体" w:cs="仿宋_GB2312"/>
                <w:color w:val="0F1115"/>
                <w:sz w:val="28"/>
                <w:szCs w:val="28"/>
              </w:rPr>
              <w:t>+企业技术总监”双师集训团队。开设《精密机械加工实操》《电子装配工艺规范》《电商直播运营技巧》等专项训练课程，采用“基础模块周训+专项赛项月测+模拟竞赛季评”机制，全年设置28个校内赛项，覆盖80%在校生。</w:t>
            </w:r>
          </w:p>
          <w:p>
            <w:pPr>
              <w:pStyle w:val="23"/>
              <w:widowControl/>
              <w:spacing w:line="480" w:lineRule="exact"/>
              <w:rPr>
                <w:rFonts w:ascii="宋体" w:eastAsia="宋体" w:cs="仿宋_GB2312"/>
                <w:color w:val="0F1115"/>
                <w:sz w:val="28"/>
                <w:szCs w:val="28"/>
              </w:rPr>
            </w:pPr>
            <w:r>
              <w:rPr>
                <w:rFonts w:ascii="宋体" w:eastAsia="宋体" w:cs="仿宋_GB2312"/>
                <w:color w:val="0F1115"/>
                <w:sz w:val="28"/>
                <w:szCs w:val="28"/>
              </w:rPr>
              <w:t>2025年竞赛成果显著，学生在市级职业技能竞赛中斩获机械加工类二等奖3项、电子装配类三等奖2项，电商运营赛项1支队伍晋级省级竞赛。竞赛成果反哺教学改革，推动实训课程与企业岗位标准的契合度提升至90%，全年为合作企业定向输送技能人才120余人，实现“以赛促学、以赛促岗”的良性循环。</w:t>
            </w:r>
          </w:p>
        </w:tc>
      </w:tr>
    </w:tbl>
    <w:p>
      <w:pPr>
        <w:pStyle w:val="23"/>
        <w:shd w:val="clear" w:color="auto" w:fill="FFFFFF"/>
        <w:rPr>
          <w:rFonts w:ascii="仿宋_GB2312" w:cs="仿宋_GB2312"/>
          <w:b/>
          <w:bCs/>
          <w:color w:val="0F1115"/>
          <w:sz w:val="32"/>
          <w:szCs w:val="32"/>
          <w:shd w:val="clear" w:color="auto" w:fill="FFFFFF"/>
        </w:rPr>
      </w:pPr>
      <w:r>
        <w:rPr>
          <w:rFonts w:ascii="仿宋_GB2312" w:cs="仿宋_GB2312"/>
          <w:b/>
          <w:bCs/>
          <w:color w:val="0F1115"/>
          <w:sz w:val="32"/>
          <w:szCs w:val="32"/>
          <w:shd w:val="clear" w:color="auto" w:fill="FFFFFF"/>
        </w:rPr>
        <w:t>2.</w:t>
      </w:r>
      <w:r>
        <w:rPr>
          <w:rFonts w:ascii="仿宋_GB2312" w:cs="仿宋_GB2312" w:hint="eastAsia"/>
          <w:b/>
          <w:bCs/>
          <w:color w:val="0F1115"/>
          <w:sz w:val="32"/>
          <w:szCs w:val="32"/>
          <w:shd w:val="clear" w:color="auto" w:fill="FFFFFF"/>
        </w:rPr>
        <w:t>5</w:t>
      </w:r>
      <w:r>
        <w:rPr>
          <w:rFonts w:ascii="仿宋_GB2312" w:cs="仿宋_GB2312"/>
          <w:b/>
          <w:bCs/>
          <w:color w:val="0F1115"/>
          <w:sz w:val="32"/>
          <w:szCs w:val="32"/>
          <w:shd w:val="clear" w:color="auto" w:fill="FFFFFF"/>
        </w:rPr>
        <w:t>.3 标准对接岗位，教学提质增效</w:t>
      </w:r>
    </w:p>
    <w:p>
      <w:pPr>
        <w:pStyle w:val="15"/>
      </w:pPr>
      <w:r>
        <w:t>以蓝山职中等校为代表的“赛训岗”融合模式，有效推动了竞赛标准与岗位需求相对接。综合来看，2025年全市技能竞赛的整体规模与质量均迈上新台阶。如表2-1与表2-2所示，2025年，全市中职学校共组织校内技能竞赛120余场，参与学生超3万人次；获国家级奖项1项、省级奖项45项、市级奖项180余项，竞赛覆盖面与获奖质量较上年均实现稳步提升。</w:t>
      </w:r>
    </w:p>
    <w:p>
      <w:pPr>
        <w:pStyle w:val="2"/>
        <w:spacing w:before="0" w:after="0" w:line="560" w:lineRule="exact"/>
        <w:ind w:firstLineChars="200" w:firstLine="640"/>
      </w:pPr>
      <w:bookmarkStart w:id="41" w:name="_Toc218688919"/>
      <w:r>
        <w:rPr>
          <w:rFonts w:ascii="楷体" w:eastAsia="楷体"/>
          <w:shd w:val="clear" w:color="auto" w:fill="FFFFFF"/>
        </w:rPr>
        <w:t>2.6职业培训开展</w:t>
      </w:r>
      <w:bookmarkEnd w:id="41"/>
    </w:p>
    <w:p>
      <w:pPr>
        <w:pStyle w:val="23"/>
        <w:shd w:val="clear" w:color="auto" w:fill="FFFFFF"/>
        <w:rPr>
          <w:rFonts w:ascii="仿宋_GB2312" w:cs="仿宋_GB2312"/>
          <w:b/>
          <w:bCs/>
          <w:color w:val="0F1115"/>
          <w:sz w:val="32"/>
          <w:szCs w:val="32"/>
          <w:shd w:val="clear" w:color="auto" w:fill="FFFFFF"/>
        </w:rPr>
      </w:pPr>
      <w:r>
        <w:rPr>
          <w:rFonts w:ascii="仿宋_GB2312" w:cs="仿宋_GB2312"/>
          <w:b/>
          <w:bCs/>
          <w:color w:val="0F1115"/>
          <w:sz w:val="32"/>
          <w:szCs w:val="32"/>
          <w:shd w:val="clear" w:color="auto" w:fill="FFFFFF"/>
        </w:rPr>
        <w:t>2.</w:t>
      </w:r>
      <w:r>
        <w:rPr>
          <w:rFonts w:ascii="仿宋_GB2312" w:cs="仿宋_GB2312" w:hint="eastAsia"/>
          <w:b/>
          <w:bCs/>
          <w:color w:val="0F1115"/>
          <w:sz w:val="32"/>
          <w:szCs w:val="32"/>
          <w:shd w:val="clear" w:color="auto" w:fill="FFFFFF"/>
        </w:rPr>
        <w:t>6</w:t>
      </w:r>
      <w:r>
        <w:rPr>
          <w:rFonts w:ascii="仿宋_GB2312" w:cs="仿宋_GB2312"/>
          <w:b/>
          <w:bCs/>
          <w:color w:val="0F1115"/>
          <w:sz w:val="32"/>
          <w:szCs w:val="32"/>
          <w:shd w:val="clear" w:color="auto" w:fill="FFFFFF"/>
        </w:rPr>
        <w:t>.1 政校企协同一体，育训并举赋能</w:t>
      </w:r>
    </w:p>
    <w:p>
      <w:pPr>
        <w:pStyle w:val="15"/>
      </w:pPr>
      <w:r>
        <w:t>2025年，永州市中职学校紧扣乡村振兴与产业升级需求，开展</w:t>
      </w:r>
      <w:r>
        <w:rPr>
          <w:color w:val="00B0F0"/>
          <w:u w:val="single"/>
        </w:rPr>
        <w:t>各类职业培训超</w:t>
      </w:r>
      <w:r>
        <w:rPr>
          <w:rFonts w:hint="eastAsia"/>
          <w:color w:val="00B0F0"/>
          <w:u w:val="single"/>
          <w:lang w:val="en-US" w:eastAsia="zh-CN"/>
        </w:rPr>
        <w:t>9000</w:t>
      </w:r>
      <w:r>
        <w:rPr>
          <w:color w:val="00B0F0"/>
          <w:u w:val="single"/>
        </w:rPr>
        <w:t>人次</w:t>
      </w:r>
      <w:r>
        <w:t>，覆盖企业职工、农村劳动力等群体，证书获取率平均达86%，</w:t>
      </w:r>
      <w:r>
        <w:rPr>
          <w:color w:val="00B0F0"/>
          <w:u w:val="single"/>
        </w:rPr>
        <w:t>为地方输送实用型技能人才</w:t>
      </w:r>
      <w:r>
        <w:rPr>
          <w:rFonts w:hint="eastAsia"/>
          <w:color w:val="00B0F0"/>
          <w:u w:val="single"/>
          <w:lang w:val="en-US" w:eastAsia="zh-CN"/>
        </w:rPr>
        <w:t>800</w:t>
      </w:r>
      <w:r>
        <w:rPr>
          <w:color w:val="00B0F0"/>
          <w:u w:val="single"/>
        </w:rPr>
        <w:t>0余人</w:t>
      </w:r>
      <w:r>
        <w:t>。全市中职学校坚守“育训并举”初心，聚焦区域产业升级、乡村振兴与社会民生需求，构建“政府引导、校企协同、全域覆盖”的职业培训体系，精准开展多元化技能培训，为地方培养实用型、技能型人才，助力劳动力素质提升与经济社会发展。</w:t>
      </w:r>
    </w:p>
    <w:p>
      <w:pPr>
        <w:pStyle w:val="15"/>
      </w:pPr>
      <w:r>
        <w:t>各学校结合自身专业优势与地方产业需求，明确培训方向，优化培训模式。永州市工商职业中等专业学校面向社会开展技能培训3474人次，涵盖电商运营、数控加工等领域，为规模以上企业输送技术技能人才758人，中小微企业就业264人。东安县职业中专开展汽车维修工、电工、数控、家政服务等培训超500人次，申报湖南省“东安鸡”传承培训基地，邀请非遗传承人开展专项培训，学员综合合格率达93%。江华瑶族自治县职业中专开设电工、数控车床、茶艺师、汽车维修、电子商务等培训项目，组建“校内骨干+企业能手”双师团队，实操课时占比不低于70%，201名学员通过职业技能等级考核，证书获取率达</w:t>
      </w:r>
      <w:r>
        <w:rPr>
          <w:rFonts w:hint="eastAsia"/>
        </w:rPr>
        <w:t>82%—88%</w:t>
      </w:r>
      <w:r>
        <w:t>。永州市综合职业中等专业学校累计开展培训1559人次，涵盖职业技能等级证书培训、“新农人”技能培训、企业职工在岗提升培训等。</w:t>
      </w:r>
    </w:p>
    <w:p>
      <w:pPr>
        <w:pStyle w:val="23"/>
        <w:shd w:val="clear" w:color="auto" w:fill="FFFFFF"/>
        <w:rPr>
          <w:rFonts w:ascii="仿宋_GB2312" w:cs="仿宋_GB2312"/>
          <w:b/>
          <w:bCs/>
          <w:color w:val="0F1115"/>
          <w:sz w:val="32"/>
          <w:szCs w:val="32"/>
          <w:shd w:val="clear" w:color="auto" w:fill="FFFFFF"/>
        </w:rPr>
      </w:pPr>
      <w:r>
        <w:rPr>
          <w:rFonts w:ascii="仿宋_GB2312" w:cs="仿宋_GB2312"/>
          <w:b/>
          <w:bCs/>
          <w:color w:val="0F1115"/>
          <w:sz w:val="32"/>
          <w:szCs w:val="32"/>
          <w:shd w:val="clear" w:color="auto" w:fill="FFFFFF"/>
        </w:rPr>
        <w:t>2.</w:t>
      </w:r>
      <w:r>
        <w:rPr>
          <w:rFonts w:ascii="仿宋_GB2312" w:cs="仿宋_GB2312" w:hint="eastAsia"/>
          <w:b/>
          <w:bCs/>
          <w:color w:val="0F1115"/>
          <w:sz w:val="32"/>
          <w:szCs w:val="32"/>
          <w:shd w:val="clear" w:color="auto" w:fill="FFFFFF"/>
        </w:rPr>
        <w:t>6</w:t>
      </w:r>
      <w:r>
        <w:rPr>
          <w:rFonts w:ascii="仿宋_GB2312" w:cs="仿宋_GB2312"/>
          <w:b/>
          <w:bCs/>
          <w:color w:val="0F1115"/>
          <w:sz w:val="32"/>
          <w:szCs w:val="32"/>
          <w:shd w:val="clear" w:color="auto" w:fill="FFFFFF"/>
        </w:rPr>
        <w:t>.2 项目特色鲜明，培训精准对接</w:t>
      </w:r>
    </w:p>
    <w:p>
      <w:pPr>
        <w:pStyle w:val="15"/>
      </w:pPr>
      <w:r>
        <w:t>蓝山县职业中专立足本地智能制造、文旅产业、数字经济发展需求，重点开展机械加工、电子装配、电商运营、旅游服务等特色培训。培训采用“理论授课+实操训练+岗位见习”一体化模式，邀请行业专家与企业技术骨干授课，培训内容紧密贴合岗位实际需求。2025年，学校面向企业职工开展技能提升培训400余人次，为农村劳动力转移、失业人员再就业提供精准培训300余人次，其中电商运营、机械加工类培训学员就业率达85%以上，有效助力地方产业发展与就业增收。</w:t>
      </w:r>
    </w:p>
    <w:p>
      <w:pPr>
        <w:widowControl/>
        <w:spacing w:beforeLines="50" w:before="156"/>
        <w:jc w:val="center"/>
        <w:outlineLvl w:val="3"/>
        <w:rPr>
          <w:rFonts w:ascii="宋体" w:eastAsia="宋体"/>
          <w:b/>
          <w:bCs/>
          <w:sz w:val="28"/>
          <w:szCs w:val="28"/>
        </w:rPr>
      </w:pPr>
      <w:bookmarkStart w:id="42" w:name="_Toc218688665"/>
      <w:r>
        <w:rPr>
          <w:rFonts w:ascii="宋体" w:eastAsia="宋体"/>
          <w:b/>
          <w:bCs/>
          <w:color w:val="1F2329"/>
          <w:kern w:val="0"/>
          <w:sz w:val="24"/>
          <w:szCs w:val="24"/>
          <w:shd w:val="clear" w:color="auto" w:fill="FFFFFF"/>
        </w:rPr>
        <w:t>表2-2永州市部分中职学校2025年职业培训开展情况表</w:t>
      </w:r>
      <w:bookmarkEnd w:id="42"/>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1659"/>
        <w:gridCol w:w="1171"/>
        <w:gridCol w:w="2147"/>
        <w:gridCol w:w="1659"/>
        <w:gridCol w:w="1660"/>
      </w:tblGrid>
      <w:tr>
        <w:trPr>
          <w:trHeight w:val="762"/>
          <w:tblHeader/>
        </w:trPr>
        <w:tc>
          <w:tcPr>
            <w:tcW w:w="1659" w:type="dxa"/>
            <w:tcBorders>
              <w:top w:val="single" w:sz="4" w:space="0" w:color="auto"/>
              <w:left w:val="single" w:sz="4" w:space="0" w:color="auto"/>
              <w:bottom w:val="single" w:sz="4" w:space="0" w:color="auto"/>
              <w:right w:val="single" w:sz="4" w:space="0" w:color="auto"/>
            </w:tcBorders>
            <w:shd w:val="clear" w:color="auto" w:fill="0070C0"/>
            <w:noWrap/>
            <w:vAlign w:val="center"/>
          </w:tcPr>
          <w:p>
            <w:pPr>
              <w:pStyle w:val="15"/>
              <w:spacing w:line="240" w:lineRule="auto"/>
              <w:ind w:firstLineChars="0" w:firstLine="0"/>
              <w:jc w:val="center"/>
              <w:rPr>
                <w:rFonts w:ascii="宋体" w:eastAsia="宋体"/>
                <w:spacing w:val="0"/>
                <w:sz w:val="21"/>
                <w:szCs w:val="21"/>
              </w:rPr>
            </w:pPr>
            <w:r>
              <w:rPr>
                <w:rFonts w:ascii="宋体" w:eastAsia="宋体" w:cs="Segoe UI"/>
                <w:b/>
                <w:bCs/>
                <w:color w:val="FFFFFF"/>
                <w:sz w:val="24"/>
                <w:szCs w:val="24"/>
              </w:rPr>
              <w:t>学校名称</w:t>
            </w:r>
          </w:p>
        </w:tc>
        <w:tc>
          <w:tcPr>
            <w:tcW w:w="1171" w:type="dxa"/>
            <w:tcBorders>
              <w:top w:val="single" w:sz="4" w:space="0" w:color="auto"/>
              <w:left w:val="single" w:sz="4" w:space="0" w:color="auto"/>
              <w:bottom w:val="single" w:sz="4" w:space="0" w:color="auto"/>
              <w:right w:val="single" w:sz="4" w:space="0" w:color="auto"/>
            </w:tcBorders>
            <w:shd w:val="clear" w:color="auto" w:fill="0070C0"/>
            <w:noWrap/>
            <w:vAlign w:val="center"/>
          </w:tcPr>
          <w:p>
            <w:pPr>
              <w:pStyle w:val="15"/>
              <w:spacing w:line="240" w:lineRule="auto"/>
              <w:ind w:firstLineChars="0" w:firstLine="0"/>
              <w:jc w:val="center"/>
              <w:rPr>
                <w:rFonts w:ascii="宋体" w:eastAsia="宋体"/>
                <w:spacing w:val="0"/>
                <w:sz w:val="21"/>
                <w:szCs w:val="21"/>
              </w:rPr>
            </w:pPr>
            <w:r>
              <w:rPr>
                <w:rFonts w:ascii="宋体" w:eastAsia="宋体" w:cs="Segoe UI"/>
                <w:b/>
                <w:bCs/>
                <w:color w:val="FFFFFF"/>
                <w:sz w:val="24"/>
                <w:szCs w:val="24"/>
              </w:rPr>
              <w:t>培训总人次</w:t>
            </w:r>
          </w:p>
        </w:tc>
        <w:tc>
          <w:tcPr>
            <w:tcW w:w="2147" w:type="dxa"/>
            <w:tcBorders>
              <w:top w:val="single" w:sz="4" w:space="0" w:color="auto"/>
              <w:left w:val="single" w:sz="4" w:space="0" w:color="auto"/>
              <w:bottom w:val="single" w:sz="4" w:space="0" w:color="auto"/>
              <w:right w:val="single" w:sz="4" w:space="0" w:color="auto"/>
            </w:tcBorders>
            <w:shd w:val="clear" w:color="auto" w:fill="0070C0"/>
            <w:noWrap/>
            <w:vAlign w:val="center"/>
          </w:tcPr>
          <w:p>
            <w:pPr>
              <w:pStyle w:val="15"/>
              <w:spacing w:line="240" w:lineRule="auto"/>
              <w:ind w:firstLineChars="0" w:firstLine="0"/>
              <w:jc w:val="center"/>
              <w:rPr>
                <w:rFonts w:ascii="宋体" w:eastAsia="宋体"/>
                <w:spacing w:val="0"/>
                <w:sz w:val="21"/>
                <w:szCs w:val="21"/>
              </w:rPr>
            </w:pPr>
            <w:r>
              <w:rPr>
                <w:rFonts w:ascii="宋体" w:eastAsia="宋体" w:cs="Segoe UI"/>
                <w:b/>
                <w:bCs/>
                <w:color w:val="FFFFFF"/>
                <w:sz w:val="24"/>
                <w:szCs w:val="24"/>
              </w:rPr>
              <w:t>核心培训项目</w:t>
            </w:r>
          </w:p>
        </w:tc>
        <w:tc>
          <w:tcPr>
            <w:tcW w:w="1659" w:type="dxa"/>
            <w:tcBorders>
              <w:top w:val="single" w:sz="4" w:space="0" w:color="auto"/>
              <w:left w:val="single" w:sz="4" w:space="0" w:color="auto"/>
              <w:bottom w:val="single" w:sz="4" w:space="0" w:color="auto"/>
              <w:right w:val="single" w:sz="4" w:space="0" w:color="auto"/>
            </w:tcBorders>
            <w:shd w:val="clear" w:color="auto" w:fill="0070C0"/>
            <w:noWrap/>
            <w:vAlign w:val="center"/>
          </w:tcPr>
          <w:p>
            <w:pPr>
              <w:pStyle w:val="15"/>
              <w:spacing w:line="240" w:lineRule="auto"/>
              <w:ind w:firstLineChars="0" w:firstLine="0"/>
              <w:jc w:val="center"/>
              <w:rPr>
                <w:rFonts w:ascii="宋体" w:eastAsia="宋体"/>
                <w:spacing w:val="0"/>
                <w:sz w:val="21"/>
                <w:szCs w:val="21"/>
              </w:rPr>
            </w:pPr>
            <w:r>
              <w:rPr>
                <w:rFonts w:ascii="宋体" w:eastAsia="宋体" w:cs="Segoe UI"/>
                <w:b/>
                <w:bCs/>
                <w:color w:val="FFFFFF"/>
                <w:sz w:val="24"/>
                <w:szCs w:val="24"/>
              </w:rPr>
              <w:t>培训对象</w:t>
            </w:r>
          </w:p>
        </w:tc>
        <w:tc>
          <w:tcPr>
            <w:tcW w:w="1660" w:type="dxa"/>
            <w:tcBorders>
              <w:top w:val="single" w:sz="4" w:space="0" w:color="auto"/>
              <w:left w:val="single" w:sz="4" w:space="0" w:color="auto"/>
              <w:bottom w:val="single" w:sz="4" w:space="0" w:color="auto"/>
              <w:right w:val="single" w:sz="4" w:space="0" w:color="auto"/>
            </w:tcBorders>
            <w:shd w:val="clear" w:color="auto" w:fill="0070C0"/>
            <w:noWrap/>
            <w:vAlign w:val="center"/>
          </w:tcPr>
          <w:p>
            <w:pPr>
              <w:widowControl/>
              <w:snapToGrid w:val="0"/>
              <w:jc w:val="center"/>
              <w:rPr>
                <w:rFonts w:ascii="宋体" w:eastAsia="宋体" w:cs="Segoe UI"/>
                <w:b/>
                <w:bCs/>
                <w:color w:val="FFFFFF"/>
                <w:kern w:val="0"/>
                <w:sz w:val="24"/>
                <w:szCs w:val="24"/>
              </w:rPr>
            </w:pPr>
            <w:r>
              <w:rPr>
                <w:rFonts w:ascii="宋体" w:eastAsia="宋体" w:cs="Segoe UI"/>
                <w:b/>
                <w:bCs/>
                <w:color w:val="FFFFFF"/>
                <w:kern w:val="0"/>
                <w:sz w:val="24"/>
                <w:szCs w:val="24"/>
              </w:rPr>
              <w:t>证书获取率</w:t>
            </w:r>
          </w:p>
          <w:p>
            <w:pPr>
              <w:pStyle w:val="15"/>
              <w:spacing w:line="240" w:lineRule="auto"/>
              <w:ind w:firstLineChars="0" w:firstLine="0"/>
              <w:jc w:val="center"/>
              <w:rPr>
                <w:rFonts w:ascii="宋体" w:eastAsia="宋体"/>
                <w:spacing w:val="0"/>
                <w:sz w:val="21"/>
                <w:szCs w:val="21"/>
              </w:rPr>
            </w:pPr>
            <w:r>
              <w:rPr>
                <w:rFonts w:ascii="宋体" w:eastAsia="宋体" w:cs="Segoe UI"/>
                <w:b/>
                <w:bCs/>
                <w:color w:val="FFFFFF"/>
                <w:sz w:val="24"/>
                <w:szCs w:val="24"/>
              </w:rPr>
              <w:t>/就业率</w:t>
            </w:r>
          </w:p>
        </w:tc>
      </w:tr>
      <w:tr>
        <w:trPr>
          <w:trHeight w:val="844"/>
        </w:trPr>
        <w:tc>
          <w:tcPr>
            <w:tcW w:w="1659"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center"/>
              <w:rPr>
                <w:rFonts w:ascii="宋体" w:eastAsia="宋体"/>
                <w:spacing w:val="0"/>
                <w:sz w:val="21"/>
                <w:szCs w:val="21"/>
              </w:rPr>
            </w:pPr>
            <w:r>
              <w:rPr>
                <w:rFonts w:ascii="宋体" w:eastAsia="宋体" w:cs="Segoe UI" w:hint="eastAsia"/>
                <w:b/>
                <w:bCs/>
                <w:color w:val="000000"/>
                <w:sz w:val="24"/>
                <w:szCs w:val="24"/>
              </w:rPr>
              <w:t>永州工商职中</w:t>
            </w:r>
          </w:p>
        </w:tc>
        <w:tc>
          <w:tcPr>
            <w:tcW w:w="1171"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center"/>
              <w:rPr>
                <w:rFonts w:ascii="宋体" w:eastAsia="宋体"/>
                <w:spacing w:val="0"/>
                <w:sz w:val="21"/>
                <w:szCs w:val="21"/>
              </w:rPr>
            </w:pPr>
            <w:r>
              <w:rPr>
                <w:rFonts w:ascii="宋体" w:eastAsia="宋体" w:cs="Segoe UI"/>
                <w:color w:val="000000"/>
                <w:sz w:val="24"/>
                <w:szCs w:val="24"/>
              </w:rPr>
              <w:t>3474</w:t>
            </w:r>
          </w:p>
        </w:tc>
        <w:tc>
          <w:tcPr>
            <w:tcW w:w="2147"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left"/>
              <w:rPr>
                <w:rFonts w:ascii="宋体" w:eastAsia="宋体"/>
                <w:spacing w:val="0"/>
                <w:sz w:val="21"/>
                <w:szCs w:val="21"/>
              </w:rPr>
            </w:pPr>
            <w:r>
              <w:rPr>
                <w:rFonts w:ascii="宋体" w:eastAsia="宋体" w:cs="Segoe UI"/>
                <w:color w:val="000000"/>
                <w:sz w:val="24"/>
                <w:szCs w:val="24"/>
              </w:rPr>
              <w:t>电商运营、数控加工、电子电工</w:t>
            </w:r>
          </w:p>
        </w:tc>
        <w:tc>
          <w:tcPr>
            <w:tcW w:w="1659"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left"/>
              <w:rPr>
                <w:rFonts w:ascii="宋体" w:eastAsia="宋体"/>
                <w:spacing w:val="0"/>
                <w:sz w:val="21"/>
                <w:szCs w:val="21"/>
              </w:rPr>
            </w:pPr>
            <w:r>
              <w:rPr>
                <w:rFonts w:ascii="宋体" w:eastAsia="宋体" w:cs="Segoe UI"/>
                <w:color w:val="000000"/>
                <w:sz w:val="24"/>
                <w:szCs w:val="24"/>
              </w:rPr>
              <w:t>社会人员、企业职工</w:t>
            </w:r>
          </w:p>
        </w:tc>
        <w:tc>
          <w:tcPr>
            <w:tcW w:w="1660"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center"/>
              <w:rPr>
                <w:rFonts w:ascii="宋体" w:eastAsia="宋体"/>
                <w:spacing w:val="0"/>
                <w:sz w:val="21"/>
                <w:szCs w:val="21"/>
              </w:rPr>
            </w:pPr>
            <w:r>
              <w:rPr>
                <w:rFonts w:ascii="宋体" w:eastAsia="宋体" w:cs="Segoe UI"/>
                <w:color w:val="000000"/>
                <w:sz w:val="24"/>
                <w:szCs w:val="24"/>
              </w:rPr>
              <w:t>/</w:t>
            </w:r>
          </w:p>
        </w:tc>
      </w:tr>
      <w:tr>
        <w:trPr>
          <w:trHeight w:val="841"/>
        </w:trPr>
        <w:tc>
          <w:tcPr>
            <w:tcW w:w="1659"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center"/>
              <w:rPr>
                <w:rFonts w:ascii="宋体" w:eastAsia="宋体"/>
                <w:spacing w:val="0"/>
                <w:sz w:val="21"/>
                <w:szCs w:val="21"/>
              </w:rPr>
            </w:pPr>
            <w:r>
              <w:rPr>
                <w:rFonts w:ascii="宋体" w:eastAsia="宋体" w:cs="Segoe UI" w:hint="eastAsia"/>
                <w:b/>
                <w:bCs/>
                <w:color w:val="000000"/>
                <w:sz w:val="24"/>
                <w:szCs w:val="24"/>
              </w:rPr>
              <w:t>东安职中</w:t>
            </w:r>
          </w:p>
        </w:tc>
        <w:tc>
          <w:tcPr>
            <w:tcW w:w="1171"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center"/>
              <w:rPr>
                <w:rFonts w:ascii="宋体" w:eastAsia="宋体"/>
                <w:spacing w:val="0"/>
                <w:sz w:val="21"/>
                <w:szCs w:val="21"/>
              </w:rPr>
            </w:pPr>
            <w:r>
              <w:rPr>
                <w:rFonts w:ascii="宋体" w:eastAsia="宋体" w:cs="Segoe UI"/>
                <w:color w:val="000000"/>
                <w:sz w:val="24"/>
                <w:szCs w:val="24"/>
              </w:rPr>
              <w:t>500+</w:t>
            </w:r>
          </w:p>
        </w:tc>
        <w:tc>
          <w:tcPr>
            <w:tcW w:w="2147"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left"/>
              <w:rPr>
                <w:rFonts w:ascii="宋体" w:eastAsia="宋体"/>
                <w:spacing w:val="0"/>
                <w:sz w:val="21"/>
                <w:szCs w:val="21"/>
              </w:rPr>
            </w:pPr>
            <w:r>
              <w:rPr>
                <w:rFonts w:ascii="宋体" w:eastAsia="宋体" w:cs="Segoe UI"/>
                <w:color w:val="000000"/>
                <w:sz w:val="24"/>
                <w:szCs w:val="24"/>
              </w:rPr>
              <w:t>汽车维修、电工、数控、家政服务</w:t>
            </w:r>
          </w:p>
        </w:tc>
        <w:tc>
          <w:tcPr>
            <w:tcW w:w="1659"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left"/>
              <w:rPr>
                <w:rFonts w:ascii="宋体" w:eastAsia="宋体"/>
                <w:spacing w:val="0"/>
                <w:sz w:val="21"/>
                <w:szCs w:val="21"/>
              </w:rPr>
            </w:pPr>
            <w:r>
              <w:rPr>
                <w:rFonts w:ascii="宋体" w:eastAsia="宋体" w:cs="Segoe UI"/>
                <w:color w:val="000000"/>
                <w:sz w:val="24"/>
                <w:szCs w:val="24"/>
              </w:rPr>
              <w:t>社会人员、农村劳动力</w:t>
            </w:r>
          </w:p>
        </w:tc>
        <w:tc>
          <w:tcPr>
            <w:tcW w:w="1660"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left"/>
              <w:rPr>
                <w:rFonts w:ascii="宋体" w:eastAsia="宋体"/>
                <w:spacing w:val="0"/>
                <w:sz w:val="21"/>
                <w:szCs w:val="21"/>
              </w:rPr>
            </w:pPr>
            <w:r>
              <w:rPr>
                <w:rFonts w:ascii="宋体" w:eastAsia="宋体" w:cs="Segoe UI"/>
                <w:color w:val="000000"/>
                <w:sz w:val="24"/>
                <w:szCs w:val="24"/>
              </w:rPr>
              <w:t>93%（综合合格率）</w:t>
            </w:r>
          </w:p>
        </w:tc>
      </w:tr>
      <w:tr>
        <w:trPr>
          <w:trHeight w:val="840"/>
        </w:trPr>
        <w:tc>
          <w:tcPr>
            <w:tcW w:w="1659"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center"/>
              <w:rPr>
                <w:rFonts w:ascii="宋体" w:eastAsia="宋体"/>
                <w:spacing w:val="0"/>
                <w:sz w:val="21"/>
                <w:szCs w:val="21"/>
              </w:rPr>
            </w:pPr>
            <w:r>
              <w:rPr>
                <w:rFonts w:ascii="宋体" w:eastAsia="宋体" w:cs="Segoe UI" w:hint="eastAsia"/>
                <w:b/>
                <w:bCs/>
                <w:color w:val="000000"/>
                <w:sz w:val="24"/>
                <w:szCs w:val="24"/>
              </w:rPr>
              <w:t>江华职中</w:t>
            </w:r>
          </w:p>
        </w:tc>
        <w:tc>
          <w:tcPr>
            <w:tcW w:w="1171"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center"/>
              <w:rPr>
                <w:rFonts w:ascii="宋体" w:eastAsia="宋体"/>
                <w:spacing w:val="0"/>
                <w:sz w:val="21"/>
                <w:szCs w:val="21"/>
              </w:rPr>
            </w:pPr>
            <w:r>
              <w:rPr>
                <w:rFonts w:ascii="宋体" w:eastAsia="宋体" w:cs="Segoe UI" w:hint="eastAsia"/>
                <w:color w:val="000000"/>
                <w:sz w:val="24"/>
                <w:szCs w:val="24"/>
              </w:rPr>
              <w:t>400+</w:t>
            </w:r>
          </w:p>
        </w:tc>
        <w:tc>
          <w:tcPr>
            <w:tcW w:w="2147"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left"/>
              <w:rPr>
                <w:rFonts w:ascii="宋体" w:eastAsia="宋体"/>
                <w:spacing w:val="0"/>
                <w:sz w:val="21"/>
                <w:szCs w:val="21"/>
              </w:rPr>
            </w:pPr>
            <w:r>
              <w:rPr>
                <w:rFonts w:ascii="宋体" w:eastAsia="宋体" w:cs="Segoe UI"/>
                <w:color w:val="000000"/>
                <w:sz w:val="24"/>
                <w:szCs w:val="24"/>
              </w:rPr>
              <w:t>电工、数控车床、茶艺师、电商</w:t>
            </w:r>
          </w:p>
        </w:tc>
        <w:tc>
          <w:tcPr>
            <w:tcW w:w="1659"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left"/>
              <w:rPr>
                <w:rFonts w:ascii="宋体" w:eastAsia="宋体"/>
                <w:spacing w:val="0"/>
                <w:sz w:val="21"/>
                <w:szCs w:val="21"/>
              </w:rPr>
            </w:pPr>
            <w:r>
              <w:rPr>
                <w:rFonts w:ascii="宋体" w:eastAsia="宋体" w:cs="Segoe UI"/>
                <w:color w:val="000000"/>
                <w:sz w:val="24"/>
                <w:szCs w:val="24"/>
              </w:rPr>
              <w:t>企业职工、农村转移劳动力</w:t>
            </w:r>
          </w:p>
        </w:tc>
        <w:tc>
          <w:tcPr>
            <w:tcW w:w="1660"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left"/>
              <w:rPr>
                <w:rFonts w:ascii="宋体" w:eastAsia="宋体"/>
                <w:spacing w:val="0"/>
                <w:sz w:val="21"/>
                <w:szCs w:val="21"/>
              </w:rPr>
            </w:pPr>
            <w:r>
              <w:rPr>
                <w:rFonts w:ascii="宋体" w:eastAsia="宋体" w:cs="Segoe UI" w:hint="eastAsia"/>
                <w:color w:val="000000"/>
                <w:sz w:val="24"/>
                <w:szCs w:val="24"/>
              </w:rPr>
              <w:t>82%—88%</w:t>
            </w:r>
            <w:r>
              <w:rPr>
                <w:rFonts w:ascii="宋体" w:eastAsia="宋体" w:cs="Segoe UI"/>
                <w:color w:val="000000"/>
                <w:sz w:val="24"/>
                <w:szCs w:val="24"/>
              </w:rPr>
              <w:t>（证书获取率）</w:t>
            </w:r>
          </w:p>
        </w:tc>
      </w:tr>
      <w:tr>
        <w:tc>
          <w:tcPr>
            <w:tcW w:w="1659"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center"/>
              <w:rPr>
                <w:rFonts w:ascii="宋体" w:eastAsia="宋体"/>
                <w:spacing w:val="0"/>
                <w:sz w:val="21"/>
                <w:szCs w:val="21"/>
              </w:rPr>
            </w:pPr>
            <w:r>
              <w:rPr>
                <w:rFonts w:ascii="宋体" w:eastAsia="宋体" w:cs="Segoe UI" w:hint="eastAsia"/>
                <w:b/>
                <w:bCs/>
                <w:color w:val="000000"/>
                <w:sz w:val="24"/>
                <w:szCs w:val="24"/>
              </w:rPr>
              <w:t>蓝山职中</w:t>
            </w:r>
          </w:p>
        </w:tc>
        <w:tc>
          <w:tcPr>
            <w:tcW w:w="1171"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center"/>
              <w:rPr>
                <w:rFonts w:ascii="宋体" w:eastAsia="宋体"/>
                <w:spacing w:val="0"/>
                <w:sz w:val="21"/>
                <w:szCs w:val="21"/>
              </w:rPr>
            </w:pPr>
            <w:r>
              <w:rPr>
                <w:rFonts w:ascii="宋体" w:eastAsia="宋体" w:cs="Segoe UI"/>
                <w:color w:val="000000"/>
                <w:sz w:val="24"/>
                <w:szCs w:val="24"/>
              </w:rPr>
              <w:t>700+</w:t>
            </w:r>
          </w:p>
        </w:tc>
        <w:tc>
          <w:tcPr>
            <w:tcW w:w="2147"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left"/>
              <w:rPr>
                <w:rFonts w:ascii="宋体" w:eastAsia="宋体"/>
                <w:spacing w:val="0"/>
                <w:sz w:val="21"/>
                <w:szCs w:val="21"/>
              </w:rPr>
            </w:pPr>
            <w:r>
              <w:rPr>
                <w:rFonts w:ascii="宋体" w:eastAsia="宋体" w:cs="Segoe UI"/>
                <w:color w:val="000000"/>
                <w:sz w:val="24"/>
                <w:szCs w:val="24"/>
              </w:rPr>
              <w:t>机械加工、电子装配、电商运营、旅游服务</w:t>
            </w:r>
          </w:p>
        </w:tc>
        <w:tc>
          <w:tcPr>
            <w:tcW w:w="1659"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left"/>
              <w:rPr>
                <w:rFonts w:ascii="宋体" w:eastAsia="宋体"/>
                <w:spacing w:val="0"/>
                <w:sz w:val="21"/>
                <w:szCs w:val="21"/>
              </w:rPr>
            </w:pPr>
            <w:r>
              <w:rPr>
                <w:rFonts w:ascii="宋体" w:eastAsia="宋体" w:cs="Segoe UI"/>
                <w:color w:val="000000"/>
                <w:sz w:val="24"/>
                <w:szCs w:val="24"/>
              </w:rPr>
              <w:t>企业职工、农村劳动力、失业人员</w:t>
            </w:r>
          </w:p>
        </w:tc>
        <w:tc>
          <w:tcPr>
            <w:tcW w:w="1660"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left"/>
              <w:rPr>
                <w:rFonts w:ascii="宋体" w:eastAsia="宋体"/>
                <w:spacing w:val="0"/>
                <w:sz w:val="21"/>
                <w:szCs w:val="21"/>
              </w:rPr>
            </w:pPr>
            <w:r>
              <w:rPr>
                <w:rFonts w:ascii="宋体" w:eastAsia="宋体" w:cs="Segoe UI"/>
                <w:color w:val="000000"/>
                <w:sz w:val="24"/>
                <w:szCs w:val="24"/>
              </w:rPr>
              <w:t>85%+（就业类培训就业率）</w:t>
            </w:r>
          </w:p>
        </w:tc>
      </w:tr>
      <w:tr>
        <w:trPr>
          <w:trHeight w:val="922"/>
        </w:trPr>
        <w:tc>
          <w:tcPr>
            <w:tcW w:w="1659"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center"/>
              <w:rPr>
                <w:rFonts w:ascii="宋体" w:eastAsia="宋体"/>
                <w:spacing w:val="0"/>
                <w:sz w:val="21"/>
                <w:szCs w:val="21"/>
              </w:rPr>
            </w:pPr>
            <w:r>
              <w:rPr>
                <w:rFonts w:ascii="宋体" w:eastAsia="宋体" w:cs="Segoe UI"/>
                <w:b/>
                <w:bCs/>
                <w:color w:val="000000"/>
                <w:sz w:val="24"/>
                <w:szCs w:val="24"/>
              </w:rPr>
              <w:t>永州综职</w:t>
            </w:r>
          </w:p>
        </w:tc>
        <w:tc>
          <w:tcPr>
            <w:tcW w:w="1171"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center"/>
              <w:rPr>
                <w:rFonts w:ascii="宋体" w:eastAsia="宋体"/>
                <w:spacing w:val="0"/>
                <w:sz w:val="21"/>
                <w:szCs w:val="21"/>
              </w:rPr>
            </w:pPr>
            <w:r>
              <w:rPr>
                <w:rFonts w:ascii="宋体" w:eastAsia="宋体" w:cs="Segoe UI"/>
                <w:color w:val="000000"/>
                <w:sz w:val="24"/>
                <w:szCs w:val="24"/>
              </w:rPr>
              <w:t>1559</w:t>
            </w:r>
          </w:p>
        </w:tc>
        <w:tc>
          <w:tcPr>
            <w:tcW w:w="2147"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left"/>
              <w:rPr>
                <w:rFonts w:ascii="宋体" w:eastAsia="宋体"/>
                <w:spacing w:val="0"/>
                <w:sz w:val="21"/>
                <w:szCs w:val="21"/>
              </w:rPr>
            </w:pPr>
            <w:r>
              <w:rPr>
                <w:rFonts w:ascii="宋体" w:eastAsia="宋体" w:cs="Segoe UI"/>
                <w:color w:val="000000"/>
                <w:sz w:val="24"/>
                <w:szCs w:val="24"/>
              </w:rPr>
              <w:t>职业技能等级培训、“新农人”培训、母婴护理</w:t>
            </w:r>
          </w:p>
        </w:tc>
        <w:tc>
          <w:tcPr>
            <w:tcW w:w="1659"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left"/>
              <w:rPr>
                <w:rFonts w:ascii="宋体" w:eastAsia="宋体"/>
                <w:spacing w:val="0"/>
                <w:sz w:val="21"/>
                <w:szCs w:val="21"/>
              </w:rPr>
            </w:pPr>
            <w:r>
              <w:rPr>
                <w:rFonts w:ascii="宋体" w:eastAsia="宋体" w:cs="Segoe UI"/>
                <w:color w:val="000000"/>
                <w:sz w:val="24"/>
                <w:szCs w:val="24"/>
              </w:rPr>
              <w:t>在校学生、社会群体</w:t>
            </w:r>
          </w:p>
        </w:tc>
        <w:tc>
          <w:tcPr>
            <w:tcW w:w="1660"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left"/>
              <w:rPr>
                <w:rFonts w:ascii="宋体" w:eastAsia="宋体"/>
                <w:spacing w:val="0"/>
                <w:sz w:val="21"/>
                <w:szCs w:val="21"/>
              </w:rPr>
            </w:pPr>
            <w:r>
              <w:rPr>
                <w:rFonts w:ascii="宋体" w:eastAsia="宋体" w:cs="Segoe UI"/>
                <w:color w:val="000000"/>
                <w:sz w:val="24"/>
                <w:szCs w:val="24"/>
              </w:rPr>
              <w:t>85%+（职业技能等级证书通过率）</w:t>
            </w:r>
          </w:p>
        </w:tc>
      </w:tr>
      <w:tr>
        <w:trPr>
          <w:trHeight w:val="694"/>
        </w:trPr>
        <w:tc>
          <w:tcPr>
            <w:tcW w:w="1659"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center"/>
              <w:rPr>
                <w:rFonts w:ascii="宋体" w:eastAsia="宋体"/>
                <w:spacing w:val="0"/>
                <w:sz w:val="21"/>
                <w:szCs w:val="21"/>
              </w:rPr>
            </w:pPr>
            <w:r>
              <w:rPr>
                <w:rFonts w:ascii="宋体" w:eastAsia="宋体" w:cs="Segoe UI"/>
                <w:b/>
                <w:bCs/>
                <w:color w:val="000000"/>
                <w:sz w:val="24"/>
                <w:szCs w:val="24"/>
              </w:rPr>
              <w:t>江永职中</w:t>
            </w:r>
          </w:p>
        </w:tc>
        <w:tc>
          <w:tcPr>
            <w:tcW w:w="1171"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center"/>
              <w:rPr>
                <w:rFonts w:ascii="宋体" w:eastAsia="宋体"/>
                <w:spacing w:val="0"/>
                <w:sz w:val="21"/>
                <w:szCs w:val="21"/>
              </w:rPr>
            </w:pPr>
            <w:r>
              <w:rPr>
                <w:rFonts w:ascii="宋体" w:eastAsia="宋体" w:cs="Segoe UI"/>
                <w:color w:val="000000"/>
                <w:sz w:val="24"/>
                <w:szCs w:val="24"/>
              </w:rPr>
              <w:t>/</w:t>
            </w:r>
          </w:p>
        </w:tc>
        <w:tc>
          <w:tcPr>
            <w:tcW w:w="2147"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left"/>
              <w:rPr>
                <w:rFonts w:ascii="宋体" w:eastAsia="宋体"/>
                <w:spacing w:val="0"/>
                <w:sz w:val="21"/>
                <w:szCs w:val="21"/>
              </w:rPr>
            </w:pPr>
            <w:r>
              <w:rPr>
                <w:rFonts w:ascii="宋体" w:eastAsia="宋体" w:cs="Segoe UI"/>
                <w:color w:val="000000"/>
                <w:sz w:val="24"/>
                <w:szCs w:val="24"/>
              </w:rPr>
              <w:t>农机维修、电商、旅游服务</w:t>
            </w:r>
          </w:p>
        </w:tc>
        <w:tc>
          <w:tcPr>
            <w:tcW w:w="1659"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left"/>
              <w:rPr>
                <w:rFonts w:ascii="宋体" w:eastAsia="宋体"/>
                <w:spacing w:val="0"/>
                <w:sz w:val="21"/>
                <w:szCs w:val="21"/>
              </w:rPr>
            </w:pPr>
            <w:r>
              <w:rPr>
                <w:rFonts w:ascii="宋体" w:eastAsia="宋体" w:cs="Segoe UI"/>
                <w:color w:val="000000"/>
                <w:sz w:val="24"/>
                <w:szCs w:val="24"/>
              </w:rPr>
              <w:t>农村劳动力、社会人员</w:t>
            </w:r>
          </w:p>
        </w:tc>
        <w:tc>
          <w:tcPr>
            <w:tcW w:w="1660" w:type="dxa"/>
            <w:tcBorders>
              <w:top w:val="single" w:sz="4" w:space="0" w:color="auto"/>
              <w:left w:val="single" w:sz="4" w:space="0" w:color="auto"/>
              <w:bottom w:val="single" w:sz="4" w:space="0" w:color="auto"/>
              <w:right w:val="single" w:sz="4" w:space="0" w:color="auto"/>
            </w:tcBorders>
            <w:noWrap/>
            <w:vAlign w:val="center"/>
          </w:tcPr>
          <w:p>
            <w:pPr>
              <w:pStyle w:val="15"/>
              <w:spacing w:line="240" w:lineRule="auto"/>
              <w:ind w:firstLineChars="0" w:firstLine="0"/>
              <w:jc w:val="center"/>
              <w:rPr>
                <w:rFonts w:ascii="宋体" w:eastAsia="宋体"/>
                <w:spacing w:val="0"/>
                <w:sz w:val="21"/>
                <w:szCs w:val="21"/>
              </w:rPr>
            </w:pPr>
            <w:r>
              <w:rPr>
                <w:rFonts w:ascii="宋体" w:eastAsia="宋体" w:cs="Segoe UI"/>
                <w:color w:val="000000"/>
                <w:sz w:val="24"/>
                <w:szCs w:val="24"/>
              </w:rPr>
              <w:t>/</w:t>
            </w:r>
          </w:p>
        </w:tc>
      </w:tr>
    </w:tbl>
    <w:p>
      <w:pPr>
        <w:pStyle w:val="15"/>
        <w:ind w:firstLineChars="0" w:firstLine="0"/>
        <w:jc w:val="left"/>
        <w:rPr>
          <w:rFonts w:ascii="宋体" w:eastAsia="宋体"/>
          <w:spacing w:val="0"/>
          <w:sz w:val="21"/>
          <w:szCs w:val="21"/>
        </w:rPr>
      </w:pPr>
      <w:r>
        <w:rPr>
          <w:rFonts w:ascii="宋体" w:eastAsia="宋体"/>
          <w:spacing w:val="0"/>
          <w:sz w:val="21"/>
          <w:szCs w:val="21"/>
        </w:rPr>
        <w:t>（</w:t>
      </w:r>
      <w:r>
        <w:rPr>
          <w:rFonts w:ascii="宋体" w:eastAsia="宋体" w:hint="eastAsia"/>
          <w:spacing w:val="0"/>
          <w:sz w:val="21"/>
          <w:szCs w:val="21"/>
        </w:rPr>
        <w:t>注：以上</w:t>
      </w:r>
      <w:r>
        <w:rPr>
          <w:rFonts w:ascii="宋体" w:eastAsia="宋体"/>
          <w:spacing w:val="0"/>
          <w:sz w:val="21"/>
          <w:szCs w:val="21"/>
        </w:rPr>
        <w:t>数据来</w:t>
      </w:r>
      <w:r>
        <w:rPr>
          <w:rFonts w:ascii="宋体" w:eastAsia="宋体" w:hint="eastAsia"/>
          <w:spacing w:val="0"/>
          <w:sz w:val="21"/>
          <w:szCs w:val="21"/>
        </w:rPr>
        <w:t>自永州市教育局职成科汇总</w:t>
      </w:r>
      <w:r>
        <w:rPr>
          <w:rFonts w:ascii="宋体" w:eastAsia="宋体"/>
          <w:spacing w:val="0"/>
          <w:sz w:val="21"/>
          <w:szCs w:val="21"/>
        </w:rPr>
        <w:t>，2025年）</w:t>
      </w:r>
    </w:p>
    <w:p/>
    <w:p>
      <w:pPr>
        <w:pStyle w:val="15"/>
        <w:spacing w:line="240" w:lineRule="auto"/>
        <w:ind w:firstLineChars="0" w:firstLine="0"/>
      </w:pPr>
      <w:r>
        <w:drawing>
          <wp:inline distT="0" distB="0" distL="0" distR="0">
            <wp:extent cx="5060315" cy="2950845"/>
            <wp:effectExtent l="0" t="0" r="46" b="46"/>
            <wp:docPr id="35" name="图片 17"/>
            <wp:cNvGraphicFramePr>
              <a:graphicFrameLocks noChangeAspect="1"/>
            </wp:cNvGraphicFramePr>
            <a:graphic>
              <a:graphicData uri="http://schemas.openxmlformats.org/drawingml/2006/picture">
                <pic:pic>
                  <pic:nvPicPr>
                    <pic:cNvPr id="37" name="图片 17 37"/>
                    <pic:cNvPicPr/>
                  </pic:nvPicPr>
                  <pic:blipFill>
                    <a:blip r:embed="rId19"/>
                    <a:stretch>
                      <a:fillRect/>
                    </a:stretch>
                  </pic:blipFill>
                  <pic:spPr>
                    <a:xfrm rot="0">
                      <a:off x="0" y="0"/>
                      <a:ext cx="5060315" cy="2950845"/>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宋体" w:eastAsia="宋体"/>
          <w:b/>
          <w:bCs/>
          <w:kern w:val="0"/>
          <w:sz w:val="28"/>
          <w:szCs w:val="28"/>
        </w:rPr>
      </w:pPr>
      <w:bookmarkStart w:id="43" w:name="_Toc218688631"/>
      <w:r>
        <w:rPr>
          <w:rFonts w:ascii="宋体" w:eastAsia="宋体"/>
          <w:b/>
          <w:bCs/>
          <w:kern w:val="0"/>
        </w:rPr>
        <w:t>图2-</w:t>
      </w:r>
      <w:r>
        <w:rPr>
          <w:rFonts w:ascii="宋体" w:eastAsia="宋体" w:hint="eastAsia"/>
          <w:b/>
          <w:bCs/>
          <w:kern w:val="0"/>
        </w:rPr>
        <w:t>7</w:t>
      </w:r>
      <w:r>
        <w:rPr>
          <w:rFonts w:ascii="宋体" w:eastAsia="宋体"/>
          <w:b/>
          <w:bCs/>
          <w:kern w:val="0"/>
        </w:rPr>
        <w:t>永州市部分中职学校职业培训人次对比图</w:t>
      </w:r>
      <w:bookmarkEnd w:id="43"/>
    </w:p>
    <w:p>
      <w:pPr>
        <w:pStyle w:val="23"/>
        <w:shd w:val="clear" w:color="auto" w:fill="FFFFFF"/>
        <w:rPr>
          <w:rFonts w:ascii="仿宋_GB2312" w:cs="仿宋_GB2312"/>
          <w:b/>
          <w:bCs/>
          <w:color w:val="0F1115"/>
          <w:sz w:val="32"/>
          <w:szCs w:val="32"/>
          <w:shd w:val="clear" w:color="auto" w:fill="FFFFFF"/>
        </w:rPr>
      </w:pPr>
      <w:r>
        <w:rPr>
          <w:rFonts w:ascii="仿宋_GB2312" w:cs="仿宋_GB2312"/>
          <w:b/>
          <w:bCs/>
          <w:color w:val="0F1115"/>
          <w:sz w:val="32"/>
          <w:szCs w:val="32"/>
          <w:shd w:val="clear" w:color="auto" w:fill="FFFFFF"/>
        </w:rPr>
        <w:t>2.</w:t>
      </w:r>
      <w:r>
        <w:rPr>
          <w:rFonts w:ascii="仿宋_GB2312" w:cs="仿宋_GB2312" w:hint="eastAsia"/>
          <w:b/>
          <w:bCs/>
          <w:color w:val="0F1115"/>
          <w:sz w:val="32"/>
          <w:szCs w:val="32"/>
          <w:shd w:val="clear" w:color="auto" w:fill="FFFFFF"/>
        </w:rPr>
        <w:t>6</w:t>
      </w:r>
      <w:r>
        <w:rPr>
          <w:rFonts w:ascii="仿宋_GB2312" w:cs="仿宋_GB2312"/>
          <w:b/>
          <w:bCs/>
          <w:color w:val="0F1115"/>
          <w:sz w:val="32"/>
          <w:szCs w:val="32"/>
          <w:shd w:val="clear" w:color="auto" w:fill="FFFFFF"/>
        </w:rPr>
        <w:t>.3 服务乡村振兴，助力产业升级</w:t>
      </w:r>
    </w:p>
    <w:p>
      <w:pPr>
        <w:pStyle w:val="15"/>
      </w:pPr>
      <w:r>
        <w:rPr>
          <w:rFonts w:hint="eastAsia"/>
        </w:rPr>
        <w:t>全市中职学校共开设培训项目</w:t>
      </w:r>
      <w:r>
        <w:t>30余个，其中特色培训项目12个（如东安鸡烹饪、瑶族织锦），培训后就业率平均达83%，有效助力农村劳动力转移就业与企业技能升级。</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44" w:name="_Toc218688683"/>
            <w:r>
              <w:rPr>
                <w:rFonts w:ascii="仿宋_GB2312" w:cs="仿宋_GB2312" w:hint="eastAsia"/>
                <w:b/>
                <w:bCs/>
                <w:color w:val="FFFFFF"/>
                <w:sz w:val="32"/>
                <w:szCs w:val="32"/>
              </w:rPr>
              <w:t>案例</w:t>
            </w:r>
            <w:r>
              <w:rPr>
                <w:rFonts w:ascii="仿宋_GB2312" w:cs="仿宋_GB2312"/>
                <w:b/>
                <w:bCs/>
                <w:color w:val="FFFFFF"/>
                <w:sz w:val="32"/>
                <w:szCs w:val="32"/>
              </w:rPr>
              <w:t>2-7：</w:t>
            </w:r>
            <w:r>
              <w:rPr>
                <w:rFonts w:ascii="仿宋_GB2312" w:cs="仿宋_GB2312" w:hint="eastAsia"/>
                <w:b/>
                <w:bCs/>
                <w:color w:val="FFFFFF"/>
                <w:sz w:val="32"/>
                <w:szCs w:val="32"/>
              </w:rPr>
              <w:t>江华职中“非遗</w:t>
            </w:r>
            <w:r>
              <w:rPr>
                <w:rFonts w:ascii="仿宋_GB2312" w:cs="仿宋_GB2312"/>
                <w:b/>
                <w:bCs/>
                <w:color w:val="FFFFFF"/>
                <w:sz w:val="32"/>
                <w:szCs w:val="32"/>
              </w:rPr>
              <w:t>+职教+电商”</w:t>
            </w:r>
            <w:r>
              <w:rPr>
                <w:rFonts w:ascii="仿宋_GB2312" w:cs="仿宋_GB2312" w:hint="eastAsia"/>
                <w:b/>
                <w:bCs/>
                <w:color w:val="FFFFFF"/>
                <w:sz w:val="32"/>
                <w:szCs w:val="32"/>
              </w:rPr>
              <w:t>助力乡村振兴提质</w:t>
            </w:r>
            <w:bookmarkEnd w:id="44"/>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江华瑶族自治县职业中专深挖民族文化资源，创新“非遗传承</w:t>
            </w:r>
            <w:r>
              <w:rPr>
                <w:rFonts w:ascii="宋体" w:eastAsia="宋体" w:cs="仿宋_GB2312"/>
                <w:color w:val="0F1115"/>
                <w:sz w:val="28"/>
                <w:szCs w:val="28"/>
              </w:rPr>
              <w:t>+职业培训+电商赋能”融合模式，成为乡村振兴的人才培育基地。学校与江华瑶族织锦文化发展有限公司、本地电商平台“瑶山好物”达成深度合作，构建“文化传承+技能培训+产品变现”的完整链条。</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培训课程设置兼具特色与实用性，核心课程包括《瑶族织锦基础技艺》《传统纹样创新设计》《电商平台运营》《短视频内容创作》，邀请国家级瑶族织锦非遗传承人何静华驻校授课，同步配备企业电商运营专家开展实战教学。针对农村劳动力、返乡青年等群体，开设为期</w:t>
            </w:r>
            <w:r>
              <w:rPr>
                <w:rFonts w:ascii="宋体" w:eastAsia="宋体" w:cs="仿宋_GB2312"/>
                <w:color w:val="0F1115"/>
                <w:sz w:val="28"/>
                <w:szCs w:val="28"/>
              </w:rPr>
              <w:t>1-3个月的短期集训班，采用“理论授课+车间实操+直播实训”模式，全年开展专项培训超400人次。</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项目实施后成效显著，学员设计的“盘王印”“八角花纹”系列织锦文创产品，通过合作电商平台年销售额突破</w:t>
            </w:r>
            <w:r>
              <w:rPr>
                <w:rFonts w:ascii="宋体" w:eastAsia="宋体" w:cs="仿宋_GB2312"/>
                <w:color w:val="0F1115"/>
                <w:sz w:val="28"/>
                <w:szCs w:val="28"/>
              </w:rPr>
              <w:t>1200万元，带动周边3个村寨50余户村民增收，户均年增收超3万元。同时吸引200余名年轻人返乡创业就业，既守住了民族文化根脉，又激活了县域乡村经济活力。</w:t>
            </w:r>
          </w:p>
        </w:tc>
      </w:tr>
    </w:tbl>
    <w:p>
      <w:pPr>
        <w:pStyle w:val="2"/>
        <w:spacing w:before="0" w:after="0" w:line="560" w:lineRule="exact"/>
        <w:ind w:firstLineChars="200" w:firstLine="640"/>
        <w:rPr>
          <w:rFonts w:ascii="楷体" w:eastAsia="楷体"/>
          <w:shd w:val="clear" w:color="auto" w:fill="FFFFFF"/>
        </w:rPr>
      </w:pPr>
      <w:bookmarkStart w:id="45" w:name="_Toc218688920"/>
      <w:r>
        <w:rPr>
          <w:rFonts w:ascii="楷体" w:eastAsia="楷体"/>
          <w:shd w:val="clear" w:color="auto" w:fill="FFFFFF"/>
        </w:rPr>
        <w:t>2.7毕业生质量跟踪</w:t>
      </w:r>
      <w:bookmarkEnd w:id="45"/>
    </w:p>
    <w:p>
      <w:pPr>
        <w:pStyle w:val="23"/>
        <w:shd w:val="clear" w:color="auto" w:fill="FFFFFF"/>
        <w:rPr>
          <w:rFonts w:ascii="仿宋_GB2312" w:cs="仿宋_GB2312"/>
          <w:b/>
          <w:bCs/>
          <w:color w:val="0F1115"/>
          <w:sz w:val="32"/>
          <w:szCs w:val="32"/>
          <w:shd w:val="clear" w:color="auto" w:fill="FFFFFF"/>
        </w:rPr>
      </w:pPr>
      <w:r>
        <w:rPr>
          <w:rFonts w:ascii="仿宋_GB2312" w:cs="仿宋_GB2312"/>
          <w:b/>
          <w:bCs/>
          <w:color w:val="0F1115"/>
          <w:sz w:val="32"/>
          <w:szCs w:val="32"/>
          <w:shd w:val="clear" w:color="auto" w:fill="FFFFFF"/>
        </w:rPr>
        <w:t>2.</w:t>
      </w:r>
      <w:r>
        <w:rPr>
          <w:rFonts w:ascii="仿宋_GB2312" w:cs="仿宋_GB2312" w:hint="eastAsia"/>
          <w:b/>
          <w:bCs/>
          <w:color w:val="0F1115"/>
          <w:sz w:val="32"/>
          <w:szCs w:val="32"/>
          <w:shd w:val="clear" w:color="auto" w:fill="FFFFFF"/>
        </w:rPr>
        <w:t>7</w:t>
      </w:r>
      <w:r>
        <w:rPr>
          <w:rFonts w:ascii="仿宋_GB2312" w:cs="仿宋_GB2312"/>
          <w:b/>
          <w:bCs/>
          <w:color w:val="0F1115"/>
          <w:sz w:val="32"/>
          <w:szCs w:val="32"/>
          <w:shd w:val="clear" w:color="auto" w:fill="FFFFFF"/>
        </w:rPr>
        <w:t>.1 机制校企联动，跟踪持续优化</w:t>
      </w:r>
    </w:p>
    <w:p>
      <w:pPr>
        <w:pStyle w:val="15"/>
      </w:pPr>
      <w:r>
        <w:t>永州市中职学校高度重视毕业生质量跟踪工作，建立“校企联动、持续反馈、动态优化”的跟踪机制，通过问卷调查、企业走访、座谈访谈等多种形式，全面掌握毕业生就业状况、职业发展、用人单位满意度等情况，为人才培养方案优化、教学改革深化提供科学依据，毕业生就业质量与社会认可度持续提升。</w:t>
      </w:r>
    </w:p>
    <w:p>
      <w:pPr>
        <w:pStyle w:val="15"/>
      </w:pPr>
      <w:r>
        <w:t>从就业情况来看，全市中职学校毕业生就业率保持高位，就业去向多元化，对口就业率稳步提升。永州市工商职业中等专业学校2025届毕业生2698人，就业率100%，对口就业率92.56%，在规模以上企业就业981人，中小微企业就业518人，初次就业平均月收入4000元以上，自主创业138人，占比5.11%。江华瑶族自治县职业中专2025届毕业生1839人，初次就业1056人，专业对口就业率97.06%，在大型企业就业占比60.1%，省内就业494人，月均收入3182元。东安县职业中专2025届毕业生1612人，直接就业978人，专业对口就业率82.98%，本地就业率35.4%，企业对毕业生职业素养满意率94.77%。</w:t>
      </w:r>
    </w:p>
    <w:p>
      <w:pPr>
        <w:pStyle w:val="23"/>
        <w:shd w:val="clear" w:color="auto" w:fill="FFFFFF"/>
        <w:rPr>
          <w:rFonts w:ascii="仿宋_GB2312" w:cs="仿宋_GB2312"/>
          <w:b/>
          <w:bCs/>
          <w:color w:val="0F1115"/>
          <w:sz w:val="32"/>
          <w:szCs w:val="32"/>
          <w:shd w:val="clear" w:color="auto" w:fill="FFFFFF"/>
        </w:rPr>
      </w:pPr>
      <w:r>
        <w:rPr>
          <w:rFonts w:ascii="仿宋_GB2312" w:cs="仿宋_GB2312"/>
          <w:b/>
          <w:bCs/>
          <w:color w:val="0F1115"/>
          <w:sz w:val="32"/>
          <w:szCs w:val="32"/>
          <w:shd w:val="clear" w:color="auto" w:fill="FFFFFF"/>
        </w:rPr>
        <w:t>2.</w:t>
      </w:r>
      <w:r>
        <w:rPr>
          <w:rFonts w:ascii="仿宋_GB2312" w:cs="仿宋_GB2312" w:hint="eastAsia"/>
          <w:b/>
          <w:bCs/>
          <w:color w:val="0F1115"/>
          <w:sz w:val="32"/>
          <w:szCs w:val="32"/>
          <w:shd w:val="clear" w:color="auto" w:fill="FFFFFF"/>
        </w:rPr>
        <w:t>7</w:t>
      </w:r>
      <w:r>
        <w:rPr>
          <w:rFonts w:ascii="仿宋_GB2312" w:cs="仿宋_GB2312"/>
          <w:b/>
          <w:bCs/>
          <w:color w:val="0F1115"/>
          <w:sz w:val="32"/>
          <w:szCs w:val="32"/>
          <w:shd w:val="clear" w:color="auto" w:fill="FFFFFF"/>
        </w:rPr>
        <w:t>.2 就业升学并重，通道双向畅通</w:t>
      </w:r>
    </w:p>
    <w:p>
      <w:pPr>
        <w:pStyle w:val="15"/>
      </w:pPr>
      <w:r>
        <w:t>从升学情况来看，各学校持续推进“升学与就业并重”培养模式，为学生搭建多元化成长通道。永州市工商职业中等专业学校2025届毕业生升学1202人，占比44.6%；祁阳市职业中专2025届毕业生升学2503人，其中本科752人，本科升学率18.9%；江华瑶族自治县职业中专升学767人，其中本科39人，升学途径涵盖高职院校单独招生与对口招生考试。</w:t>
      </w:r>
    </w:p>
    <w:p>
      <w:pPr>
        <w:pStyle w:val="15"/>
        <w:rPr>
          <w:b/>
          <w:bCs/>
          <w:spacing w:val="3"/>
        </w:rPr>
      </w:pPr>
      <w:r>
        <w:t>蓝山县职业中专2025届毕业生整体就业质量稳中有升，就业率保持100%，专业对口就业率达88%以上，本地就业率55%，多数毕业生进入本地骨干企业及粤港澳大湾区相关企业，从事机械加工、电子技术、电商运营等工作，初次就业平均月收入3800元以上。升学方面，毕业生升学人数较上年增长15%，20余人考入本科院校，300余人通过单招、对口高考进入高职院校深造。用人单位对毕业生的职业技能、职业道德、团队协作能力满意度达96%，反馈毕业生岗位适应能力强、踏实肯干，部分毕业生已成长为企业技术骨干。</w:t>
      </w:r>
    </w:p>
    <w:p>
      <w:pPr>
        <w:widowControl/>
        <w:spacing w:beforeLines="50" w:before="156"/>
        <w:jc w:val="center"/>
        <w:outlineLvl w:val="3"/>
        <w:rPr>
          <w:rFonts w:ascii="宋体" w:eastAsia="宋体"/>
          <w:b/>
          <w:bCs/>
          <w:sz w:val="28"/>
          <w:szCs w:val="28"/>
        </w:rPr>
      </w:pPr>
      <w:bookmarkStart w:id="46" w:name="_Toc218688666"/>
      <w:r>
        <w:rPr>
          <w:rFonts w:ascii="宋体" w:eastAsia="宋体"/>
          <w:b/>
          <w:bCs/>
          <w:color w:val="1F2329"/>
          <w:kern w:val="0"/>
          <w:sz w:val="24"/>
          <w:szCs w:val="24"/>
          <w:shd w:val="clear" w:color="auto" w:fill="FFFFFF"/>
        </w:rPr>
        <w:t>表2-</w:t>
      </w:r>
      <w:r>
        <w:rPr>
          <w:rFonts w:ascii="宋体" w:eastAsia="宋体" w:hint="eastAsia"/>
          <w:b/>
          <w:bCs/>
          <w:color w:val="1F2329"/>
          <w:kern w:val="0"/>
          <w:sz w:val="24"/>
          <w:szCs w:val="24"/>
          <w:shd w:val="clear" w:color="auto" w:fill="FFFFFF"/>
        </w:rPr>
        <w:t>3</w:t>
      </w:r>
      <w:r>
        <w:rPr>
          <w:rFonts w:ascii="宋体" w:eastAsia="宋体"/>
          <w:b/>
          <w:bCs/>
          <w:color w:val="1F2329"/>
          <w:kern w:val="0"/>
          <w:sz w:val="24"/>
          <w:szCs w:val="24"/>
          <w:shd w:val="clear" w:color="auto" w:fill="FFFFFF"/>
        </w:rPr>
        <w:t>永州市部分中职学校2025届毕业生质量跟踪核心数据</w:t>
      </w:r>
      <w:bookmarkEnd w:id="46"/>
    </w:p>
    <w:tbl>
      <w:tblPr>
        <w:jc w:val="center"/>
        <w:tblW w:w="9788" w:type="dxa"/>
        <w:tblBorders>
          <w:top w:val="none" w:sz="0" w:space="0" w:color="auto"/>
          <w:left w:val="single" w:sz="2" w:space="0" w:color="auto"/>
          <w:bottom w:val="single" w:sz="2" w:space="0" w:color="auto"/>
          <w:right w:val="single" w:sz="2" w:space="0" w:color="auto"/>
        </w:tblBorders>
        <w:shd w:val="clear" w:color="auto" w:fill="FFFFFF"/>
        <w:tblLayout w:type="fixed"/>
        <w:tblCellMar>
          <w:top w:w="0" w:type="dxa"/>
          <w:left w:w="0" w:type="dxa"/>
          <w:bottom w:w="0" w:type="dxa"/>
          <w:right w:w="0" w:type="dxa"/>
        </w:tblCellMar>
      </w:tblPr>
      <w:tblGrid>
        <w:gridCol w:w="1800"/>
        <w:gridCol w:w="1034"/>
        <w:gridCol w:w="842"/>
        <w:gridCol w:w="1011"/>
        <w:gridCol w:w="1011"/>
        <w:gridCol w:w="1034"/>
        <w:gridCol w:w="1034"/>
        <w:gridCol w:w="1011"/>
        <w:gridCol w:w="1011"/>
      </w:tblGrid>
      <w:tr>
        <w:trPr>
          <w:trHeight w:hRule="exact" w:val="1422"/>
          <w:tblHeader/>
        </w:trPr>
        <w:tc>
          <w:tcPr>
            <w:tcW w:w="1800" w:type="dxa"/>
            <w:tcBorders>
              <w:top w:val="single" w:sz="4" w:space="0" w:color="auto"/>
              <w:left w:val="single" w:sz="4" w:space="0" w:color="auto"/>
              <w:bottom w:val="single" w:sz="4" w:space="0" w:color="auto"/>
              <w:right w:val="single" w:sz="4" w:space="0" w:color="auto"/>
            </w:tcBorders>
            <w:shd w:val="clear" w:color="auto" w:fill="0372AE"/>
            <w:noWrap/>
            <w:tcMar>
              <w:top w:w="180" w:type="dxa"/>
              <w:left w:w="108" w:type="dxa"/>
              <w:bottom w:w="180" w:type="dxa"/>
              <w:right w:w="108" w:type="dxa"/>
            </w:tcMar>
            <w:vAlign w:val="center"/>
          </w:tcPr>
          <w:p>
            <w:pPr>
              <w:widowControl/>
              <w:snapToGrid w:val="0"/>
              <w:jc w:val="center"/>
              <w:rPr>
                <w:rFonts w:ascii="宋体" w:eastAsia="宋体" w:cs="Segoe UI"/>
                <w:b/>
                <w:bCs/>
                <w:color w:val="FFFFFF"/>
                <w:sz w:val="24"/>
                <w:szCs w:val="24"/>
              </w:rPr>
            </w:pPr>
            <w:r>
              <w:rPr>
                <w:rFonts w:ascii="宋体" w:eastAsia="宋体" w:cs="Segoe UI"/>
                <w:b/>
                <w:bCs/>
                <w:color w:val="FFFFFF"/>
                <w:kern w:val="0"/>
                <w:sz w:val="24"/>
                <w:szCs w:val="24"/>
              </w:rPr>
              <w:t>学校名称</w:t>
            </w:r>
          </w:p>
        </w:tc>
        <w:tc>
          <w:tcPr>
            <w:tcW w:w="1034" w:type="dxa"/>
            <w:tcBorders>
              <w:top w:val="single" w:sz="4" w:space="0" w:color="auto"/>
              <w:left w:val="single" w:sz="4" w:space="0" w:color="auto"/>
              <w:bottom w:val="single" w:sz="4" w:space="0" w:color="auto"/>
              <w:right w:val="single" w:sz="4" w:space="0" w:color="auto"/>
            </w:tcBorders>
            <w:shd w:val="clear" w:color="auto" w:fill="0372AE"/>
            <w:noWrap/>
            <w:tcMar>
              <w:top w:w="180" w:type="dxa"/>
              <w:left w:w="108" w:type="dxa"/>
              <w:bottom w:w="180" w:type="dxa"/>
              <w:right w:w="108" w:type="dxa"/>
            </w:tcMar>
            <w:vAlign w:val="center"/>
          </w:tcPr>
          <w:p>
            <w:pPr>
              <w:widowControl/>
              <w:snapToGrid w:val="0"/>
              <w:jc w:val="center"/>
              <w:rPr>
                <w:rFonts w:ascii="宋体" w:eastAsia="宋体" w:cs="Segoe UI"/>
                <w:b/>
                <w:bCs/>
                <w:color w:val="FFFFFF"/>
                <w:kern w:val="0"/>
                <w:sz w:val="24"/>
                <w:szCs w:val="24"/>
              </w:rPr>
            </w:pPr>
            <w:r>
              <w:rPr>
                <w:rFonts w:ascii="宋体" w:eastAsia="宋体" w:cs="Segoe UI"/>
                <w:b/>
                <w:bCs/>
                <w:color w:val="FFFFFF"/>
                <w:kern w:val="0"/>
                <w:sz w:val="24"/>
                <w:szCs w:val="24"/>
              </w:rPr>
              <w:t>毕业生总数</w:t>
            </w:r>
          </w:p>
          <w:p>
            <w:pPr>
              <w:widowControl/>
              <w:snapToGrid w:val="0"/>
              <w:jc w:val="center"/>
              <w:rPr>
                <w:rFonts w:ascii="宋体" w:eastAsia="宋体" w:cs="Segoe UI"/>
                <w:b/>
                <w:bCs/>
                <w:color w:val="FFFFFF"/>
                <w:sz w:val="24"/>
                <w:szCs w:val="24"/>
              </w:rPr>
            </w:pPr>
            <w:r>
              <w:rPr>
                <w:rFonts w:ascii="宋体" w:eastAsia="宋体" w:cs="Segoe UI"/>
                <w:b/>
                <w:bCs/>
                <w:color w:val="FFFFFF"/>
                <w:kern w:val="0"/>
                <w:sz w:val="24"/>
                <w:szCs w:val="24"/>
              </w:rPr>
              <w:t>（人）</w:t>
            </w:r>
          </w:p>
        </w:tc>
        <w:tc>
          <w:tcPr>
            <w:tcW w:w="842" w:type="dxa"/>
            <w:tcBorders>
              <w:top w:val="single" w:sz="4" w:space="0" w:color="auto"/>
              <w:left w:val="single" w:sz="4" w:space="0" w:color="auto"/>
              <w:bottom w:val="single" w:sz="4" w:space="0" w:color="auto"/>
              <w:right w:val="single" w:sz="4" w:space="0" w:color="auto"/>
            </w:tcBorders>
            <w:shd w:val="clear" w:color="auto" w:fill="0372AE"/>
            <w:noWrap/>
            <w:tcMar>
              <w:top w:w="180" w:type="dxa"/>
              <w:left w:w="108" w:type="dxa"/>
              <w:bottom w:w="180" w:type="dxa"/>
              <w:right w:w="108" w:type="dxa"/>
            </w:tcMar>
            <w:vAlign w:val="center"/>
          </w:tcPr>
          <w:p>
            <w:pPr>
              <w:widowControl/>
              <w:snapToGrid w:val="0"/>
              <w:jc w:val="center"/>
              <w:rPr>
                <w:rFonts w:ascii="宋体" w:eastAsia="宋体" w:cs="Segoe UI"/>
                <w:b/>
                <w:bCs/>
                <w:color w:val="FFFFFF"/>
                <w:kern w:val="0"/>
                <w:sz w:val="24"/>
                <w:szCs w:val="24"/>
              </w:rPr>
            </w:pPr>
            <w:r>
              <w:rPr>
                <w:rFonts w:ascii="宋体" w:eastAsia="宋体" w:cs="Segoe UI"/>
                <w:b/>
                <w:bCs/>
                <w:color w:val="FFFFFF"/>
                <w:kern w:val="0"/>
                <w:sz w:val="24"/>
                <w:szCs w:val="24"/>
              </w:rPr>
              <w:t>就业率</w:t>
            </w:r>
          </w:p>
          <w:p>
            <w:pPr>
              <w:widowControl/>
              <w:snapToGrid w:val="0"/>
              <w:jc w:val="center"/>
              <w:rPr>
                <w:rFonts w:ascii="宋体" w:eastAsia="宋体" w:cs="Segoe UI"/>
                <w:b/>
                <w:bCs/>
                <w:color w:val="FFFFFF"/>
                <w:sz w:val="24"/>
                <w:szCs w:val="24"/>
              </w:rPr>
            </w:pPr>
            <w:r>
              <w:rPr>
                <w:rFonts w:ascii="宋体" w:eastAsia="宋体" w:cs="Segoe UI"/>
                <w:b/>
                <w:bCs/>
                <w:color w:val="FFFFFF"/>
                <w:kern w:val="0"/>
                <w:sz w:val="24"/>
                <w:szCs w:val="24"/>
              </w:rPr>
              <w:t>（%）</w:t>
            </w:r>
          </w:p>
        </w:tc>
        <w:tc>
          <w:tcPr>
            <w:tcW w:w="1011" w:type="dxa"/>
            <w:tcBorders>
              <w:top w:val="single" w:sz="4" w:space="0" w:color="auto"/>
              <w:left w:val="single" w:sz="4" w:space="0" w:color="auto"/>
              <w:bottom w:val="single" w:sz="4" w:space="0" w:color="auto"/>
              <w:right w:val="single" w:sz="4" w:space="0" w:color="auto"/>
            </w:tcBorders>
            <w:shd w:val="clear" w:color="auto" w:fill="0372AE"/>
            <w:noWrap/>
            <w:tcMar>
              <w:top w:w="180" w:type="dxa"/>
              <w:left w:w="108" w:type="dxa"/>
              <w:bottom w:w="180" w:type="dxa"/>
              <w:right w:w="108" w:type="dxa"/>
            </w:tcMar>
            <w:vAlign w:val="center"/>
          </w:tcPr>
          <w:p>
            <w:pPr>
              <w:widowControl/>
              <w:snapToGrid w:val="0"/>
              <w:jc w:val="center"/>
              <w:rPr>
                <w:rFonts w:ascii="宋体" w:eastAsia="宋体" w:cs="Segoe UI"/>
                <w:b/>
                <w:bCs/>
                <w:color w:val="FFFFFF"/>
                <w:kern w:val="0"/>
                <w:sz w:val="24"/>
                <w:szCs w:val="24"/>
              </w:rPr>
            </w:pPr>
            <w:r>
              <w:rPr>
                <w:rFonts w:ascii="宋体" w:eastAsia="宋体" w:cs="Segoe UI"/>
                <w:b/>
                <w:bCs/>
                <w:color w:val="FFFFFF"/>
                <w:kern w:val="0"/>
                <w:sz w:val="24"/>
                <w:szCs w:val="24"/>
              </w:rPr>
              <w:t>对口就业率</w:t>
            </w:r>
          </w:p>
          <w:p>
            <w:pPr>
              <w:widowControl/>
              <w:snapToGrid w:val="0"/>
              <w:jc w:val="center"/>
              <w:rPr>
                <w:rFonts w:ascii="宋体" w:eastAsia="宋体" w:cs="Segoe UI"/>
                <w:b/>
                <w:bCs/>
                <w:color w:val="FFFFFF"/>
                <w:sz w:val="24"/>
                <w:szCs w:val="24"/>
              </w:rPr>
            </w:pPr>
            <w:r>
              <w:rPr>
                <w:rFonts w:ascii="宋体" w:eastAsia="宋体" w:cs="Segoe UI"/>
                <w:b/>
                <w:bCs/>
                <w:color w:val="FFFFFF"/>
                <w:kern w:val="0"/>
                <w:sz w:val="24"/>
                <w:szCs w:val="24"/>
              </w:rPr>
              <w:t>（%）</w:t>
            </w:r>
          </w:p>
        </w:tc>
        <w:tc>
          <w:tcPr>
            <w:tcW w:w="1011" w:type="dxa"/>
            <w:tcBorders>
              <w:top w:val="single" w:sz="4" w:space="0" w:color="auto"/>
              <w:left w:val="single" w:sz="4" w:space="0" w:color="auto"/>
              <w:bottom w:val="single" w:sz="4" w:space="0" w:color="auto"/>
              <w:right w:val="single" w:sz="4" w:space="0" w:color="auto"/>
            </w:tcBorders>
            <w:shd w:val="clear" w:color="auto" w:fill="0372AE"/>
            <w:noWrap/>
            <w:tcMar>
              <w:top w:w="180" w:type="dxa"/>
              <w:left w:w="108" w:type="dxa"/>
              <w:bottom w:w="180" w:type="dxa"/>
              <w:right w:w="108" w:type="dxa"/>
            </w:tcMar>
            <w:vAlign w:val="center"/>
          </w:tcPr>
          <w:p>
            <w:pPr>
              <w:widowControl/>
              <w:snapToGrid w:val="0"/>
              <w:jc w:val="center"/>
              <w:rPr>
                <w:rFonts w:ascii="宋体" w:eastAsia="宋体" w:cs="Segoe UI"/>
                <w:b/>
                <w:bCs/>
                <w:color w:val="FFFFFF"/>
                <w:kern w:val="0"/>
                <w:sz w:val="24"/>
                <w:szCs w:val="24"/>
              </w:rPr>
            </w:pPr>
            <w:r>
              <w:rPr>
                <w:rFonts w:ascii="宋体" w:eastAsia="宋体" w:cs="Segoe UI"/>
                <w:b/>
                <w:bCs/>
                <w:color w:val="FFFFFF"/>
                <w:kern w:val="0"/>
                <w:sz w:val="24"/>
                <w:szCs w:val="24"/>
              </w:rPr>
              <w:t>本地就业率</w:t>
            </w:r>
          </w:p>
          <w:p>
            <w:pPr>
              <w:widowControl/>
              <w:snapToGrid w:val="0"/>
              <w:jc w:val="center"/>
              <w:rPr>
                <w:rFonts w:ascii="宋体" w:eastAsia="宋体" w:cs="Segoe UI"/>
                <w:b/>
                <w:bCs/>
                <w:color w:val="FFFFFF"/>
                <w:sz w:val="24"/>
                <w:szCs w:val="24"/>
              </w:rPr>
            </w:pPr>
            <w:r>
              <w:rPr>
                <w:rFonts w:ascii="宋体" w:eastAsia="宋体" w:cs="Segoe UI"/>
                <w:b/>
                <w:bCs/>
                <w:color w:val="FFFFFF"/>
                <w:kern w:val="0"/>
                <w:sz w:val="24"/>
                <w:szCs w:val="24"/>
              </w:rPr>
              <w:t>（%）</w:t>
            </w:r>
          </w:p>
        </w:tc>
        <w:tc>
          <w:tcPr>
            <w:tcW w:w="1034" w:type="dxa"/>
            <w:tcBorders>
              <w:top w:val="single" w:sz="4" w:space="0" w:color="auto"/>
              <w:left w:val="single" w:sz="4" w:space="0" w:color="auto"/>
              <w:bottom w:val="single" w:sz="4" w:space="0" w:color="auto"/>
              <w:right w:val="single" w:sz="4" w:space="0" w:color="auto"/>
            </w:tcBorders>
            <w:shd w:val="clear" w:color="auto" w:fill="0372AE"/>
            <w:noWrap/>
            <w:tcMar>
              <w:top w:w="180" w:type="dxa"/>
              <w:left w:w="108" w:type="dxa"/>
              <w:bottom w:w="180" w:type="dxa"/>
              <w:right w:w="108" w:type="dxa"/>
            </w:tcMar>
            <w:vAlign w:val="center"/>
          </w:tcPr>
          <w:p>
            <w:pPr>
              <w:widowControl/>
              <w:snapToGrid w:val="0"/>
              <w:jc w:val="center"/>
              <w:rPr>
                <w:rFonts w:ascii="宋体" w:eastAsia="宋体" w:cs="Segoe UI"/>
                <w:b/>
                <w:bCs/>
                <w:color w:val="FFFFFF"/>
                <w:kern w:val="0"/>
                <w:sz w:val="24"/>
                <w:szCs w:val="24"/>
              </w:rPr>
            </w:pPr>
            <w:r>
              <w:rPr>
                <w:rFonts w:ascii="宋体" w:eastAsia="宋体" w:cs="Segoe UI"/>
                <w:b/>
                <w:bCs/>
                <w:color w:val="FFFFFF"/>
                <w:kern w:val="0"/>
                <w:sz w:val="24"/>
                <w:szCs w:val="24"/>
              </w:rPr>
              <w:t>初次就业平均月收入</w:t>
            </w:r>
          </w:p>
          <w:p>
            <w:pPr>
              <w:widowControl/>
              <w:snapToGrid w:val="0"/>
              <w:jc w:val="center"/>
              <w:rPr>
                <w:rFonts w:ascii="宋体" w:eastAsia="宋体" w:cs="Segoe UI"/>
                <w:b/>
                <w:bCs/>
                <w:color w:val="FFFFFF"/>
                <w:sz w:val="24"/>
                <w:szCs w:val="24"/>
              </w:rPr>
            </w:pPr>
            <w:r>
              <w:rPr>
                <w:rFonts w:ascii="宋体" w:eastAsia="宋体" w:cs="Segoe UI"/>
                <w:b/>
                <w:bCs/>
                <w:color w:val="FFFFFF"/>
                <w:kern w:val="0"/>
                <w:sz w:val="24"/>
                <w:szCs w:val="24"/>
              </w:rPr>
              <w:t>（元）</w:t>
            </w:r>
          </w:p>
        </w:tc>
        <w:tc>
          <w:tcPr>
            <w:tcW w:w="1034" w:type="dxa"/>
            <w:tcBorders>
              <w:top w:val="single" w:sz="4" w:space="0" w:color="auto"/>
              <w:left w:val="single" w:sz="4" w:space="0" w:color="auto"/>
              <w:bottom w:val="single" w:sz="4" w:space="0" w:color="auto"/>
              <w:right w:val="single" w:sz="4" w:space="0" w:color="auto"/>
            </w:tcBorders>
            <w:shd w:val="clear" w:color="auto" w:fill="0372AE"/>
            <w:noWrap/>
            <w:tcMar>
              <w:top w:w="180" w:type="dxa"/>
              <w:left w:w="108" w:type="dxa"/>
              <w:bottom w:w="180" w:type="dxa"/>
              <w:right w:w="108" w:type="dxa"/>
            </w:tcMar>
            <w:vAlign w:val="center"/>
          </w:tcPr>
          <w:p>
            <w:pPr>
              <w:widowControl/>
              <w:snapToGrid w:val="0"/>
              <w:jc w:val="center"/>
              <w:rPr>
                <w:rFonts w:ascii="宋体" w:eastAsia="宋体" w:cs="Segoe UI"/>
                <w:b/>
                <w:bCs/>
                <w:color w:val="FFFFFF"/>
                <w:kern w:val="0"/>
                <w:sz w:val="24"/>
                <w:szCs w:val="24"/>
              </w:rPr>
            </w:pPr>
            <w:r>
              <w:rPr>
                <w:rFonts w:ascii="宋体" w:eastAsia="宋体" w:cs="Segoe UI"/>
                <w:b/>
                <w:bCs/>
                <w:color w:val="FFFFFF"/>
                <w:kern w:val="0"/>
                <w:sz w:val="24"/>
                <w:szCs w:val="24"/>
              </w:rPr>
              <w:t>升学人数</w:t>
            </w:r>
          </w:p>
          <w:p>
            <w:pPr>
              <w:widowControl/>
              <w:snapToGrid w:val="0"/>
              <w:jc w:val="center"/>
              <w:rPr>
                <w:rFonts w:ascii="宋体" w:eastAsia="宋体" w:cs="Segoe UI"/>
                <w:b/>
                <w:bCs/>
                <w:color w:val="FFFFFF"/>
                <w:sz w:val="24"/>
                <w:szCs w:val="24"/>
              </w:rPr>
            </w:pPr>
            <w:r>
              <w:rPr>
                <w:rFonts w:ascii="宋体" w:eastAsia="宋体" w:cs="Segoe UI"/>
                <w:b/>
                <w:bCs/>
                <w:color w:val="FFFFFF"/>
                <w:kern w:val="0"/>
                <w:sz w:val="24"/>
                <w:szCs w:val="24"/>
              </w:rPr>
              <w:t>（人）</w:t>
            </w:r>
          </w:p>
        </w:tc>
        <w:tc>
          <w:tcPr>
            <w:tcW w:w="1011" w:type="dxa"/>
            <w:tcBorders>
              <w:top w:val="single" w:sz="4" w:space="0" w:color="auto"/>
              <w:left w:val="single" w:sz="4" w:space="0" w:color="auto"/>
              <w:bottom w:val="single" w:sz="4" w:space="0" w:color="auto"/>
              <w:right w:val="single" w:sz="4" w:space="0" w:color="auto"/>
            </w:tcBorders>
            <w:shd w:val="clear" w:color="auto" w:fill="0372AE"/>
            <w:noWrap/>
            <w:tcMar>
              <w:top w:w="180" w:type="dxa"/>
              <w:left w:w="108" w:type="dxa"/>
              <w:bottom w:w="180" w:type="dxa"/>
              <w:right w:w="108" w:type="dxa"/>
            </w:tcMar>
            <w:vAlign w:val="center"/>
          </w:tcPr>
          <w:p>
            <w:pPr>
              <w:widowControl/>
              <w:snapToGrid w:val="0"/>
              <w:jc w:val="center"/>
              <w:rPr>
                <w:rFonts w:ascii="宋体" w:eastAsia="宋体" w:cs="Segoe UI"/>
                <w:b/>
                <w:bCs/>
                <w:color w:val="FFFFFF"/>
                <w:kern w:val="0"/>
                <w:sz w:val="24"/>
                <w:szCs w:val="24"/>
              </w:rPr>
            </w:pPr>
            <w:r>
              <w:rPr>
                <w:rFonts w:ascii="宋体" w:eastAsia="宋体" w:cs="Segoe UI"/>
                <w:b/>
                <w:bCs/>
                <w:color w:val="FFFFFF"/>
                <w:kern w:val="0"/>
                <w:sz w:val="24"/>
                <w:szCs w:val="24"/>
              </w:rPr>
              <w:t>升学比例</w:t>
            </w:r>
          </w:p>
          <w:p>
            <w:pPr>
              <w:widowControl/>
              <w:snapToGrid w:val="0"/>
              <w:jc w:val="center"/>
              <w:rPr>
                <w:rFonts w:ascii="宋体" w:eastAsia="宋体" w:cs="Segoe UI"/>
                <w:b/>
                <w:bCs/>
                <w:color w:val="FFFFFF"/>
                <w:sz w:val="24"/>
                <w:szCs w:val="24"/>
              </w:rPr>
            </w:pPr>
            <w:r>
              <w:rPr>
                <w:rFonts w:ascii="宋体" w:eastAsia="宋体" w:cs="Segoe UI"/>
                <w:b/>
                <w:bCs/>
                <w:color w:val="FFFFFF"/>
                <w:kern w:val="0"/>
                <w:sz w:val="24"/>
                <w:szCs w:val="24"/>
              </w:rPr>
              <w:t>（%）</w:t>
            </w:r>
          </w:p>
        </w:tc>
        <w:tc>
          <w:tcPr>
            <w:tcW w:w="1011" w:type="dxa"/>
            <w:tcBorders>
              <w:top w:val="single" w:sz="4" w:space="0" w:color="auto"/>
              <w:left w:val="single" w:sz="4" w:space="0" w:color="auto"/>
              <w:bottom w:val="single" w:sz="4" w:space="0" w:color="auto"/>
              <w:right w:val="single" w:sz="4" w:space="0" w:color="auto"/>
            </w:tcBorders>
            <w:shd w:val="clear" w:color="auto" w:fill="0372AE"/>
            <w:noWrap/>
            <w:tcMar>
              <w:top w:w="180" w:type="dxa"/>
              <w:left w:w="108" w:type="dxa"/>
              <w:bottom w:w="180" w:type="dxa"/>
              <w:right w:w="108" w:type="dxa"/>
            </w:tcMar>
            <w:vAlign w:val="center"/>
          </w:tcPr>
          <w:p>
            <w:pPr>
              <w:widowControl/>
              <w:snapToGrid w:val="0"/>
              <w:jc w:val="center"/>
              <w:rPr>
                <w:rFonts w:ascii="宋体" w:eastAsia="宋体" w:cs="Segoe UI"/>
                <w:b/>
                <w:bCs/>
                <w:color w:val="FFFFFF"/>
                <w:kern w:val="0"/>
                <w:sz w:val="24"/>
                <w:szCs w:val="24"/>
              </w:rPr>
            </w:pPr>
            <w:r>
              <w:rPr>
                <w:rFonts w:ascii="宋体" w:eastAsia="宋体" w:cs="Segoe UI"/>
                <w:b/>
                <w:bCs/>
                <w:color w:val="FFFFFF"/>
                <w:kern w:val="0"/>
                <w:sz w:val="24"/>
                <w:szCs w:val="24"/>
              </w:rPr>
              <w:t>用人单位满意度</w:t>
            </w:r>
          </w:p>
          <w:p>
            <w:pPr>
              <w:widowControl/>
              <w:snapToGrid w:val="0"/>
              <w:jc w:val="center"/>
              <w:rPr>
                <w:rFonts w:ascii="宋体" w:eastAsia="宋体" w:cs="Segoe UI"/>
                <w:b/>
                <w:bCs/>
                <w:color w:val="FFFFFF"/>
                <w:sz w:val="24"/>
                <w:szCs w:val="24"/>
              </w:rPr>
            </w:pPr>
            <w:r>
              <w:rPr>
                <w:rFonts w:ascii="宋体" w:eastAsia="宋体" w:cs="Segoe UI"/>
                <w:b/>
                <w:bCs/>
                <w:color w:val="FFFFFF"/>
                <w:kern w:val="0"/>
                <w:sz w:val="24"/>
                <w:szCs w:val="24"/>
              </w:rPr>
              <w:t>（%）</w:t>
            </w:r>
          </w:p>
        </w:tc>
      </w:tr>
      <w:tr>
        <w:trPr>
          <w:trHeight w:val="399"/>
        </w:trPr>
        <w:tc>
          <w:tcPr>
            <w:tcW w:w="1800"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hint="eastAsia"/>
                <w:color w:val="000000"/>
                <w:kern w:val="0"/>
                <w:sz w:val="24"/>
                <w:szCs w:val="24"/>
              </w:rPr>
              <w:t>永州工商职中</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2698</w:t>
            </w:r>
          </w:p>
        </w:tc>
        <w:tc>
          <w:tcPr>
            <w:tcW w:w="842"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100</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92.56</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4000+</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1202</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44.6</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96.2</w:t>
            </w:r>
          </w:p>
        </w:tc>
      </w:tr>
      <w:tr>
        <w:trPr>
          <w:trHeight w:val="211"/>
        </w:trPr>
        <w:tc>
          <w:tcPr>
            <w:tcW w:w="1800"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hint="eastAsia"/>
                <w:color w:val="000000"/>
                <w:kern w:val="0"/>
                <w:sz w:val="24"/>
                <w:szCs w:val="24"/>
              </w:rPr>
              <w:t>江华职中</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1839</w:t>
            </w:r>
          </w:p>
        </w:tc>
        <w:tc>
          <w:tcPr>
            <w:tcW w:w="842"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97.06</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hint="eastAsia"/>
                <w:color w:val="000000"/>
                <w:kern w:val="0"/>
                <w:sz w:val="24"/>
                <w:szCs w:val="24"/>
              </w:rPr>
              <w:t>45</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3182</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767</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41.7</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97.06</w:t>
            </w:r>
          </w:p>
        </w:tc>
      </w:tr>
      <w:tr>
        <w:trPr>
          <w:trHeight w:val="25"/>
        </w:trPr>
        <w:tc>
          <w:tcPr>
            <w:tcW w:w="1800"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hint="eastAsia"/>
                <w:color w:val="000000"/>
                <w:kern w:val="0"/>
                <w:sz w:val="24"/>
                <w:szCs w:val="24"/>
              </w:rPr>
              <w:t>东安职中</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1612</w:t>
            </w:r>
          </w:p>
        </w:tc>
        <w:tc>
          <w:tcPr>
            <w:tcW w:w="842"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82.98</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35.4</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3711</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551</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34.2</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94.77</w:t>
            </w:r>
          </w:p>
        </w:tc>
      </w:tr>
      <w:tr>
        <w:trPr>
          <w:trHeight w:val="258"/>
        </w:trPr>
        <w:tc>
          <w:tcPr>
            <w:tcW w:w="1800"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hint="eastAsia"/>
                <w:color w:val="000000"/>
                <w:kern w:val="0"/>
                <w:sz w:val="24"/>
                <w:szCs w:val="24"/>
              </w:rPr>
              <w:t>蓝山职中</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850</w:t>
            </w:r>
          </w:p>
        </w:tc>
        <w:tc>
          <w:tcPr>
            <w:tcW w:w="842"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100</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88+</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55</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3800+</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320</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37.6</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96</w:t>
            </w:r>
          </w:p>
        </w:tc>
      </w:tr>
      <w:tr>
        <w:trPr>
          <w:trHeight w:val="155"/>
        </w:trPr>
        <w:tc>
          <w:tcPr>
            <w:tcW w:w="1800"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hint="eastAsia"/>
                <w:color w:val="000000"/>
                <w:kern w:val="0"/>
                <w:sz w:val="24"/>
                <w:szCs w:val="24"/>
              </w:rPr>
              <w:t>祁阳职中</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3973</w:t>
            </w:r>
          </w:p>
        </w:tc>
        <w:tc>
          <w:tcPr>
            <w:tcW w:w="842"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98.8</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hint="eastAsia"/>
                <w:color w:val="000000"/>
                <w:sz w:val="24"/>
                <w:szCs w:val="24"/>
              </w:rPr>
              <w:t>50</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4322</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2503</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63.0</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sz w:val="24"/>
                <w:szCs w:val="24"/>
                <w:shd w:val="clear" w:color="auto" w:fill="FFFFFF"/>
              </w:rPr>
              <w:t>95%+</w:t>
            </w:r>
          </w:p>
        </w:tc>
      </w:tr>
      <w:tr>
        <w:trPr>
          <w:trHeight w:val="31"/>
        </w:trPr>
        <w:tc>
          <w:tcPr>
            <w:tcW w:w="1800"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kern w:val="0"/>
                <w:sz w:val="24"/>
                <w:szCs w:val="24"/>
              </w:rPr>
            </w:pPr>
            <w:r>
              <w:rPr>
                <w:rFonts w:ascii="宋体" w:eastAsia="宋体" w:cs="Segoe UI" w:hint="eastAsia"/>
                <w:color w:val="000000"/>
                <w:kern w:val="0"/>
                <w:sz w:val="24"/>
                <w:szCs w:val="24"/>
              </w:rPr>
              <w:t>宁远职中</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2353</w:t>
            </w:r>
          </w:p>
        </w:tc>
        <w:tc>
          <w:tcPr>
            <w:tcW w:w="842"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3500</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kern w:val="0"/>
                <w:sz w:val="24"/>
                <w:szCs w:val="24"/>
              </w:rPr>
            </w:pPr>
            <w:r>
              <w:rPr>
                <w:rFonts w:ascii="宋体" w:eastAsia="宋体" w:cs="Segoe UI"/>
                <w:color w:val="000000"/>
                <w:kern w:val="0"/>
                <w:sz w:val="24"/>
                <w:szCs w:val="24"/>
              </w:rPr>
              <w:t>106</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sz w:val="24"/>
                <w:szCs w:val="24"/>
              </w:rPr>
            </w:pPr>
            <w:r>
              <w:rPr>
                <w:rFonts w:ascii="宋体" w:eastAsia="宋体" w:cs="Segoe UI"/>
                <w:color w:val="000000"/>
                <w:kern w:val="0"/>
                <w:sz w:val="24"/>
                <w:szCs w:val="24"/>
              </w:rPr>
              <w:t>/</w:t>
            </w:r>
          </w:p>
        </w:tc>
      </w:tr>
      <w:tr>
        <w:trPr>
          <w:trHeight w:val="139"/>
        </w:trPr>
        <w:tc>
          <w:tcPr>
            <w:tcW w:w="1800"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kern w:val="0"/>
                <w:sz w:val="24"/>
                <w:szCs w:val="24"/>
              </w:rPr>
            </w:pPr>
            <w:r>
              <w:rPr>
                <w:rFonts w:ascii="宋体" w:eastAsia="宋体" w:cs="Segoe UI" w:hint="eastAsia"/>
                <w:color w:val="000000"/>
                <w:kern w:val="0"/>
                <w:sz w:val="24"/>
                <w:szCs w:val="24"/>
              </w:rPr>
              <w:t>永州综职</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kern w:val="0"/>
                <w:sz w:val="24"/>
                <w:szCs w:val="24"/>
              </w:rPr>
            </w:pPr>
            <w:r>
              <w:rPr>
                <w:rFonts w:ascii="宋体" w:eastAsia="宋体" w:cs="Segoe UI" w:hint="eastAsia"/>
                <w:color w:val="000000"/>
                <w:kern w:val="0"/>
                <w:sz w:val="24"/>
                <w:szCs w:val="24"/>
              </w:rPr>
              <w:t>\</w:t>
            </w:r>
          </w:p>
        </w:tc>
        <w:tc>
          <w:tcPr>
            <w:tcW w:w="842"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kern w:val="0"/>
                <w:sz w:val="24"/>
                <w:szCs w:val="24"/>
              </w:rPr>
            </w:pPr>
            <w:r>
              <w:rPr>
                <w:rFonts w:ascii="宋体" w:eastAsia="宋体" w:cs="Segoe UI"/>
                <w:color w:val="000000"/>
                <w:kern w:val="0"/>
                <w:sz w:val="24"/>
                <w:szCs w:val="24"/>
              </w:rPr>
              <w:t>100</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kern w:val="0"/>
                <w:sz w:val="24"/>
                <w:szCs w:val="24"/>
              </w:rPr>
            </w:pPr>
            <w:r>
              <w:rPr>
                <w:rFonts w:ascii="宋体" w:eastAsia="宋体" w:cs="Segoe UI" w:hint="eastAsia"/>
                <w:color w:val="000000"/>
                <w:kern w:val="0"/>
                <w:sz w:val="24"/>
                <w:szCs w:val="24"/>
              </w:rPr>
              <w:t>93.1</w:t>
            </w: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kern w:val="0"/>
                <w:sz w:val="24"/>
                <w:szCs w:val="24"/>
              </w:rPr>
            </w:pPr>
            <w:r>
              <w:rPr>
                <w:rFonts w:ascii="宋体" w:eastAsia="宋体" w:cs="Segoe UI" w:hint="eastAsia"/>
                <w:color w:val="000000"/>
                <w:kern w:val="0"/>
                <w:sz w:val="24"/>
                <w:szCs w:val="24"/>
              </w:rPr>
              <w:t>44</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kern w:val="0"/>
                <w:sz w:val="24"/>
                <w:szCs w:val="24"/>
              </w:rPr>
            </w:pPr>
            <w:r>
              <w:rPr>
                <w:rFonts w:ascii="宋体" w:eastAsia="宋体" w:cs="Segoe UI" w:hint="eastAsia"/>
                <w:color w:val="000000"/>
                <w:kern w:val="0"/>
                <w:sz w:val="24"/>
                <w:szCs w:val="24"/>
              </w:rPr>
              <w:t>3900+</w:t>
            </w:r>
          </w:p>
        </w:tc>
        <w:tc>
          <w:tcPr>
            <w:tcW w:w="1034"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kern w:val="0"/>
                <w:sz w:val="24"/>
                <w:szCs w:val="24"/>
              </w:rPr>
            </w:pP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kern w:val="0"/>
                <w:sz w:val="24"/>
                <w:szCs w:val="24"/>
              </w:rPr>
            </w:pPr>
          </w:p>
        </w:tc>
        <w:tc>
          <w:tcPr>
            <w:tcW w:w="1011" w:type="dxa"/>
            <w:tcBorders>
              <w:top w:val="single" w:sz="4" w:space="0" w:color="auto"/>
              <w:left w:val="single" w:sz="4" w:space="0" w:color="auto"/>
              <w:bottom w:val="single" w:sz="4" w:space="0" w:color="auto"/>
              <w:right w:val="single" w:sz="4" w:space="0" w:color="auto"/>
            </w:tcBorders>
            <w:shd w:val="clear" w:color="auto" w:fill="FFFFFF"/>
            <w:noWrap/>
            <w:tcMar>
              <w:top w:w="180" w:type="dxa"/>
              <w:left w:w="108" w:type="dxa"/>
              <w:bottom w:w="180" w:type="dxa"/>
              <w:right w:w="108" w:type="dxa"/>
            </w:tcMar>
            <w:vAlign w:val="center"/>
          </w:tcPr>
          <w:p>
            <w:pPr>
              <w:widowControl/>
              <w:snapToGrid w:val="0"/>
              <w:jc w:val="center"/>
              <w:rPr>
                <w:rFonts w:ascii="宋体" w:eastAsia="宋体" w:cs="Segoe UI"/>
                <w:color w:val="000000"/>
                <w:kern w:val="0"/>
                <w:sz w:val="24"/>
                <w:szCs w:val="24"/>
              </w:rPr>
            </w:pPr>
            <w:r>
              <w:rPr>
                <w:rFonts w:ascii="宋体" w:eastAsia="宋体" w:cs="Segoe UI" w:hint="eastAsia"/>
                <w:color w:val="000000"/>
                <w:kern w:val="0"/>
                <w:sz w:val="24"/>
                <w:szCs w:val="24"/>
              </w:rPr>
              <w:t>94%</w:t>
            </w:r>
          </w:p>
        </w:tc>
      </w:tr>
    </w:tbl>
    <w:p>
      <w:pPr>
        <w:pStyle w:val="15"/>
        <w:ind w:firstLineChars="0" w:firstLine="0"/>
        <w:jc w:val="left"/>
        <w:rPr>
          <w:rFonts w:ascii="宋体" w:eastAsia="宋体"/>
          <w:spacing w:val="0"/>
          <w:sz w:val="21"/>
          <w:szCs w:val="21"/>
        </w:rPr>
      </w:pPr>
      <w:r>
        <w:rPr>
          <w:rFonts w:ascii="宋体" w:eastAsia="宋体"/>
          <w:spacing w:val="0"/>
          <w:sz w:val="21"/>
          <w:szCs w:val="21"/>
        </w:rPr>
        <w:t>（</w:t>
      </w:r>
      <w:r>
        <w:rPr>
          <w:rFonts w:ascii="宋体" w:eastAsia="宋体" w:hint="eastAsia"/>
          <w:spacing w:val="0"/>
          <w:sz w:val="21"/>
          <w:szCs w:val="21"/>
        </w:rPr>
        <w:t>注：以上</w:t>
      </w:r>
      <w:r>
        <w:rPr>
          <w:rFonts w:ascii="宋体" w:eastAsia="宋体"/>
          <w:spacing w:val="0"/>
          <w:sz w:val="21"/>
          <w:szCs w:val="21"/>
        </w:rPr>
        <w:t>数据来</w:t>
      </w:r>
      <w:r>
        <w:rPr>
          <w:rFonts w:ascii="宋体" w:eastAsia="宋体" w:hint="eastAsia"/>
          <w:spacing w:val="0"/>
          <w:sz w:val="21"/>
          <w:szCs w:val="21"/>
        </w:rPr>
        <w:t>自</w:t>
      </w:r>
      <w:r>
        <w:rPr>
          <w:rFonts w:ascii="宋体" w:eastAsia="宋体"/>
          <w:spacing w:val="0"/>
          <w:sz w:val="21"/>
          <w:szCs w:val="21"/>
        </w:rPr>
        <w:t>各学校毕业生跟踪调查报告， 2025年）</w:t>
      </w:r>
    </w:p>
    <w:p>
      <w:pPr>
        <w:pStyle w:val="15"/>
        <w:ind w:firstLineChars="0" w:firstLine="0"/>
        <w:jc w:val="left"/>
        <w:rPr>
          <w:rFonts w:ascii="宋体" w:eastAsia="宋体"/>
          <w:spacing w:val="0"/>
          <w:sz w:val="21"/>
          <w:szCs w:val="21"/>
        </w:rPr>
      </w:pPr>
    </w:p>
    <w:tbl>
      <w:tblPr>
        <w:jc w:val="left"/>
        <w:tblInd w:w="0" w:type="dx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5000" w:type="pct"/>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47" w:name="_Toc218688684"/>
            <w:r>
              <w:rPr>
                <w:rFonts w:ascii="仿宋_GB2312" w:cs="仿宋_GB2312" w:hint="eastAsia"/>
                <w:b/>
                <w:bCs/>
                <w:color w:val="FFFFFF"/>
                <w:sz w:val="32"/>
                <w:szCs w:val="32"/>
              </w:rPr>
              <w:t>案例</w:t>
            </w:r>
            <w:r>
              <w:rPr>
                <w:rFonts w:ascii="仿宋_GB2312" w:cs="仿宋_GB2312"/>
                <w:b/>
                <w:bCs/>
                <w:color w:val="FFFFFF"/>
                <w:sz w:val="32"/>
                <w:szCs w:val="32"/>
              </w:rPr>
              <w:t>2-8：</w:t>
            </w:r>
            <w:r>
              <w:rPr>
                <w:rFonts w:ascii="仿宋_GB2312" w:cs="仿宋_GB2312" w:hint="eastAsia"/>
                <w:b/>
                <w:bCs/>
                <w:color w:val="FFFFFF"/>
                <w:sz w:val="32"/>
                <w:szCs w:val="32"/>
              </w:rPr>
              <w:t>祁阳职中——“三维跟踪</w:t>
            </w:r>
            <w:r>
              <w:rPr>
                <w:rFonts w:ascii="仿宋_GB2312" w:cs="仿宋_GB2312"/>
                <w:b/>
                <w:bCs/>
                <w:color w:val="FFFFFF"/>
                <w:sz w:val="32"/>
                <w:szCs w:val="32"/>
              </w:rPr>
              <w:t>+产教融合”</w:t>
            </w:r>
            <w:r>
              <w:rPr>
                <w:rFonts w:ascii="仿宋_GB2312" w:cs="仿宋_GB2312" w:hint="eastAsia"/>
                <w:b/>
                <w:bCs/>
                <w:color w:val="FFFFFF"/>
                <w:sz w:val="32"/>
                <w:szCs w:val="32"/>
              </w:rPr>
              <w:t>提升毕业生就业质量</w:t>
            </w:r>
            <w:bookmarkEnd w:id="47"/>
          </w:p>
        </w:tc>
      </w:tr>
      <w:tr>
        <w:tc>
          <w:tcPr>
            <w:tcW w:w="5000" w:type="pct"/>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祁阳市职业中专创新实施“专业与产业、教室与车间、育人与育才”三合一模式，搭配“全程跟踪、精准反馈、动态优化”的毕业生质量保障体系，实现人才培养与市场需求同频共振。学校与湖南稳羿电子、科力尔电机、永州市浯溪农业开发有限公司等</w:t>
            </w:r>
            <w:r>
              <w:rPr>
                <w:rFonts w:ascii="宋体" w:eastAsia="宋体" w:cs="仿宋_GB2312"/>
                <w:color w:val="0F1115"/>
                <w:sz w:val="28"/>
                <w:szCs w:val="28"/>
              </w:rPr>
              <w:t>13家企业深度合作，开设工业机器人、数控、电子商务等6个重点专业，共建72个实训基地、3512个实训工位。</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毕业生跟踪方面，通过“企业走访</w:t>
            </w:r>
            <w:r>
              <w:rPr>
                <w:rFonts w:ascii="宋体" w:eastAsia="宋体" w:cs="仿宋_GB2312"/>
                <w:color w:val="0F1115"/>
                <w:sz w:val="28"/>
                <w:szCs w:val="28"/>
              </w:rPr>
              <w:t>+线上问卷+校友座谈”三维方式，对2025届3973名毕业生开展为期1年的跟踪调研，核心指标覆盖就业适配度、技能应用、职业发展等12项内容。数据显示，毕业生升学2503人，本科升学率达18.9%；直接就业学生中专业对口就业率98.8%，初次就业平均月收入4322元，用人单位满意度连续3年保持95%以上。</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针对企业反馈的“创新能力需强化”等建议，学校及时优化课程体系，增设《岗位创新思维训练》《工业机器人新技术应用》等课程，推行“</w:t>
            </w:r>
            <w:r>
              <w:rPr>
                <w:rFonts w:ascii="宋体" w:eastAsia="宋体" w:cs="仿宋_GB2312"/>
                <w:color w:val="0F1115"/>
                <w:sz w:val="28"/>
                <w:szCs w:val="28"/>
              </w:rPr>
              <w:t>321”现代学徒制（3天跟岗实践+2天文化学习+1天企业管理课程）。同时邀请30余名优秀毕业生回校担任创业就业讲师，开展专题培训30余次，形成“培养－就业－反馈－优化”的良性闭环，每年为县域及周边产业输送技术人才3400余人。</w:t>
            </w:r>
          </w:p>
        </w:tc>
      </w:tr>
    </w:tbl>
    <w:p>
      <w:pPr>
        <w:pStyle w:val="23"/>
        <w:shd w:val="clear" w:color="auto" w:fill="FFFFFF"/>
        <w:rPr>
          <w:rFonts w:ascii="仿宋_GB2312" w:cs="仿宋_GB2312"/>
          <w:b/>
          <w:bCs/>
          <w:color w:val="0F1115"/>
          <w:sz w:val="32"/>
          <w:szCs w:val="32"/>
          <w:shd w:val="clear" w:color="auto" w:fill="FFFFFF"/>
        </w:rPr>
      </w:pPr>
    </w:p>
    <w:p>
      <w:pPr>
        <w:pStyle w:val="23"/>
        <w:shd w:val="clear" w:color="auto" w:fill="FFFFFF"/>
        <w:rPr>
          <w:rFonts w:ascii="仿宋_GB2312" w:cs="仿宋_GB2312"/>
          <w:b/>
          <w:bCs/>
          <w:color w:val="0F1115"/>
          <w:sz w:val="32"/>
          <w:szCs w:val="32"/>
          <w:shd w:val="clear" w:color="auto" w:fill="FFFFFF"/>
        </w:rPr>
      </w:pPr>
      <w:r>
        <w:rPr>
          <w:rFonts w:ascii="仿宋_GB2312" w:cs="仿宋_GB2312"/>
          <w:b/>
          <w:bCs/>
          <w:color w:val="0F1115"/>
          <w:sz w:val="32"/>
          <w:szCs w:val="32"/>
          <w:shd w:val="clear" w:color="auto" w:fill="FFFFFF"/>
        </w:rPr>
        <w:t>2.</w:t>
      </w:r>
      <w:r>
        <w:rPr>
          <w:rFonts w:ascii="仿宋_GB2312" w:cs="仿宋_GB2312" w:hint="eastAsia"/>
          <w:b/>
          <w:bCs/>
          <w:color w:val="0F1115"/>
          <w:sz w:val="32"/>
          <w:szCs w:val="32"/>
          <w:shd w:val="clear" w:color="auto" w:fill="FFFFFF"/>
        </w:rPr>
        <w:t>7</w:t>
      </w:r>
      <w:r>
        <w:rPr>
          <w:rFonts w:ascii="仿宋_GB2312" w:cs="仿宋_GB2312"/>
          <w:b/>
          <w:bCs/>
          <w:color w:val="0F1115"/>
          <w:sz w:val="32"/>
          <w:szCs w:val="32"/>
          <w:shd w:val="clear" w:color="auto" w:fill="FFFFFF"/>
        </w:rPr>
        <w:t>.3 质量稳步提高，满意普遍提升</w:t>
      </w:r>
    </w:p>
    <w:p>
      <w:pPr>
        <w:rPr>
          <w:rFonts w:eastAsia="仿宋_GB2312"/>
        </w:rPr>
      </w:pPr>
      <w:r>
        <w:rPr>
          <w:rFonts w:eastAsia="仿宋_GB2312" w:hint="eastAsia"/>
        </w:rPr>
        <w:drawing>
          <wp:inline distT="0" distB="0" distL="114300" distR="114300">
            <wp:extent cx="5509260" cy="2943225"/>
            <wp:effectExtent l="0" t="0" r="11" b="45"/>
            <wp:docPr id="38" name="图片 15" descr="未命名图表 (3)"/>
            <wp:cNvGraphicFramePr>
              <a:graphicFrameLocks noChangeAspect="1"/>
            </wp:cNvGraphicFramePr>
            <a:graphic>
              <a:graphicData uri="http://schemas.openxmlformats.org/drawingml/2006/picture">
                <pic:pic>
                  <pic:nvPicPr>
                    <pic:cNvPr id="40" name="图片 15 40"/>
                    <pic:cNvPicPr/>
                  </pic:nvPicPr>
                  <pic:blipFill>
                    <a:blip r:embed="rId20">
                      <a:lum bright="-12000" contrast="12000"/>
                    </a:blip>
                    <a:srcRect t="9171" b="-2238" l="881" r="7595"/>
                    <a:stretch>
                      <a:fillRect/>
                    </a:stretch>
                  </pic:blipFill>
                  <pic:spPr>
                    <a:xfrm rot="0">
                      <a:off x="0" y="0"/>
                      <a:ext cx="5509260" cy="2943225"/>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宋体" w:eastAsia="宋体"/>
          <w:b/>
          <w:bCs/>
          <w:kern w:val="0"/>
        </w:rPr>
      </w:pPr>
      <w:bookmarkStart w:id="48" w:name="_Toc218688632"/>
      <w:r>
        <w:rPr>
          <w:rFonts w:ascii="宋体" w:eastAsia="宋体"/>
          <w:b/>
          <w:bCs/>
          <w:kern w:val="0"/>
        </w:rPr>
        <w:t>图2-</w:t>
      </w:r>
      <w:r>
        <w:rPr>
          <w:rFonts w:ascii="宋体" w:eastAsia="宋体" w:hint="eastAsia"/>
          <w:b/>
          <w:bCs/>
          <w:kern w:val="0"/>
        </w:rPr>
        <w:t xml:space="preserve">8 </w:t>
      </w:r>
      <w:r>
        <w:rPr>
          <w:rFonts w:ascii="宋体" w:eastAsia="宋体"/>
          <w:b/>
          <w:bCs/>
          <w:kern w:val="0"/>
        </w:rPr>
        <w:t>2025年人才培养关键成效一览</w:t>
      </w:r>
      <w:bookmarkEnd w:id="48"/>
    </w:p>
    <w:p>
      <w:pPr>
        <w:pStyle w:val="15"/>
        <w:ind w:firstLineChars="0" w:firstLine="0"/>
        <w:jc w:val="left"/>
        <w:rPr>
          <w:rFonts w:ascii="宋体" w:eastAsia="宋体"/>
          <w:spacing w:val="0"/>
          <w:sz w:val="21"/>
          <w:szCs w:val="21"/>
        </w:rPr>
      </w:pPr>
      <w:r>
        <w:rPr>
          <w:rFonts w:ascii="宋体" w:eastAsia="宋体"/>
          <w:spacing w:val="0"/>
          <w:sz w:val="21"/>
          <w:szCs w:val="21"/>
        </w:rPr>
        <w:t>（</w:t>
      </w:r>
      <w:r>
        <w:rPr>
          <w:rFonts w:ascii="宋体" w:eastAsia="宋体" w:hint="eastAsia"/>
          <w:spacing w:val="0"/>
          <w:sz w:val="21"/>
          <w:szCs w:val="21"/>
        </w:rPr>
        <w:t>注：以上</w:t>
      </w:r>
      <w:r>
        <w:rPr>
          <w:rFonts w:ascii="宋体" w:eastAsia="宋体"/>
          <w:spacing w:val="0"/>
          <w:sz w:val="21"/>
          <w:szCs w:val="21"/>
        </w:rPr>
        <w:t>数据来</w:t>
      </w:r>
      <w:r>
        <w:rPr>
          <w:rFonts w:ascii="宋体" w:eastAsia="宋体" w:hint="eastAsia"/>
          <w:spacing w:val="0"/>
          <w:sz w:val="21"/>
          <w:szCs w:val="21"/>
        </w:rPr>
        <w:t>自永州市教育局职成科汇总</w:t>
      </w:r>
      <w:r>
        <w:rPr>
          <w:rFonts w:ascii="宋体" w:eastAsia="宋体"/>
          <w:spacing w:val="0"/>
          <w:sz w:val="21"/>
          <w:szCs w:val="21"/>
        </w:rPr>
        <w:t>，2025年）</w:t>
      </w:r>
    </w:p>
    <w:p>
      <w:pPr>
        <w:pStyle w:val="15"/>
        <w:rPr>
          <w:rFonts w:ascii="仿宋_GB2312"/>
        </w:rPr>
      </w:pPr>
      <w:r>
        <w:rPr>
          <w:rFonts w:ascii="仿宋_GB2312" w:hint="eastAsia"/>
        </w:rPr>
        <w:t>祁阳职中等校的跟踪反馈机制，是保障毕业生高质量就业的关键。汇总各校核心跟踪数据，2025年全市毕业生培养质量呈现以下整体特征：根据毕业生质量跟踪核心数据（见表2-3、图2-8），2025年，全市中职学校毕业生平均就业率99.5%，平均对口就业率88%，</w:t>
      </w:r>
      <w:r>
        <w:rPr>
          <w:rFonts w:ascii="仿宋_GB2312" w:hint="eastAsia"/>
          <w:color w:val="00B0F0"/>
          <w:u w:val="single"/>
        </w:rPr>
        <w:t>平均本地就业率</w:t>
      </w:r>
      <w:r>
        <w:rPr>
          <w:rFonts w:ascii="仿宋_GB2312" w:hint="eastAsia"/>
          <w:color w:val="00B0F0"/>
          <w:u w:val="single"/>
          <w:lang w:val="en-US" w:eastAsia="zh-CN"/>
        </w:rPr>
        <w:t>突破50</w:t>
      </w:r>
      <w:r>
        <w:rPr>
          <w:rFonts w:ascii="仿宋_GB2312" w:hint="eastAsia"/>
          <w:color w:val="00B0F0"/>
          <w:u w:val="single"/>
        </w:rPr>
        <w:t>%</w:t>
      </w:r>
      <w:r>
        <w:rPr>
          <w:rFonts w:ascii="仿宋_GB2312" w:hint="eastAsia"/>
        </w:rPr>
        <w:t>，用人单位平均满意度95%以上，实现“就业有优势、升学有通道”的培养目标。</w:t>
      </w:r>
    </w:p>
    <w:p>
      <w:pPr>
        <w:pStyle w:val="1"/>
        <w:spacing w:beforeLines="50" w:before="156" w:afterLines="50" w:after="156" w:line="520" w:lineRule="exact"/>
        <w:ind w:firstLineChars="200" w:firstLine="640"/>
        <w:rPr>
          <w:rFonts w:ascii="黑体" w:eastAsia="黑体"/>
          <w:b w:val="0"/>
          <w:bCs w:val="0"/>
          <w:sz w:val="32"/>
          <w:szCs w:val="32"/>
          <w:shd w:val="clear" w:color="auto" w:fill="FFFFFF"/>
        </w:rPr>
      </w:pPr>
      <w:bookmarkStart w:id="49" w:name="_Toc218688921"/>
      <w:bookmarkStart w:id="50" w:name="_Toc218617428"/>
      <w:r>
        <w:rPr>
          <w:rFonts w:ascii="黑体" w:eastAsia="黑体" w:hint="eastAsia"/>
          <w:b w:val="0"/>
          <w:bCs w:val="0"/>
          <w:sz w:val="32"/>
          <w:szCs w:val="32"/>
          <w:shd w:val="clear" w:color="auto" w:fill="FFFFFF"/>
        </w:rPr>
        <w:t>3</w:t>
      </w:r>
      <w:r>
        <w:rPr>
          <w:rFonts w:ascii="黑体" w:eastAsia="黑体"/>
          <w:b w:val="0"/>
          <w:bCs w:val="0"/>
          <w:sz w:val="32"/>
          <w:szCs w:val="32"/>
          <w:shd w:val="clear" w:color="auto" w:fill="FFFFFF"/>
        </w:rPr>
        <w:t xml:space="preserve">. </w:t>
      </w:r>
      <w:r>
        <w:rPr>
          <w:rFonts w:ascii="黑体" w:eastAsia="黑体" w:hint="eastAsia"/>
          <w:b w:val="0"/>
          <w:bCs w:val="0"/>
          <w:sz w:val="32"/>
          <w:szCs w:val="32"/>
          <w:shd w:val="clear" w:color="auto" w:fill="FFFFFF"/>
        </w:rPr>
        <w:t>服务贡献</w:t>
      </w:r>
      <w:bookmarkEnd w:id="49"/>
      <w:bookmarkEnd w:id="50"/>
    </w:p>
    <w:p>
      <w:pPr>
        <w:pStyle w:val="15"/>
        <w:rPr>
          <w:rFonts w:ascii="仿宋_GB2312"/>
        </w:rPr>
      </w:pPr>
      <w:r>
        <w:rPr>
          <w:rFonts w:ascii="仿宋_GB2312" w:hint="eastAsia"/>
        </w:rPr>
        <w:t>2025年，永州市教育局指导全市中职学校紧扣区域产业发展、乡村振兴战略及社会民生需求，深化产教融合、校地协同，在人才输送、乡村振兴、社区服务、校校帮扶及中小企业赋能等方面精准发力，服务贡献质量持续提升，为地方经济社会高质量发展注入强劲职教动能。</w:t>
      </w:r>
    </w:p>
    <w:p>
      <w:pPr>
        <w:pStyle w:val="2"/>
        <w:spacing w:before="0" w:after="0" w:line="560" w:lineRule="exact"/>
        <w:ind w:firstLineChars="200" w:firstLine="640"/>
        <w:rPr>
          <w:rFonts w:ascii="楷体" w:eastAsia="楷体"/>
          <w:shd w:val="clear" w:color="auto" w:fill="FFFFFF"/>
        </w:rPr>
      </w:pPr>
      <w:bookmarkStart w:id="51" w:name="_Toc218688922"/>
      <w:r>
        <w:rPr>
          <w:rFonts w:ascii="楷体" w:eastAsia="楷体" w:hint="eastAsia"/>
          <w:shd w:val="clear" w:color="auto" w:fill="FFFFFF"/>
        </w:rPr>
        <w:t>3.1本地产业人才输送</w:t>
      </w:r>
      <w:bookmarkEnd w:id="51"/>
    </w:p>
    <w:p>
      <w:pPr>
        <w:pStyle w:val="15"/>
        <w:rPr>
          <w:rFonts w:ascii="仿宋_GB2312"/>
        </w:rPr>
      </w:pPr>
      <w:r>
        <w:rPr>
          <w:rFonts w:ascii="仿宋_GB2312" w:hint="eastAsia"/>
        </w:rPr>
        <w:t>2025年，永州市教育行政部门深入贯彻产教融合发展战略，统筹职业院校精准对接区域产业需求，通过深化校企合作、推广订单培养、优化实习就业对接三大路径，全面强化技术技能人才本地化供给能力。面向零陵高新产业园区等重点载体，系统开展装备制造、智能制造等领域专项培训，累计完成车工、汽车维修、工业机器人运维等紧缺工种培训超4000人次。创新"招生即招工、入校即入企"培养模式，</w:t>
      </w:r>
      <w:r>
        <w:rPr>
          <w:rFonts w:ascii="仿宋_GB2312" w:hint="eastAsia"/>
          <w:color w:val="00B0F0"/>
          <w:u w:val="single"/>
        </w:rPr>
        <w:t>全年向本地企业定向输送技术技能人才超</w:t>
      </w:r>
      <w:r>
        <w:rPr>
          <w:rFonts w:ascii="仿宋_GB2312" w:hint="eastAsia"/>
          <w:color w:val="00B0F0"/>
          <w:u w:val="single"/>
          <w:lang w:val="en-US" w:eastAsia="zh-CN"/>
        </w:rPr>
        <w:t>8000</w:t>
      </w:r>
      <w:r>
        <w:rPr>
          <w:rFonts w:ascii="仿宋_GB2312" w:hint="eastAsia"/>
          <w:color w:val="00B0F0"/>
          <w:u w:val="single"/>
        </w:rPr>
        <w:t>人。</w:t>
      </w:r>
      <w:r>
        <w:rPr>
          <w:rFonts w:ascii="仿宋_GB2312" w:hint="eastAsia"/>
        </w:rPr>
        <w:t>其中，重点产业园区企业接收毕业生比例显著提升，本地就业率突破50%。</w:t>
      </w:r>
    </w:p>
    <w:p>
      <w:pPr>
        <w:pStyle w:val="15"/>
        <w:spacing w:line="240" w:lineRule="auto"/>
        <w:rPr>
          <w:rFonts w:ascii="方正仿宋_GB2312" w:hAnsi="方正仿宋_GB2312"/>
        </w:rPr>
      </w:pPr>
      <w:r>
        <w:rPr>
          <w:rFonts w:ascii="方正仿宋_GB2312" w:hAnsi="方正仿宋_GB2312" w:hint="eastAsia"/>
        </w:rPr>
        <w:drawing>
          <wp:inline distT="0" distB="0" distL="0" distR="0">
            <wp:extent cx="4090668" cy="2226945"/>
            <wp:effectExtent l="0" t="0" r="29" b="34"/>
            <wp:docPr id="41" name="图片 18" descr="1767612948448"/>
            <wp:cNvGraphicFramePr>
              <a:graphicFrameLocks noChangeAspect="1"/>
            </wp:cNvGraphicFramePr>
            <a:graphic>
              <a:graphicData uri="http://schemas.openxmlformats.org/drawingml/2006/picture">
                <pic:pic>
                  <pic:nvPicPr>
                    <pic:cNvPr id="43" name="图片 18 43"/>
                    <pic:cNvPicPr/>
                  </pic:nvPicPr>
                  <pic:blipFill>
                    <a:blip r:embed="rId21"/>
                    <a:srcRect t="15631" b="7360"/>
                    <a:stretch>
                      <a:fillRect/>
                    </a:stretch>
                  </pic:blipFill>
                  <pic:spPr>
                    <a:xfrm rot="0">
                      <a:off x="0" y="0"/>
                      <a:ext cx="4090668" cy="2226945"/>
                    </a:xfrm>
                    <a:prstGeom prst="rect"/>
                    <a:noFill/>
                    <a:ln w="9525" cmpd="sng" cap="flat">
                      <a:noFill/>
                      <a:prstDash val="solid"/>
                      <a:round/>
                    </a:ln>
                  </pic:spPr>
                </pic:pic>
              </a:graphicData>
            </a:graphic>
          </wp:inline>
        </w:drawing>
      </w:r>
      <w:r>
        <w:rPr>
          <w:rFonts w:ascii="方正仿宋_GB2312" w:hAnsi="方正仿宋_GB2312" w:hint="eastAsia"/>
        </w:rPr>
        <w:t xml:space="preserve"> </w:t>
      </w:r>
    </w:p>
    <w:p>
      <w:pPr>
        <w:pStyle w:val="23"/>
        <w:widowControl/>
        <w:spacing w:afterLines="50" w:after="156" w:line="240" w:lineRule="auto"/>
        <w:ind w:firstLineChars="0" w:firstLine="0"/>
        <w:jc w:val="center"/>
        <w:outlineLvl w:val="2"/>
        <w:rPr>
          <w:rFonts w:ascii="宋体" w:eastAsia="宋体"/>
          <w:b/>
          <w:bCs/>
          <w:kern w:val="0"/>
        </w:rPr>
      </w:pPr>
      <w:bookmarkStart w:id="52" w:name="_Toc218688633"/>
      <w:r>
        <w:rPr>
          <w:rFonts w:ascii="宋体" w:eastAsia="宋体" w:hint="eastAsia"/>
          <w:b/>
          <w:bCs/>
          <w:kern w:val="0"/>
        </w:rPr>
        <w:t>图3</w:t>
      </w:r>
      <w:r>
        <w:rPr>
          <w:rFonts w:ascii="宋体" w:eastAsia="宋体"/>
          <w:b/>
          <w:bCs/>
          <w:kern w:val="0"/>
        </w:rPr>
        <w:t xml:space="preserve">-1 </w:t>
      </w:r>
      <w:r>
        <w:rPr>
          <w:rFonts w:ascii="宋体" w:eastAsia="宋体" w:hint="eastAsia"/>
          <w:b/>
          <w:bCs/>
          <w:kern w:val="0"/>
        </w:rPr>
        <w:t>2025年永州市职业院校本地产业人才就业情况</w:t>
      </w:r>
      <w:bookmarkEnd w:id="52"/>
    </w:p>
    <w:p>
      <w:pPr>
        <w:pStyle w:val="15"/>
        <w:ind w:firstLineChars="0" w:firstLine="0"/>
        <w:rPr>
          <w:rFonts w:ascii="宋体" w:eastAsia="宋体" w:cs="宋体"/>
          <w:sz w:val="21"/>
          <w:szCs w:val="21"/>
        </w:rPr>
      </w:pPr>
      <w:r>
        <w:rPr>
          <w:rFonts w:ascii="宋体" w:eastAsia="宋体" w:cs="宋体" w:hint="eastAsia"/>
          <w:sz w:val="21"/>
          <w:szCs w:val="21"/>
        </w:rPr>
        <w:t>（注：数据来自</w:t>
      </w:r>
      <w:r>
        <w:rPr>
          <w:rFonts w:ascii="宋体" w:eastAsia="宋体" w:cs="宋体" w:hint="eastAsia"/>
          <w:color w:val="000000"/>
          <w:spacing w:val="0"/>
          <w:sz w:val="21"/>
          <w:szCs w:val="21"/>
        </w:rPr>
        <w:t>2025年永州市各中职学校报送</w:t>
      </w:r>
      <w:r>
        <w:rPr>
          <w:rFonts w:ascii="宋体" w:eastAsia="宋体" w:cs="宋体" w:hint="eastAsia"/>
          <w:sz w:val="21"/>
          <w:szCs w:val="21"/>
        </w:rPr>
        <w:t>）</w:t>
      </w:r>
    </w:p>
    <w:p>
      <w:pPr>
        <w:pStyle w:val="15"/>
        <w:rPr>
          <w:rFonts w:ascii="仿宋_GB2312"/>
        </w:rPr>
      </w:pPr>
      <w:r>
        <w:rPr>
          <w:rFonts w:ascii="仿宋_GB2312" w:hint="eastAsia"/>
        </w:rPr>
        <w:t>全市中职学校以“人才留永、技能兴市”为核心，深化校企合作，精准对接本地产业用工需求，构建“培养-输送-就业”闭环服务体系。</w:t>
      </w:r>
      <w:r>
        <w:rPr>
          <w:rFonts w:ascii="仿宋_GB2312" w:hint="eastAsia"/>
          <w:color w:val="00B0F0"/>
          <w:u w:val="single"/>
        </w:rPr>
        <w:t>2025年，全市中职学校向本地产业输送技术技能人才超8000人</w:t>
      </w:r>
      <w:r>
        <w:rPr>
          <w:rFonts w:ascii="仿宋_GB2312" w:hint="eastAsia"/>
          <w:u w:val="single"/>
        </w:rPr>
        <w:t>，</w:t>
      </w:r>
      <w:r>
        <w:rPr>
          <w:rFonts w:ascii="仿宋_GB2312" w:hint="eastAsia"/>
        </w:rPr>
        <w:t>本地就业率平均达52%以上。</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3.1.1本地产业人才对接精准化</w:t>
      </w:r>
    </w:p>
    <w:p>
      <w:pPr>
        <w:pStyle w:val="15"/>
        <w:rPr>
          <w:rFonts w:ascii="仿宋_GB2312"/>
        </w:rPr>
      </w:pPr>
      <w:r>
        <w:rPr>
          <w:rFonts w:ascii="仿宋_GB2312" w:hint="eastAsia"/>
        </w:rPr>
        <w:t>蓝山职中、工商职中等学校等聚焦县域主导产业，累计安排近500名学员到湘威公司、零陵高新产业园区等企业实习就业，针对性开展车工、电子电工、直播电商等专项培训超3000人次，缓解企业技能人才缺口。</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3.1.2本地产业就业服务一体化</w:t>
      </w:r>
    </w:p>
    <w:p>
      <w:pPr>
        <w:pStyle w:val="15"/>
        <w:rPr>
          <w:rFonts w:ascii="仿宋_GB2312"/>
        </w:rPr>
      </w:pPr>
      <w:r>
        <w:rPr>
          <w:rFonts w:ascii="仿宋_GB2312" w:hint="eastAsia"/>
        </w:rPr>
        <w:t>多校打造“青春π</w:t>
      </w:r>
      <w:r>
        <w:rPr>
          <w:rFonts w:ascii="微软雅黑" w:eastAsia="微软雅黑" w:cs="微软雅黑" w:hint="eastAsia"/>
        </w:rPr>
        <w:t>・</w:t>
      </w:r>
      <w:r>
        <w:rPr>
          <w:rFonts w:ascii="仿宋_GB2312" w:hint="eastAsia"/>
        </w:rPr>
        <w:t>求职加油站”，整合岗位发布、面试指导、技能培训等全链条服务，东安职中、江华职中等通过该平台促成364名学生本地实习就业，实现企业用工需求与学生求职需求精准匹配。</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3.1.3本地订单培养常态化</w:t>
      </w:r>
    </w:p>
    <w:p>
      <w:pPr>
        <w:pStyle w:val="15"/>
        <w:rPr>
          <w:rFonts w:ascii="仿宋_GB2312"/>
        </w:rPr>
      </w:pPr>
      <w:r>
        <w:rPr>
          <w:rFonts w:ascii="仿宋_GB2312" w:hint="eastAsia"/>
        </w:rPr>
        <w:t>祁阳职中、宁远职中等学校与湖南稳羿电子、宁远九疑山旅游开发公司等企业开设机电技术、旅游服务等订单班，共同制定培养方案，全年订单培养规模超1200人，毕业生“毕业即上岗”适配率达90%以上。</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方正仿宋_GB2312" w:cs="方正仿宋_GB2312" w:hAnsi="方正仿宋_GB2312"/>
                <w:b/>
                <w:bCs/>
                <w:color w:val="0F1115"/>
                <w:sz w:val="32"/>
                <w:szCs w:val="32"/>
              </w:rPr>
            </w:pPr>
            <w:bookmarkStart w:id="53" w:name="_Toc218688685"/>
            <w:r>
              <w:rPr>
                <w:rFonts w:ascii="仿宋_GB2312" w:cs="仿宋_GB2312" w:hint="eastAsia"/>
                <w:b/>
                <w:bCs/>
                <w:color w:val="FFFFFF"/>
                <w:sz w:val="32"/>
                <w:szCs w:val="32"/>
              </w:rPr>
              <w:t>案例</w:t>
            </w:r>
            <w:r>
              <w:rPr>
                <w:rFonts w:ascii="仿宋_GB2312" w:cs="仿宋_GB2312"/>
                <w:b/>
                <w:bCs/>
                <w:color w:val="FFFFFF"/>
                <w:sz w:val="32"/>
                <w:szCs w:val="32"/>
              </w:rPr>
              <w:t>3-1：</w:t>
            </w:r>
            <w:r>
              <w:rPr>
                <w:rFonts w:ascii="仿宋_GB2312" w:cs="仿宋_GB2312" w:hint="eastAsia"/>
                <w:b/>
                <w:bCs/>
                <w:color w:val="FFFFFF"/>
                <w:sz w:val="32"/>
                <w:szCs w:val="32"/>
              </w:rPr>
              <w:t>江永职中打造一站式“求职小站”，服务校园就业“最后一米”</w:t>
            </w:r>
            <w:bookmarkEnd w:id="53"/>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为切实提升毕业生就业服务质量与效率，破解学生求职过程中信息不对称、服务分散化等痛点，江永县职业中专学校创新性地在校园内规划建设了实体化、多功能的一站式“求职小站”。该服务站并非简单的信息公告栏，而是一个集“信息发布、政策咨询、职业指导、面试演练、生涯规划”于一体的综合性服务平台。小站内划分出清晰的职能区域，配备数字化信息屏实时滚动更新本地企业招聘信息，设置专门的咨询辅导席位，并配有模拟面试室等实践空间。学校安排专职教师与经过培训的学生助理共同运营，确保其全天候开放、常态化服务。通过定期邀请园区企业人力资源负责人入站开展“微宣讲”“面对面”活动，以及组织简历优化工作坊、模拟面试等实战辅导，小站将就业指导与服务从阶段性、运动式活动转变为嵌入式、日常化的学生支持体系。自运行以来，“求职小站”已成为连接校园与职场的核心枢纽，年均服务学生超500人次，极大提高了岗位信息匹配的精准度和学生求职准备的有效性，毕业生对就业服务的满意度显著提升。这一创新举措，不仅体现了学校以生为本、精细服务的管理理念，更通过构建高效便捷的校园就业微生态，有力促进了毕业生更充分、更高质量就业，为同类学校优化就业服务工作提供了可借鉴的实践范式。</w:t>
            </w:r>
          </w:p>
          <w:p>
            <w:pPr>
              <w:pStyle w:val="23"/>
              <w:widowControl/>
              <w:spacing w:line="240" w:lineRule="auto"/>
              <w:ind w:firstLineChars="0" w:firstLine="0"/>
              <w:jc w:val="center"/>
              <w:rPr>
                <w:rFonts w:ascii="宋体" w:eastAsia="宋体" w:cs="仿宋_GB2312"/>
                <w:color w:val="0F1115"/>
                <w:sz w:val="28"/>
                <w:szCs w:val="28"/>
              </w:rPr>
            </w:pPr>
            <w:r>
              <w:rPr>
                <w:rFonts w:ascii="宋体" w:eastAsia="宋体" w:hint="eastAsia"/>
                <w:b/>
                <w:bCs/>
              </w:rPr>
              <w:drawing>
                <wp:inline distT="0" distB="0" distL="0" distR="0">
                  <wp:extent cx="4300220" cy="3223895"/>
                  <wp:effectExtent l="0" t="0" r="34" b="17"/>
                  <wp:docPr id="44" name="图片 19" descr="a6a868a9fc6bf6f927a1976db5d7149a"/>
                  <wp:cNvGraphicFramePr>
                    <a:graphicFrameLocks noChangeAspect="1"/>
                  </wp:cNvGraphicFramePr>
                  <a:graphic>
                    <a:graphicData uri="http://schemas.openxmlformats.org/drawingml/2006/picture">
                      <pic:pic>
                        <pic:nvPicPr>
                          <pic:cNvPr id="46" name="图片 19 46"/>
                          <pic:cNvPicPr/>
                        </pic:nvPicPr>
                        <pic:blipFill>
                          <a:blip r:embed="rId22"/>
                          <a:stretch>
                            <a:fillRect/>
                          </a:stretch>
                        </pic:blipFill>
                        <pic:spPr>
                          <a:xfrm rot="0">
                            <a:off x="0" y="0"/>
                            <a:ext cx="4300220" cy="3223895"/>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宋体" w:eastAsia="宋体" w:cs="仿宋_GB2312"/>
                <w:color w:val="0F1115"/>
                <w:sz w:val="28"/>
                <w:szCs w:val="28"/>
              </w:rPr>
            </w:pPr>
            <w:bookmarkStart w:id="54" w:name="_Toc218688634"/>
            <w:r>
              <w:rPr>
                <w:rFonts w:ascii="宋体" w:eastAsia="宋体" w:hint="eastAsia"/>
                <w:b/>
                <w:bCs/>
              </w:rPr>
              <w:t>图3-</w:t>
            </w:r>
            <w:r>
              <w:rPr>
                <w:rFonts w:ascii="宋体" w:eastAsia="宋体"/>
                <w:b/>
                <w:bCs/>
              </w:rPr>
              <w:t xml:space="preserve">2 </w:t>
            </w:r>
            <w:r>
              <w:rPr>
                <w:rFonts w:ascii="宋体" w:eastAsia="宋体" w:hint="eastAsia"/>
                <w:b/>
                <w:bCs/>
              </w:rPr>
              <w:t>江永职中学子在求职小站内咨询交流</w:t>
            </w:r>
            <w:bookmarkEnd w:id="54"/>
          </w:p>
        </w:tc>
      </w:tr>
    </w:tbl>
    <w:p>
      <w:pPr>
        <w:pStyle w:val="2"/>
        <w:spacing w:before="0" w:after="0" w:line="560" w:lineRule="exact"/>
        <w:ind w:firstLineChars="200" w:firstLine="640"/>
        <w:rPr>
          <w:rFonts w:ascii="楷体" w:eastAsia="楷体"/>
          <w:shd w:val="clear" w:color="auto" w:fill="FFFFFF"/>
        </w:rPr>
      </w:pPr>
      <w:bookmarkStart w:id="55" w:name="_Toc218688923"/>
      <w:r>
        <w:rPr>
          <w:rFonts w:ascii="楷体" w:eastAsia="楷体" w:hint="eastAsia"/>
          <w:shd w:val="clear" w:color="auto" w:fill="FFFFFF"/>
        </w:rPr>
        <w:t>3.2 乡村振兴帮扶</w:t>
      </w:r>
      <w:bookmarkEnd w:id="55"/>
    </w:p>
    <w:p>
      <w:pPr>
        <w:pStyle w:val="15"/>
        <w:rPr>
          <w:rFonts w:ascii="仿宋_GB2312"/>
        </w:rPr>
      </w:pPr>
      <w:r>
        <w:rPr>
          <w:rFonts w:ascii="仿宋_GB2312" w:hint="eastAsia"/>
        </w:rPr>
        <w:t>全市中职学校立足职教优势，从人才培育、技术赋能、民生改善三方面发力，精准对接乡村振兴需求，构建了以技能培训为核心、产业对接为纽带、驻村帮扶为抓手的多维服务体系，推动巩固拓展脱贫攻坚成果与乡村振兴有效衔接，为乡村振兴注入强劲动力。</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3.2.1实用人才培育</w:t>
      </w:r>
    </w:p>
    <w:p>
      <w:pPr>
        <w:pStyle w:val="15"/>
        <w:rPr>
          <w:rFonts w:ascii="仿宋_GB2312"/>
        </w:rPr>
      </w:pPr>
      <w:r>
        <w:rPr>
          <w:rFonts w:ascii="仿宋_GB2312" w:hint="eastAsia"/>
        </w:rPr>
        <w:t>永州工贸学校开展“党建+乡村振兴高素质农民培育”专题培训，全年培育复合型农业人才超1000人；蓝山职中、江永职中等针对农村转移就业劳动者开展低压电工、家政服务等培训，累计帮助超200名村民获得职业资格证书，实现稳定就业。</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3.2.2产业精准赋能</w:t>
      </w:r>
    </w:p>
    <w:p>
      <w:pPr>
        <w:pStyle w:val="15"/>
        <w:rPr>
          <w:rFonts w:ascii="仿宋_GB2312"/>
        </w:rPr>
      </w:pPr>
      <w:r>
        <w:rPr>
          <w:rFonts w:ascii="仿宋_GB2312" w:hint="eastAsia"/>
        </w:rPr>
        <w:t>江华职中以“党支部领办+合作社运营+农户参与”模式，推动钩藤种植产业规模化发展，带动农户户均年增收5000元；宁远职中依托涉农专业，为富民小区提供种养技术指导，援建运动球场，实现产业振兴与民生改善双提升。</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3.2.3驻村深度帮扶</w:t>
      </w:r>
    </w:p>
    <w:p>
      <w:pPr>
        <w:pStyle w:val="15"/>
        <w:rPr>
          <w:rFonts w:ascii="仿宋_GB2312"/>
        </w:rPr>
      </w:pPr>
      <w:r>
        <w:rPr>
          <w:rFonts w:ascii="仿宋_GB2312" w:hint="eastAsia"/>
        </w:rPr>
        <w:t>东安职中、双牌职中等选派12名教师长期驻村，担任第一书记或帮扶工作队队长，开展政策宣传、农产品销售、基础设施改善等工作，累计投入帮扶资金超50万元，惠及脱贫户、监测户200余户。</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方正仿宋_GB2312" w:cs="方正仿宋_GB2312" w:hAnsi="方正仿宋_GB2312"/>
                <w:b/>
                <w:bCs/>
                <w:color w:val="0F1115"/>
                <w:sz w:val="32"/>
                <w:szCs w:val="32"/>
              </w:rPr>
            </w:pPr>
            <w:bookmarkStart w:id="56" w:name="_Toc218688686"/>
            <w:r>
              <w:rPr>
                <w:rFonts w:ascii="仿宋_GB2312" w:cs="仿宋_GB2312" w:hint="eastAsia"/>
                <w:b/>
                <w:bCs/>
                <w:color w:val="FFFFFF"/>
                <w:sz w:val="32"/>
                <w:szCs w:val="32"/>
              </w:rPr>
              <w:t>案例</w:t>
            </w:r>
            <w:r>
              <w:rPr>
                <w:rFonts w:ascii="仿宋_GB2312" w:cs="仿宋_GB2312"/>
                <w:b/>
                <w:bCs/>
                <w:color w:val="FFFFFF"/>
                <w:sz w:val="32"/>
                <w:szCs w:val="32"/>
              </w:rPr>
              <w:t>3-2：</w:t>
            </w:r>
            <w:r>
              <w:rPr>
                <w:rFonts w:ascii="仿宋_GB2312" w:cs="仿宋_GB2312" w:hint="eastAsia"/>
                <w:b/>
                <w:bCs/>
                <w:color w:val="FFFFFF"/>
                <w:sz w:val="32"/>
                <w:szCs w:val="32"/>
              </w:rPr>
              <w:t>祁阳职中电商赋能花海，青春助农促振兴</w:t>
            </w:r>
            <w:bookmarkEnd w:id="56"/>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宋体"/>
                <w:spacing w:val="-6"/>
                <w:sz w:val="28"/>
                <w:szCs w:val="28"/>
              </w:rPr>
            </w:pPr>
            <w:r>
              <w:rPr>
                <w:rFonts w:ascii="宋体" w:eastAsia="宋体" w:cs="宋体" w:hint="eastAsia"/>
                <w:spacing w:val="-6"/>
                <w:sz w:val="28"/>
                <w:szCs w:val="28"/>
              </w:rPr>
              <w:t>面对大村甸镇优质农副产品“藏在深闺人未识”的市场困境，祁阳职中立足电子商务专业特色，以2025年大村甸旅游节为契机，创新开展“公益助农先锋”行动。该活动旨在破解农产品销售渠道单一、品牌影响力弱等难题，通过“专业实训+乡村振兴”双轮驱动，构建“课堂-实训-产业”闭环培养模式，既提升学生电商实战能力，又为地方特色农业注入数字化动能，实现人才培养与产业振兴同频共振。</w:t>
            </w:r>
          </w:p>
          <w:p>
            <w:pPr>
              <w:pStyle w:val="23"/>
              <w:widowControl/>
              <w:spacing w:line="480" w:lineRule="exact"/>
              <w:rPr>
                <w:rFonts w:ascii="宋体" w:eastAsia="宋体" w:cs="宋体"/>
                <w:spacing w:val="-6"/>
                <w:sz w:val="28"/>
                <w:szCs w:val="28"/>
              </w:rPr>
            </w:pPr>
            <w:r>
              <w:rPr>
                <w:rFonts w:ascii="宋体" w:eastAsia="宋体" w:cs="宋体" w:hint="eastAsia"/>
                <w:spacing w:val="-6"/>
                <w:sz w:val="28"/>
                <w:szCs w:val="28"/>
              </w:rPr>
              <w:t>学校构建“三阶递进”实践体系，贯穿活动全程。先联合县农业农村局开展“一村一品”产业调研，精准锁定蜂蜜、腊肉、野生菌等12类特色产品，组建专业教师、企业导师、乡贤能人课程研发团队，开发定制课程。然后打造“云上展销馆”与“田间直播间”，最后进行直播售卖，效果显著。</w:t>
            </w:r>
          </w:p>
          <w:p>
            <w:pPr>
              <w:pStyle w:val="23"/>
              <w:widowControl/>
              <w:spacing w:line="480" w:lineRule="exact"/>
              <w:rPr>
                <w:rFonts w:ascii="宋体" w:eastAsia="宋体" w:cs="宋体"/>
                <w:spacing w:val="-6"/>
                <w:sz w:val="28"/>
                <w:szCs w:val="28"/>
              </w:rPr>
            </w:pPr>
            <w:r>
              <w:rPr>
                <w:rFonts w:ascii="宋体" w:eastAsia="宋体" w:cs="宋体" w:hint="eastAsia"/>
                <w:spacing w:val="-6"/>
                <w:sz w:val="28"/>
                <w:szCs w:val="28"/>
              </w:rPr>
              <w:t>该实践验证了“专业链对接产业链”的职教改革路径：通过政校企协同机制整合资源，政府搭台、企业出单、学校育人形成合力；推动课程体系场景化重构，将直播间搬至田间地头，以真实项目驱动教学闭环；借助小程序开发、预售制、社群运营构建可持续产销体系；在直播中融入地理标志与非遗文化元素，实现技能培养与价值观塑造深度融合。这一模式为职业教育服务乡村振兴提供了可复制、可迭代的“祁阳样本”。</w:t>
            </w:r>
          </w:p>
          <w:p>
            <w:pPr>
              <w:pStyle w:val="23"/>
              <w:widowControl/>
              <w:spacing w:line="240" w:lineRule="auto"/>
              <w:ind w:firstLineChars="0" w:firstLine="0"/>
              <w:jc w:val="center"/>
              <w:rPr>
                <w:rFonts w:ascii="宋体" w:eastAsia="宋体"/>
                <w:b/>
                <w:bCs/>
              </w:rPr>
            </w:pPr>
            <w:r>
              <w:rPr>
                <w:rFonts w:ascii="宋体" w:eastAsia="宋体" w:cs="宋体" w:hint="eastAsia"/>
                <w:sz w:val="28"/>
                <w:szCs w:val="28"/>
              </w:rPr>
              <w:drawing>
                <wp:inline distT="0" distB="0" distL="0" distR="0">
                  <wp:extent cx="4660265" cy="2790190"/>
                  <wp:effectExtent l="0" t="0" r="40" b="20"/>
                  <wp:docPr id="47" name="图片 3" descr="IMG_256"/>
                  <wp:cNvGraphicFramePr>
                    <a:graphicFrameLocks noChangeAspect="1"/>
                  </wp:cNvGraphicFramePr>
                  <a:graphic>
                    <a:graphicData uri="http://schemas.openxmlformats.org/drawingml/2006/picture">
                      <pic:pic>
                        <pic:nvPicPr>
                          <pic:cNvPr id="49" name="图片 3 49"/>
                          <pic:cNvPicPr/>
                        </pic:nvPicPr>
                        <pic:blipFill>
                          <a:blip r:embed="rId23"/>
                          <a:stretch>
                            <a:fillRect/>
                          </a:stretch>
                        </pic:blipFill>
                        <pic:spPr>
                          <a:xfrm rot="0">
                            <a:off x="0" y="0"/>
                            <a:ext cx="4660265" cy="2790190"/>
                          </a:xfrm>
                          <a:prstGeom prst="rect"/>
                          <a:noFill/>
                          <a:ln w="9525" cmpd="sng" cap="flat">
                            <a:noFill/>
                            <a:prstDash val="solid"/>
                            <a:round/>
                          </a:ln>
                        </pic:spPr>
                      </pic:pic>
                    </a:graphicData>
                  </a:graphic>
                </wp:inline>
              </w:drawing>
            </w:r>
          </w:p>
          <w:p>
            <w:pPr>
              <w:pStyle w:val="23"/>
              <w:widowControl/>
              <w:spacing w:afterLines="50" w:after="156" w:line="240" w:lineRule="auto"/>
              <w:ind w:firstLineChars="0" w:firstLine="0"/>
              <w:jc w:val="center"/>
              <w:outlineLvl w:val="2"/>
              <w:rPr>
                <w:rFonts w:ascii="宋体" w:eastAsia="宋体"/>
                <w:b/>
                <w:bCs/>
              </w:rPr>
            </w:pPr>
            <w:bookmarkStart w:id="57" w:name="_Toc218688635"/>
            <w:r>
              <w:rPr>
                <w:rFonts w:ascii="宋体" w:eastAsia="宋体" w:hint="eastAsia"/>
                <w:b/>
                <w:bCs/>
              </w:rPr>
              <w:t>图3-</w:t>
            </w:r>
            <w:r>
              <w:rPr>
                <w:rFonts w:ascii="宋体" w:eastAsia="宋体"/>
                <w:b/>
                <w:bCs/>
              </w:rPr>
              <w:t xml:space="preserve">3 </w:t>
            </w:r>
            <w:r>
              <w:rPr>
                <w:rFonts w:ascii="宋体" w:eastAsia="宋体" w:hint="eastAsia"/>
                <w:b/>
                <w:bCs/>
              </w:rPr>
              <w:t>祁阳职中电商专业学生开展助农直播</w:t>
            </w:r>
            <w:bookmarkEnd w:id="57"/>
          </w:p>
        </w:tc>
      </w:tr>
    </w:tbl>
    <w:p>
      <w:pPr>
        <w:pStyle w:val="2"/>
        <w:spacing w:before="0" w:after="0" w:line="560" w:lineRule="exact"/>
        <w:ind w:firstLineChars="200" w:firstLine="640"/>
        <w:rPr>
          <w:rFonts w:ascii="楷体" w:eastAsia="楷体"/>
          <w:shd w:val="clear" w:color="auto" w:fill="FFFFFF"/>
        </w:rPr>
      </w:pPr>
      <w:bookmarkStart w:id="58" w:name="_Toc218688924"/>
      <w:r>
        <w:rPr>
          <w:rFonts w:ascii="楷体" w:eastAsia="楷体" w:hint="eastAsia"/>
          <w:shd w:val="clear" w:color="auto" w:fill="FFFFFF"/>
        </w:rPr>
        <w:t>3.3 社区服务支持</w:t>
      </w:r>
      <w:bookmarkEnd w:id="58"/>
    </w:p>
    <w:p>
      <w:pPr>
        <w:pStyle w:val="15"/>
        <w:rPr>
          <w:rFonts w:ascii="仿宋_GB2312"/>
        </w:rPr>
      </w:pPr>
      <w:r>
        <w:rPr>
          <w:rFonts w:ascii="仿宋_GB2312" w:hint="eastAsia"/>
        </w:rPr>
        <w:t>全市中职学校秉持“服务社区、共育文明”理念，整合专业资源与师生力量，开展多元化社区服务，全年累计服务社区超400次，参与师生达1.2万人次。</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3.3.1便民服务常态化</w:t>
      </w:r>
    </w:p>
    <w:p>
      <w:pPr>
        <w:pStyle w:val="15"/>
        <w:rPr>
          <w:rFonts w:ascii="仿宋_GB2312"/>
        </w:rPr>
      </w:pPr>
      <w:r>
        <w:rPr>
          <w:rFonts w:ascii="仿宋_GB2312" w:hint="eastAsia"/>
        </w:rPr>
        <w:t>工商职中、永州综职等组建技能服务小分队，开展小家电义务维修、衣物缝补、健康科普等活动，全年维修家电超300台，发放宣传资料5000余份；祁阳职中义工服务队清理社区卫生死角23处，清运垃圾超50袋，改善人居环境。</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3.3.2安全守护全方位</w:t>
      </w:r>
    </w:p>
    <w:p>
      <w:pPr>
        <w:pStyle w:val="15"/>
        <w:rPr>
          <w:rFonts w:ascii="仿宋_GB2312"/>
        </w:rPr>
      </w:pPr>
      <w:r>
        <w:rPr>
          <w:rFonts w:ascii="仿宋_GB2312" w:hint="eastAsia"/>
        </w:rPr>
        <w:t>多校参与防溺水巡逻、交通文明劝导等工作，工商职中党委书记、校长带头带队，全年开展河边巡逻300余次，筑牢社区安全防线；江华职中“河小青”志愿服务队开展净滩行动，保护母亲河生态环境，获评“永州市优秀青年志愿服务团队”。</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3.3.3职业启蒙广覆盖</w:t>
      </w:r>
    </w:p>
    <w:p>
      <w:pPr>
        <w:pStyle w:val="15"/>
        <w:rPr>
          <w:rFonts w:ascii="仿宋_GB2312"/>
        </w:rPr>
      </w:pPr>
      <w:r>
        <w:rPr>
          <w:rFonts w:ascii="仿宋_GB2312" w:hint="eastAsia"/>
        </w:rPr>
        <w:t>蓝山职中、东安职中等面向中小学生开展职业体验活动，开放3D打印、模具制造等实训基地，组织技能演示、实践操作等活动20余场，覆盖学生超3000人，帮助青少年树立正确职业观。</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rPr>
          <w:trHeight w:hRule="exact" w:val="567"/>
        </w:trPr>
        <w:tc>
          <w:tcPr>
            <w:tcW w:w="8296" w:type="dxa"/>
            <w:tcBorders>
              <w:top w:val="single" w:sz="4" w:space="0" w:color="auto"/>
              <w:left w:val="single" w:sz="4" w:space="0" w:color="auto"/>
              <w:bottom w:val="single" w:sz="4" w:space="0" w:color="auto"/>
              <w:right w:val="single" w:sz="4" w:space="0" w:color="auto"/>
            </w:tcBorders>
            <w:shd w:val="clear" w:color="auto" w:fill="7C7264"/>
            <w:noWrap/>
            <w:vAlign w:val="center"/>
          </w:tcPr>
          <w:p>
            <w:pPr>
              <w:pStyle w:val="23"/>
              <w:widowControl/>
              <w:spacing w:line="440" w:lineRule="exact"/>
              <w:ind w:left="1440" w:hangingChars="450" w:hanging="1440"/>
              <w:jc w:val="left"/>
              <w:outlineLvl w:val="4"/>
              <w:rPr>
                <w:rFonts w:ascii="方正仿宋_GB2312" w:cs="方正仿宋_GB2312" w:hAnsi="方正仿宋_GB2312"/>
                <w:b/>
                <w:bCs/>
                <w:color w:val="0F1115"/>
                <w:sz w:val="32"/>
                <w:szCs w:val="32"/>
              </w:rPr>
            </w:pPr>
            <w:bookmarkStart w:id="59" w:name="_Toc218688687"/>
            <w:r>
              <w:rPr>
                <w:rFonts w:ascii="仿宋_GB2312" w:cs="仿宋_GB2312" w:hint="eastAsia"/>
                <w:b/>
                <w:bCs/>
                <w:color w:val="FFFFFF"/>
                <w:sz w:val="32"/>
                <w:szCs w:val="32"/>
              </w:rPr>
              <w:t>案例</w:t>
            </w:r>
            <w:r>
              <w:rPr>
                <w:rFonts w:ascii="仿宋_GB2312" w:cs="仿宋_GB2312"/>
                <w:b/>
                <w:bCs/>
                <w:color w:val="FFFFFF"/>
                <w:sz w:val="32"/>
                <w:szCs w:val="32"/>
              </w:rPr>
              <w:t>3-3：</w:t>
            </w:r>
            <w:r>
              <w:rPr>
                <w:rFonts w:ascii="仿宋_GB2312" w:cs="仿宋_GB2312" w:hint="eastAsia"/>
                <w:b/>
                <w:bCs/>
                <w:color w:val="FFFFFF"/>
                <w:sz w:val="32"/>
                <w:szCs w:val="32"/>
              </w:rPr>
              <w:t>永州综职</w:t>
            </w:r>
            <w:r>
              <w:rPr>
                <w:rFonts w:ascii="仿宋_GB2312" w:cs="仿宋_GB2312"/>
                <w:b/>
                <w:bCs/>
                <w:color w:val="FFFFFF"/>
                <w:sz w:val="32"/>
                <w:szCs w:val="32"/>
              </w:rPr>
              <w:t>青春护河行动织就生态绿网</w:t>
            </w:r>
            <w:bookmarkEnd w:id="59"/>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宋体"/>
                <w:sz w:val="28"/>
                <w:szCs w:val="28"/>
              </w:rPr>
            </w:pPr>
            <w:r>
              <w:rPr>
                <w:rFonts w:ascii="宋体" w:eastAsia="宋体" w:cs="宋体" w:hint="eastAsia"/>
                <w:sz w:val="28"/>
                <w:szCs w:val="28"/>
              </w:rPr>
              <w:t>针对湘江流域永州段河道垃圾堆积、生态功能退化等突出问题，永州综合职业中专志愿者协会紧扣“绿水青山就是金山银山”理念，于2025年3月1日发起“保护母亲河争当河小青”专项行动。活动深度融合职业教育特色，将环境治理与专业实践相结合，通过“净滩行动+生态宣教”双轨模式，探索出一条“学生实践-社区联动-长效治理”的生态保护路径，为守护湘江母亲河注入青春力量。</w:t>
            </w:r>
          </w:p>
          <w:p>
            <w:pPr>
              <w:pStyle w:val="23"/>
              <w:widowControl/>
              <w:spacing w:line="480" w:lineRule="exact"/>
              <w:rPr>
                <w:rFonts w:ascii="方正仿宋_GB2312" w:cs="方正仿宋_GB2312" w:hAnsi="方正仿宋_GB2312"/>
                <w:sz w:val="32"/>
                <w:szCs w:val="32"/>
              </w:rPr>
            </w:pPr>
            <w:r>
              <w:rPr>
                <w:rFonts w:ascii="宋体" w:eastAsia="宋体" w:cs="宋体" w:hint="eastAsia"/>
                <w:sz w:val="28"/>
                <w:szCs w:val="28"/>
              </w:rPr>
              <w:t>学校构建“调研-行动-长效”三维服务体系。前期联合市生态环境局开展河道生态评估，精准锁定湘江西路5公里重点河段，针对塑料垃圾占比达65%的污染特征，组织学生运用无人机航拍。活动中创新“专业技能+生态实践”模式，学生团队手持工具包，清理垃圾。活动实现生态效益与育人价值双提升，构建长效机制，验证了职业教育服务生态治理的创新路径：一是深化“专业群对接产业链”改革，将环境工程技术、智能装备等专业能力转化为生态治理效能；二是构建“政校企社”协同机制，通过技术共享、数据互通、责任共担提升治理精准度；三是创新“实践育人”载体，将课堂搬到生态治理一线，使学生在解决真实问题中锤炼技能、厚植情怀。这一模式已在为新时代“美丽中国·青春行动”提供了可复制的职教范本</w:t>
            </w:r>
            <w:r>
              <w:rPr>
                <w:rFonts w:ascii="方正仿宋_GB2312" w:eastAsia="方正仿宋_GB2312" w:cs="方正仿宋_GB2312" w:hint="eastAsia"/>
                <w:sz w:val="32"/>
                <w:szCs w:val="32"/>
              </w:rPr>
              <w:t>。</w:t>
            </w:r>
          </w:p>
          <w:p>
            <w:pPr>
              <w:pStyle w:val="23"/>
              <w:widowControl/>
              <w:spacing w:line="240" w:lineRule="auto"/>
              <w:ind w:firstLineChars="0" w:firstLine="0"/>
              <w:jc w:val="center"/>
              <w:rPr>
                <w:rFonts w:ascii="宋体" w:eastAsia="宋体"/>
                <w:b/>
                <w:bCs/>
              </w:rPr>
            </w:pPr>
            <w:r>
              <w:rPr>
                <w:rFonts w:ascii="仿宋" w:eastAsia="仿宋" w:cs="仿宋" w:hint="eastAsia"/>
                <w:color w:val="000000"/>
                <w:sz w:val="32"/>
                <w:szCs w:val="32"/>
              </w:rPr>
              <w:drawing>
                <wp:inline distT="0" distB="0" distL="0" distR="0">
                  <wp:extent cx="4143375" cy="3087370"/>
                  <wp:effectExtent l="0" t="0" r="31" b="16"/>
                  <wp:docPr id="50" name="图片 21" descr="7cc8e841b6496e29339e08758bfde8c"/>
                  <wp:cNvGraphicFramePr>
                    <a:graphicFrameLocks noChangeAspect="1"/>
                  </wp:cNvGraphicFramePr>
                  <a:graphic>
                    <a:graphicData uri="http://schemas.openxmlformats.org/drawingml/2006/picture">
                      <pic:pic>
                        <pic:nvPicPr>
                          <pic:cNvPr id="52" name="图片 21 52"/>
                          <pic:cNvPicPr/>
                        </pic:nvPicPr>
                        <pic:blipFill>
                          <a:blip r:embed="rId24"/>
                          <a:stretch>
                            <a:fillRect/>
                          </a:stretch>
                        </pic:blipFill>
                        <pic:spPr>
                          <a:xfrm rot="0">
                            <a:off x="0" y="0"/>
                            <a:ext cx="4143375" cy="3087370"/>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方正仿宋_GB2312" w:cs="方正仿宋_GB2312" w:hAnsi="方正仿宋_GB2312"/>
                <w:sz w:val="32"/>
                <w:szCs w:val="32"/>
              </w:rPr>
            </w:pPr>
            <w:bookmarkStart w:id="60" w:name="_Toc218688636"/>
            <w:r>
              <w:rPr>
                <w:rFonts w:ascii="宋体" w:eastAsia="宋体" w:hint="eastAsia"/>
                <w:b/>
                <w:bCs/>
              </w:rPr>
              <w:t>图3-</w:t>
            </w:r>
            <w:r>
              <w:rPr>
                <w:rFonts w:ascii="宋体" w:eastAsia="宋体"/>
                <w:b/>
                <w:bCs/>
              </w:rPr>
              <w:t xml:space="preserve">4 </w:t>
            </w:r>
            <w:r>
              <w:rPr>
                <w:rFonts w:ascii="宋体" w:eastAsia="宋体" w:hint="eastAsia"/>
                <w:b/>
                <w:bCs/>
              </w:rPr>
              <w:t>永州综职师生“河小青”活动合照</w:t>
            </w:r>
            <w:bookmarkEnd w:id="60"/>
          </w:p>
        </w:tc>
      </w:tr>
    </w:tbl>
    <w:p>
      <w:pPr>
        <w:pStyle w:val="2"/>
        <w:spacing w:before="0" w:after="0" w:line="560" w:lineRule="exact"/>
        <w:ind w:firstLineChars="200" w:firstLine="640"/>
        <w:rPr>
          <w:rFonts w:ascii="楷体" w:eastAsia="楷体"/>
          <w:shd w:val="clear" w:color="auto" w:fill="FFFFFF"/>
        </w:rPr>
      </w:pPr>
      <w:bookmarkStart w:id="61" w:name="_Toc218688925"/>
      <w:r>
        <w:rPr>
          <w:rFonts w:ascii="楷体" w:eastAsia="楷体" w:hint="eastAsia"/>
          <w:shd w:val="clear" w:color="auto" w:fill="FFFFFF"/>
        </w:rPr>
        <w:t>3.4 校校合作帮扶</w:t>
      </w:r>
      <w:bookmarkEnd w:id="61"/>
    </w:p>
    <w:p>
      <w:pPr>
        <w:pStyle w:val="15"/>
        <w:rPr>
          <w:rFonts w:ascii="仿宋_GB2312"/>
        </w:rPr>
      </w:pPr>
      <w:r>
        <w:rPr>
          <w:rFonts w:ascii="仿宋_GB2312" w:hint="eastAsia"/>
        </w:rPr>
        <w:t>2025年，永州市教育行政部门引导全市中职学校构建“资源共享、优势互补、协同发展”的帮扶机制，聚焦办学薄弱环节，推动区域职业教育均衡发展。</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3.4.1公办民办结对</w:t>
      </w:r>
    </w:p>
    <w:p>
      <w:pPr>
        <w:pStyle w:val="15"/>
        <w:rPr>
          <w:rFonts w:ascii="仿宋_GB2312"/>
        </w:rPr>
      </w:pPr>
      <w:r>
        <w:rPr>
          <w:rFonts w:ascii="仿宋_GB2312" w:hint="eastAsia"/>
        </w:rPr>
        <w:t>工商职中对口帮扶双牌职中，选派6名骨干教师开展示范课，联合开发专业课程标准3项，协助建设实训基地2个；宁远职中牵头成立职教联盟，指导民办中职学校优化招生、专业设置及教学管理。</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3.4.2中高职衔接贯通</w:t>
      </w:r>
    </w:p>
    <w:p>
      <w:pPr>
        <w:pStyle w:val="15"/>
        <w:rPr>
          <w:rFonts w:ascii="仿宋_GB2312"/>
        </w:rPr>
      </w:pPr>
      <w:r>
        <w:rPr>
          <w:rFonts w:ascii="仿宋_GB2312" w:hint="eastAsia"/>
        </w:rPr>
        <w:t>东安职中与湖南科技职业学院、湖南大众传媒职业技术学院以及湖南工程职业技术学院等三家公立大专院校开展中高职衔接合作，举办了计算机网络技术、数字媒体艺术、动漫设计以及电子信息工程技术等四个“3+2”专业，大专班在校生共331人。永州综职与永州职业技术学院深化合作，在人才培养衔接、师资培育、实训共建等方面达成共识，开设升学辅导课程，降低中职学生升学门槛；蓝山职中与湖南机电职业技术学院共建中高职教研联盟，畅通“3+2”人才培养通道。</w:t>
      </w:r>
    </w:p>
    <w:p>
      <w:pPr>
        <w:widowControl/>
        <w:spacing w:beforeLines="50" w:before="156"/>
        <w:jc w:val="center"/>
        <w:outlineLvl w:val="3"/>
        <w:rPr>
          <w:rFonts w:ascii="宋体" w:eastAsia="宋体"/>
          <w:b/>
          <w:bCs/>
          <w:color w:val="1F2329"/>
          <w:kern w:val="0"/>
          <w:sz w:val="24"/>
          <w:szCs w:val="24"/>
          <w:shd w:val="clear" w:color="auto" w:fill="FFFFFF"/>
        </w:rPr>
      </w:pPr>
      <w:bookmarkStart w:id="62" w:name="_Toc218688667"/>
      <w:r>
        <w:rPr>
          <w:rFonts w:ascii="宋体" w:eastAsia="宋体" w:hint="eastAsia"/>
          <w:b/>
          <w:bCs/>
          <w:color w:val="1F2329"/>
          <w:kern w:val="0"/>
          <w:sz w:val="24"/>
          <w:szCs w:val="24"/>
          <w:shd w:val="clear" w:color="auto" w:fill="FFFFFF"/>
        </w:rPr>
        <w:t>表3-1 永州市中职学校与高职院校衔接合作情况表</w:t>
      </w:r>
      <w:bookmarkEnd w:id="62"/>
    </w:p>
    <w:tbl>
      <w:tblPr>
        <w:jc w:val="center"/>
        <w:tblW w:w="83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tblGrid>
        <w:gridCol w:w="1696"/>
        <w:gridCol w:w="3075"/>
        <w:gridCol w:w="3540"/>
      </w:tblGrid>
      <w:tr>
        <w:trPr>
          <w:trHeight w:val="756"/>
          <w:tblHeader/>
        </w:trPr>
        <w:tc>
          <w:tcPr>
            <w:tcW w:w="1696" w:type="dxa"/>
            <w:tcBorders>
              <w:top w:val="single" w:sz="4" w:space="0" w:color="auto"/>
              <w:left w:val="single" w:sz="4" w:space="0" w:color="auto"/>
              <w:bottom w:val="single" w:sz="4" w:space="0" w:color="auto"/>
              <w:right w:val="single" w:sz="4" w:space="0" w:color="auto"/>
            </w:tcBorders>
            <w:shd w:val="clear" w:color="auto" w:fill="0372AE"/>
            <w:noWrap/>
            <w:vAlign w:val="center"/>
          </w:tcPr>
          <w:p>
            <w:pPr>
              <w:widowControl/>
              <w:spacing w:line="240" w:lineRule="atLeast"/>
              <w:jc w:val="center"/>
              <w:rPr>
                <w:rFonts w:ascii="宋体" w:eastAsia="宋体" w:cs="方正仿宋_GB2312"/>
                <w:b/>
                <w:bCs/>
                <w:color w:val="FFFFFF"/>
                <w:kern w:val="0"/>
                <w:sz w:val="24"/>
                <w:szCs w:val="24"/>
              </w:rPr>
            </w:pPr>
            <w:r>
              <w:rPr>
                <w:rFonts w:ascii="宋体" w:eastAsia="宋体" w:cs="方正仿宋_GB2312" w:hint="eastAsia"/>
                <w:b/>
                <w:bCs/>
                <w:color w:val="FFFFFF"/>
                <w:kern w:val="0"/>
                <w:sz w:val="24"/>
                <w:szCs w:val="24"/>
              </w:rPr>
              <w:t>中职学校名称</w:t>
            </w:r>
          </w:p>
        </w:tc>
        <w:tc>
          <w:tcPr>
            <w:tcW w:w="3075" w:type="dxa"/>
            <w:tcBorders>
              <w:top w:val="single" w:sz="4" w:space="0" w:color="auto"/>
              <w:left w:val="single" w:sz="4" w:space="0" w:color="auto"/>
              <w:bottom w:val="single" w:sz="4" w:space="0" w:color="auto"/>
              <w:right w:val="single" w:sz="4" w:space="0" w:color="auto"/>
            </w:tcBorders>
            <w:shd w:val="clear" w:color="auto" w:fill="0372AE"/>
            <w:noWrap/>
            <w:vAlign w:val="center"/>
          </w:tcPr>
          <w:p>
            <w:pPr>
              <w:widowControl/>
              <w:spacing w:line="240" w:lineRule="atLeast"/>
              <w:jc w:val="center"/>
              <w:rPr>
                <w:rFonts w:ascii="宋体" w:eastAsia="宋体" w:cs="方正仿宋_GB2312"/>
                <w:b/>
                <w:bCs/>
                <w:color w:val="FFFFFF"/>
                <w:kern w:val="0"/>
                <w:sz w:val="24"/>
                <w:szCs w:val="24"/>
              </w:rPr>
            </w:pPr>
            <w:r>
              <w:rPr>
                <w:rFonts w:ascii="宋体" w:eastAsia="宋体" w:cs="方正仿宋_GB2312" w:hint="eastAsia"/>
                <w:b/>
                <w:bCs/>
                <w:color w:val="FFFFFF"/>
                <w:kern w:val="0"/>
                <w:sz w:val="24"/>
                <w:szCs w:val="24"/>
              </w:rPr>
              <w:t>合作高职院校名称</w:t>
            </w:r>
          </w:p>
        </w:tc>
        <w:tc>
          <w:tcPr>
            <w:tcW w:w="3540" w:type="dxa"/>
            <w:tcBorders>
              <w:top w:val="single" w:sz="4" w:space="0" w:color="auto"/>
              <w:left w:val="single" w:sz="4" w:space="0" w:color="auto"/>
              <w:bottom w:val="single" w:sz="4" w:space="0" w:color="auto"/>
              <w:right w:val="single" w:sz="4" w:space="0" w:color="auto"/>
            </w:tcBorders>
            <w:shd w:val="clear" w:color="auto" w:fill="0372AE"/>
            <w:noWrap/>
            <w:vAlign w:val="center"/>
          </w:tcPr>
          <w:p>
            <w:pPr>
              <w:widowControl/>
              <w:spacing w:line="240" w:lineRule="atLeast"/>
              <w:jc w:val="center"/>
              <w:rPr>
                <w:rFonts w:ascii="宋体" w:eastAsia="宋体" w:cs="方正仿宋_GB2312"/>
                <w:b/>
                <w:bCs/>
                <w:color w:val="FFFFFF"/>
                <w:kern w:val="0"/>
                <w:sz w:val="24"/>
                <w:szCs w:val="24"/>
              </w:rPr>
            </w:pPr>
            <w:r>
              <w:rPr>
                <w:rFonts w:ascii="宋体" w:eastAsia="宋体" w:cs="方正仿宋_GB2312" w:hint="eastAsia"/>
                <w:b/>
                <w:bCs/>
                <w:color w:val="FFFFFF"/>
                <w:kern w:val="0"/>
                <w:sz w:val="24"/>
                <w:szCs w:val="24"/>
              </w:rPr>
              <w:t>合作专业（内容）</w:t>
            </w:r>
          </w:p>
        </w:tc>
      </w:tr>
      <w:tr>
        <w:trPr>
          <w:trHeight w:hRule="exact" w:val="567"/>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蓝山职中</w:t>
            </w:r>
          </w:p>
        </w:tc>
        <w:tc>
          <w:tcPr>
            <w:tcW w:w="3075"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湖南机电职院</w:t>
            </w:r>
          </w:p>
        </w:tc>
        <w:tc>
          <w:tcPr>
            <w:tcW w:w="3540"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机电技术应用专业</w:t>
            </w:r>
          </w:p>
        </w:tc>
      </w:tr>
      <w:tr>
        <w:trPr>
          <w:trHeight w:hRule="exact" w:val="567"/>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东安职中</w:t>
            </w:r>
          </w:p>
        </w:tc>
        <w:tc>
          <w:tcPr>
            <w:tcW w:w="3075"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湖南大众传媒职业技术学院</w:t>
            </w:r>
          </w:p>
        </w:tc>
        <w:tc>
          <w:tcPr>
            <w:tcW w:w="3540"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数字媒体艺术、动漫设计</w:t>
            </w:r>
          </w:p>
        </w:tc>
      </w:tr>
      <w:tr>
        <w:trPr>
          <w:trHeight w:hRule="exact" w:val="567"/>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东安职中</w:t>
            </w:r>
          </w:p>
        </w:tc>
        <w:tc>
          <w:tcPr>
            <w:tcW w:w="3075"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湖南科技职业学院</w:t>
            </w:r>
          </w:p>
        </w:tc>
        <w:tc>
          <w:tcPr>
            <w:tcW w:w="3540"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计算机网络技术</w:t>
            </w:r>
          </w:p>
        </w:tc>
      </w:tr>
      <w:tr>
        <w:trPr>
          <w:trHeight w:hRule="exact" w:val="567"/>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东安职中</w:t>
            </w:r>
          </w:p>
        </w:tc>
        <w:tc>
          <w:tcPr>
            <w:tcW w:w="3075"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湖南工程职业技术学院</w:t>
            </w:r>
          </w:p>
        </w:tc>
        <w:tc>
          <w:tcPr>
            <w:tcW w:w="3540"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电子信息工程</w:t>
            </w:r>
          </w:p>
        </w:tc>
      </w:tr>
      <w:tr>
        <w:trPr>
          <w:trHeight w:hRule="exact" w:val="567"/>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东方尚科</w:t>
            </w:r>
          </w:p>
        </w:tc>
        <w:tc>
          <w:tcPr>
            <w:tcW w:w="3075"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湖南九嶷职业技术学院</w:t>
            </w:r>
          </w:p>
        </w:tc>
        <w:tc>
          <w:tcPr>
            <w:tcW w:w="3540"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计算机应用</w:t>
            </w:r>
          </w:p>
        </w:tc>
      </w:tr>
      <w:tr>
        <w:trPr>
          <w:trHeight w:hRule="exact" w:val="567"/>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祁阳职中</w:t>
            </w:r>
          </w:p>
        </w:tc>
        <w:tc>
          <w:tcPr>
            <w:tcW w:w="3075"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永州职业技术学院</w:t>
            </w:r>
          </w:p>
        </w:tc>
        <w:tc>
          <w:tcPr>
            <w:tcW w:w="3540"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计算机网络技术</w:t>
            </w:r>
          </w:p>
        </w:tc>
      </w:tr>
      <w:tr>
        <w:trPr>
          <w:trHeight w:hRule="exact" w:val="567"/>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工商职中</w:t>
            </w:r>
          </w:p>
        </w:tc>
        <w:tc>
          <w:tcPr>
            <w:tcW w:w="3075"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永州职业技术学院</w:t>
            </w:r>
          </w:p>
        </w:tc>
        <w:tc>
          <w:tcPr>
            <w:tcW w:w="3540"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工业机器人技术应用、计算机应用</w:t>
            </w:r>
          </w:p>
        </w:tc>
      </w:tr>
      <w:tr>
        <w:trPr>
          <w:trHeight w:hRule="exact" w:val="822"/>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江华职中</w:t>
            </w:r>
          </w:p>
        </w:tc>
        <w:tc>
          <w:tcPr>
            <w:tcW w:w="3075"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湖南科技职业学院</w:t>
            </w:r>
          </w:p>
        </w:tc>
        <w:tc>
          <w:tcPr>
            <w:tcW w:w="3540"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机电技术应用、服装制作与生产管理</w:t>
            </w:r>
          </w:p>
        </w:tc>
      </w:tr>
      <w:tr>
        <w:trPr>
          <w:trHeight w:hRule="exact" w:val="567"/>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双牌职中</w:t>
            </w:r>
          </w:p>
        </w:tc>
        <w:tc>
          <w:tcPr>
            <w:tcW w:w="3075"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湘潭医卫职业技术学院</w:t>
            </w:r>
          </w:p>
        </w:tc>
        <w:tc>
          <w:tcPr>
            <w:tcW w:w="3540"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老年保健与管理</w:t>
            </w:r>
          </w:p>
        </w:tc>
      </w:tr>
      <w:tr>
        <w:trPr>
          <w:trHeight w:hRule="exact" w:val="567"/>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宁远职中</w:t>
            </w:r>
          </w:p>
        </w:tc>
        <w:tc>
          <w:tcPr>
            <w:tcW w:w="3075"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长沙交通职业技术学院</w:t>
            </w:r>
          </w:p>
        </w:tc>
        <w:tc>
          <w:tcPr>
            <w:tcW w:w="3540"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汽车检测与维修技术</w:t>
            </w:r>
          </w:p>
        </w:tc>
      </w:tr>
      <w:tr>
        <w:trPr>
          <w:trHeight w:hRule="exact" w:val="567"/>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宁远职中</w:t>
            </w:r>
          </w:p>
        </w:tc>
        <w:tc>
          <w:tcPr>
            <w:tcW w:w="3075"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湖南理工职业技术学院</w:t>
            </w:r>
          </w:p>
        </w:tc>
        <w:tc>
          <w:tcPr>
            <w:tcW w:w="3540"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机械设计与制造</w:t>
            </w:r>
          </w:p>
        </w:tc>
      </w:tr>
      <w:tr>
        <w:trPr>
          <w:trHeight w:hRule="exact" w:val="567"/>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永州综职</w:t>
            </w:r>
          </w:p>
        </w:tc>
        <w:tc>
          <w:tcPr>
            <w:tcW w:w="3075"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r>
              <w:rPr>
                <w:rFonts w:ascii="宋体" w:eastAsia="宋体" w:cs="方正仿宋_GB2312" w:hint="eastAsia"/>
                <w:spacing w:val="-6"/>
                <w:kern w:val="0"/>
                <w:sz w:val="24"/>
                <w:szCs w:val="24"/>
              </w:rPr>
              <w:t>永州职业技术学院</w:t>
            </w:r>
          </w:p>
        </w:tc>
        <w:tc>
          <w:tcPr>
            <w:tcW w:w="3540" w:type="dxa"/>
            <w:tcBorders>
              <w:top w:val="single" w:sz="4" w:space="0" w:color="auto"/>
              <w:left w:val="single" w:sz="4" w:space="0" w:color="auto"/>
              <w:bottom w:val="single" w:sz="4" w:space="0" w:color="auto"/>
              <w:right w:val="single" w:sz="4" w:space="0" w:color="auto"/>
            </w:tcBorders>
            <w:shd w:val="clear" w:color="auto" w:fill="auto"/>
            <w:noWrap/>
            <w:vAlign w:val="center"/>
          </w:tcPr>
          <w:p>
            <w:pPr>
              <w:widowControl/>
              <w:spacing w:line="240" w:lineRule="atLeast"/>
              <w:jc w:val="center"/>
              <w:rPr>
                <w:rFonts w:ascii="宋体" w:eastAsia="宋体" w:cs="方正仿宋_GB2312"/>
                <w:spacing w:val="-6"/>
                <w:kern w:val="0"/>
                <w:sz w:val="24"/>
                <w:szCs w:val="24"/>
              </w:rPr>
            </w:pPr>
          </w:p>
        </w:tc>
      </w:tr>
    </w:tbl>
    <w:p>
      <w:pPr>
        <w:pStyle w:val="15"/>
        <w:ind w:firstLineChars="0" w:firstLine="0"/>
        <w:rPr>
          <w:rFonts w:ascii="宋体" w:eastAsia="宋体"/>
          <w:sz w:val="21"/>
          <w:szCs w:val="21"/>
        </w:rPr>
      </w:pPr>
      <w:r>
        <w:rPr>
          <w:rFonts w:ascii="宋体" w:eastAsia="宋体" w:cs="微软雅黑" w:hint="eastAsia"/>
          <w:spacing w:val="0"/>
          <w:sz w:val="21"/>
          <w:szCs w:val="21"/>
          <w:shd w:val="clear" w:color="auto" w:fill="FFFFFF"/>
        </w:rPr>
        <w:t>（注：以上</w:t>
      </w:r>
      <w:r>
        <w:rPr>
          <w:rFonts w:ascii="宋体" w:eastAsia="宋体" w:cs="Segoe UI"/>
          <w:spacing w:val="0"/>
          <w:sz w:val="21"/>
          <w:szCs w:val="21"/>
          <w:shd w:val="clear" w:color="auto" w:fill="FFFFFF"/>
        </w:rPr>
        <w:t>数据来</w:t>
      </w:r>
      <w:r>
        <w:rPr>
          <w:rFonts w:ascii="宋体" w:eastAsia="宋体" w:cs="微软雅黑" w:hint="eastAsia"/>
          <w:spacing w:val="0"/>
          <w:sz w:val="21"/>
          <w:szCs w:val="21"/>
          <w:shd w:val="clear" w:color="auto" w:fill="FFFFFF"/>
        </w:rPr>
        <w:t>自</w:t>
      </w:r>
      <w:r>
        <w:rPr>
          <w:rFonts w:ascii="宋体" w:eastAsia="宋体" w:cs="Segoe UI"/>
          <w:spacing w:val="0"/>
          <w:sz w:val="21"/>
          <w:szCs w:val="21"/>
          <w:shd w:val="clear" w:color="auto" w:fill="FFFFFF"/>
        </w:rPr>
        <w:t>各相关学校校际合作工作档案</w:t>
      </w:r>
      <w:r>
        <w:rPr>
          <w:rFonts w:ascii="宋体" w:eastAsia="宋体" w:cs="微软雅黑" w:hint="eastAsia"/>
          <w:spacing w:val="0"/>
          <w:sz w:val="21"/>
          <w:szCs w:val="21"/>
          <w:shd w:val="clear" w:color="auto" w:fill="FFFFFF"/>
        </w:rPr>
        <w:t>）</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3.4.3联合体协同育人</w:t>
      </w:r>
    </w:p>
    <w:p>
      <w:pPr>
        <w:pStyle w:val="15"/>
        <w:rPr>
          <w:rFonts w:ascii="仿宋_GB2312"/>
        </w:rPr>
      </w:pPr>
      <w:r>
        <w:rPr>
          <w:rFonts w:ascii="仿宋_GB2312" w:hint="eastAsia"/>
        </w:rPr>
        <w:t>宁远职中联合5所中职学校成立“六校联合体”，开展跨校公开课、联合统考等活动，共享复习策略，提升整体教学质量；永州工贸学校依托“湘南教研联盟”，与多所院校共同开展教改项目研究，促进教学经验互通。</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rPr>
          <w:trHeight w:val="589"/>
        </w:trPr>
        <w:tc>
          <w:tcPr>
            <w:tcW w:w="8296" w:type="dxa"/>
            <w:tcBorders>
              <w:top w:val="single" w:sz="4" w:space="0" w:color="auto"/>
              <w:left w:val="single" w:sz="4" w:space="0" w:color="auto"/>
              <w:bottom w:val="single" w:sz="4" w:space="0" w:color="auto"/>
              <w:right w:val="single" w:sz="4" w:space="0" w:color="auto"/>
            </w:tcBorders>
            <w:shd w:val="clear" w:color="auto" w:fill="7C7264"/>
            <w:noWrap/>
            <w:vAlign w:val="center"/>
          </w:tcPr>
          <w:p>
            <w:pPr>
              <w:pStyle w:val="23"/>
              <w:widowControl/>
              <w:spacing w:line="440" w:lineRule="exact"/>
              <w:ind w:left="1440" w:hangingChars="450" w:hanging="1440"/>
              <w:jc w:val="left"/>
              <w:outlineLvl w:val="4"/>
              <w:rPr>
                <w:rFonts w:ascii="方正仿宋_GB2312" w:cs="方正仿宋_GB2312" w:hAnsi="方正仿宋_GB2312"/>
                <w:b/>
                <w:bCs/>
                <w:color w:val="0F1115"/>
                <w:sz w:val="32"/>
                <w:szCs w:val="32"/>
              </w:rPr>
            </w:pPr>
            <w:bookmarkStart w:id="63" w:name="_Toc218688688"/>
            <w:r>
              <w:rPr>
                <w:rFonts w:ascii="仿宋_GB2312" w:cs="仿宋_GB2312" w:hint="eastAsia"/>
                <w:b/>
                <w:bCs/>
                <w:color w:val="FFFFFF"/>
                <w:sz w:val="32"/>
                <w:szCs w:val="32"/>
              </w:rPr>
              <w:t>案例</w:t>
            </w:r>
            <w:r>
              <w:rPr>
                <w:rFonts w:ascii="仿宋_GB2312" w:cs="仿宋_GB2312"/>
                <w:b/>
                <w:bCs/>
                <w:color w:val="FFFFFF"/>
                <w:sz w:val="32"/>
                <w:szCs w:val="32"/>
              </w:rPr>
              <w:t>3-4：</w:t>
            </w:r>
            <w:r>
              <w:rPr>
                <w:rFonts w:ascii="仿宋_GB2312" w:cs="仿宋_GB2312" w:hint="eastAsia"/>
                <w:b/>
                <w:bCs/>
                <w:color w:val="FFFFFF"/>
                <w:sz w:val="32"/>
                <w:szCs w:val="32"/>
              </w:rPr>
              <w:t>永州综职两校协作谋发展</w:t>
            </w:r>
            <w:bookmarkEnd w:id="63"/>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宋体"/>
                <w:sz w:val="28"/>
                <w:szCs w:val="28"/>
              </w:rPr>
            </w:pPr>
            <w:r>
              <w:rPr>
                <w:rFonts w:ascii="宋体" w:eastAsia="宋体" w:cs="宋体" w:hint="eastAsia"/>
                <w:sz w:val="28"/>
                <w:szCs w:val="28"/>
              </w:rPr>
              <w:t>为落实《国家职业教育改革实施方案》关于深化中高职衔接的部署，破解中职学生升学通道不畅、课程体系断层等痛点，2025年4月，永州市综合职业中专与永州职业技术学院立足区域产业升级对技术技能人才的长周期需求，启动中高职衔接深度合作。两校以“标准引领、课程融通、资源共享”为核心理念，构建覆盖招生、培养、评价的全链条贯通机制，为职业教育纵向贯通发展探索实践样本。</w:t>
            </w:r>
          </w:p>
          <w:p>
            <w:pPr>
              <w:pStyle w:val="23"/>
              <w:widowControl/>
              <w:spacing w:line="480" w:lineRule="exact"/>
              <w:rPr>
                <w:rFonts w:ascii="宋体" w:eastAsia="宋体" w:cs="宋体"/>
                <w:sz w:val="28"/>
                <w:szCs w:val="28"/>
              </w:rPr>
            </w:pPr>
            <w:r>
              <w:rPr>
                <w:rFonts w:ascii="宋体" w:eastAsia="宋体" w:cs="宋体" w:hint="eastAsia"/>
                <w:sz w:val="28"/>
                <w:szCs w:val="28"/>
              </w:rPr>
              <w:t>两校成立校长牵头的联合工作组，构建“制度-资源-服务”三维协同体系。制度衔接上，共同制定《中高职贯通人才培养实施方案》，形成“基础技能+专业拓展+岗位进阶”三级课程模块；资源整合中，共建共享实训基地与师资库，实现教材、教案、考核标准“三统一”；服务保障层面，搭建“招生-升学-就业”信息平台，开设“高职政策解读”等专题课，组织高职教师入校强化技能训练，建立学生升学档案跟踪机制，通过常态化沟通提前传递招生信息，降低升学门槛。</w:t>
            </w:r>
          </w:p>
          <w:p>
            <w:pPr>
              <w:pStyle w:val="23"/>
              <w:widowControl/>
              <w:spacing w:line="480" w:lineRule="exact"/>
              <w:rPr>
                <w:rFonts w:ascii="宋体" w:eastAsia="宋体" w:cs="方正仿宋_GB2312"/>
                <w:color w:val="0F1115"/>
                <w:sz w:val="28"/>
                <w:szCs w:val="28"/>
              </w:rPr>
            </w:pPr>
            <w:r>
              <w:rPr>
                <w:rFonts w:ascii="宋体" w:eastAsia="宋体" w:cs="宋体" w:hint="eastAsia"/>
                <w:sz w:val="28"/>
                <w:szCs w:val="28"/>
              </w:rPr>
              <w:t>该实践验证职业教育贯通培养三大路径：以标准先行破除壁垒，通过联合制定方案与课标实现目标、内容、评价有机衔接；以数字赋能提质增效，用虚拟仿真、大数据跟踪技能成长；以生态共建激发活力，构建“政府统筹、院校联动、企业参与”机制，如设专项基金、企业参与课程开发。其方案已被推广，成为服务区域产业升级的重要支撑。</w:t>
            </w:r>
          </w:p>
        </w:tc>
      </w:tr>
    </w:tbl>
    <w:p>
      <w:pPr>
        <w:pStyle w:val="2"/>
        <w:spacing w:before="0" w:after="0" w:line="560" w:lineRule="exact"/>
        <w:ind w:firstLineChars="200" w:firstLine="640"/>
        <w:rPr>
          <w:rFonts w:ascii="楷体" w:eastAsia="楷体"/>
          <w:shd w:val="clear" w:color="auto" w:fill="FFFFFF"/>
        </w:rPr>
      </w:pPr>
      <w:bookmarkStart w:id="64" w:name="_Toc218688926"/>
      <w:r>
        <w:rPr>
          <w:rFonts w:ascii="楷体" w:eastAsia="楷体" w:hint="eastAsia"/>
          <w:shd w:val="clear" w:color="auto" w:fill="FFFFFF"/>
        </w:rPr>
        <w:t>3.5 中小企业服务</w:t>
      </w:r>
      <w:bookmarkEnd w:id="64"/>
    </w:p>
    <w:p>
      <w:pPr>
        <w:pStyle w:val="15"/>
        <w:rPr>
          <w:rFonts w:ascii="仿宋_GB2312"/>
        </w:rPr>
      </w:pPr>
      <w:r>
        <w:rPr>
          <w:rFonts w:ascii="仿宋_GB2312" w:hint="eastAsia"/>
        </w:rPr>
        <w:t>全市中职学校以产教融合为纽带，聚焦中小企业人才需求、技术升级痛点，提供“定制化、全方位”服务，助力中小企业高质量发展。</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3.5.1人才定制供给</w:t>
      </w:r>
    </w:p>
    <w:p>
      <w:pPr>
        <w:pStyle w:val="15"/>
        <w:rPr>
          <w:rFonts w:ascii="仿宋_GB2312"/>
        </w:rPr>
      </w:pPr>
      <w:r>
        <w:rPr>
          <w:rFonts w:ascii="仿宋_GB2312" w:hint="eastAsia"/>
        </w:rPr>
        <w:t>各中职学校深入永州经开区、零陵高新区等园区，走访信征科技、湖南元翼智飞等数十家中小企业，收集人才需求信息，将企业“需求清单”转化为“培养清单”，全年为中小企业输送技能人才3000余人次，开展岗前培训超1500人次。</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3.5.2技术协同创新</w:t>
      </w:r>
    </w:p>
    <w:p>
      <w:pPr>
        <w:pStyle w:val="15"/>
        <w:rPr>
          <w:rFonts w:ascii="仿宋_GB2312"/>
        </w:rPr>
      </w:pPr>
      <w:r>
        <w:rPr>
          <w:rFonts w:ascii="仿宋_GB2312" w:hint="eastAsia"/>
        </w:rPr>
        <w:t>永州综职为轻工纺织类企业提供技术诊断与改进服务，推动企业协同创新；祁阳职中与企业联合开发规划教材9本，将企业真实项目、最新工艺纳入教学，同步提升学生技能与企业技术适配度。</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3.5.3资源共享赋能</w:t>
      </w:r>
    </w:p>
    <w:p>
      <w:pPr>
        <w:pStyle w:val="15"/>
        <w:rPr>
          <w:rFonts w:ascii="仿宋_GB2312"/>
        </w:rPr>
      </w:pPr>
      <w:r>
        <w:rPr>
          <w:rFonts w:ascii="仿宋_GB2312" w:hint="eastAsia"/>
        </w:rPr>
        <w:t>江华职中与本地中小企业共建生产性实训基地，共享教学与生产资源，开展技术提升培训7场，覆盖员工300余人；工商职中为中小企业提供订单培养、员工轮训等服务，缓解企业“招工难、育人难”问题。</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方正仿宋_GB2312"/>
                <w:b/>
                <w:bCs/>
                <w:color w:val="0F1115"/>
                <w:sz w:val="32"/>
                <w:szCs w:val="32"/>
              </w:rPr>
            </w:pPr>
            <w:bookmarkStart w:id="65" w:name="_Toc218688689"/>
            <w:r>
              <w:rPr>
                <w:rFonts w:ascii="仿宋_GB2312" w:cs="仿宋_GB2312" w:hint="eastAsia"/>
                <w:b/>
                <w:bCs/>
                <w:color w:val="FFFFFF"/>
                <w:sz w:val="32"/>
                <w:szCs w:val="32"/>
              </w:rPr>
              <w:t>案例3-5：东安职中“县域企业+学校”协同育人</w:t>
            </w:r>
            <w:bookmarkEnd w:id="65"/>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宋体"/>
                <w:sz w:val="28"/>
                <w:szCs w:val="28"/>
              </w:rPr>
            </w:pPr>
            <w:r>
              <w:rPr>
                <w:rFonts w:ascii="宋体" w:eastAsia="宋体" w:cs="宋体" w:hint="eastAsia"/>
                <w:sz w:val="28"/>
                <w:szCs w:val="28"/>
              </w:rPr>
              <w:t>作为全国中高端吉他制造第三大聚集地，东安县吉他产业园年产值超26亿元，产品远销20余国，但产业爆发式增长与专业人才短缺的矛盾日益凸显。传统职业教育中，学生技能培养与产业需求脱节，企业面临“用工荒”，学生深陷“就业难”。在此背景下，东安县职业中专以吉他制造与维修专业为突破口，创新构建“课堂实训+基地轮岗+创业实践”三维实训体系，推动教育链、人才链与产业链深度融合，为县域特色产业培育“即用型”技术工匠。</w:t>
            </w:r>
          </w:p>
          <w:p>
            <w:pPr>
              <w:pStyle w:val="23"/>
              <w:widowControl/>
              <w:spacing w:line="480" w:lineRule="exact"/>
              <w:rPr>
                <w:rFonts w:ascii="宋体" w:eastAsia="宋体" w:cs="宋体"/>
                <w:sz w:val="28"/>
                <w:szCs w:val="28"/>
              </w:rPr>
            </w:pPr>
            <w:r>
              <w:rPr>
                <w:rFonts w:ascii="宋体" w:eastAsia="宋体" w:cs="宋体" w:hint="eastAsia"/>
                <w:sz w:val="28"/>
                <w:szCs w:val="28"/>
              </w:rPr>
              <w:t>学校以吉他制造全流程为教学主线，并投入实践教学。二年级下学期，学生可进入楚门乐器、歌诺雅等5家吉他企业轮岗，参与吉他声学结构调试、音梁设计优化等核心环节，由企业工程师与学校导师联合指导，实现“教室即工坊、作业即产品”。三年级则通过“吉他演奏社团”开展演艺与维修技术双轨训练，组织学生参与吉他音乐节、展销会等产业活动，同步对接本地吉他工厂就业岗位，形成“技能学习—岗位实践—职业发展”闭环。</w:t>
            </w:r>
          </w:p>
          <w:p>
            <w:pPr>
              <w:pStyle w:val="23"/>
              <w:widowControl/>
              <w:spacing w:line="480" w:lineRule="exact"/>
              <w:rPr>
                <w:rFonts w:ascii="宋体" w:eastAsia="宋体" w:cs="宋体"/>
                <w:sz w:val="28"/>
                <w:szCs w:val="28"/>
              </w:rPr>
            </w:pPr>
            <w:r>
              <w:rPr>
                <w:rFonts w:ascii="宋体" w:eastAsia="宋体" w:cs="宋体" w:hint="eastAsia"/>
                <w:sz w:val="28"/>
                <w:szCs w:val="28"/>
              </w:rPr>
              <w:t>产教协同需精准对接产业痛点，以真实生产场景重构课程体系，破解“教什么”的难题；校企资源深度整合是关键，通过“订单式培养+双导师制”实现人才培养与岗位需求无缝衔接；政策赋能不可或缺，政府通过专项补贴、税收优惠等激励企业参与教育，形成“产业反哺教育、教育反哺产业”的良性循环。东安经验表明，职业教育唯有扎根区域产业沃土，方能培育出支撑高质量发展的“大国工匠”，为县域经济转型升级注入持久动能。</w:t>
            </w:r>
          </w:p>
          <w:p>
            <w:pPr>
              <w:pStyle w:val="23"/>
              <w:widowControl/>
              <w:spacing w:line="240" w:lineRule="auto"/>
              <w:ind w:firstLineChars="0" w:firstLine="0"/>
              <w:jc w:val="center"/>
              <w:rPr>
                <w:rFonts w:ascii="宋体" w:eastAsia="宋体"/>
                <w:b/>
                <w:bCs/>
              </w:rPr>
            </w:pPr>
            <w:r>
              <w:rPr>
                <w:rFonts w:ascii="宋体" w:eastAsia="宋体" w:hint="eastAsia"/>
                <w:b/>
                <w:bCs/>
              </w:rPr>
              <w:drawing>
                <wp:inline distT="0" distB="0" distL="0" distR="0">
                  <wp:extent cx="4831715" cy="3219450"/>
                  <wp:effectExtent l="0" t="0" r="42" b="46"/>
                  <wp:docPr id="53" name="图片 22" descr="d58a067519e0ba5d2f753fb7ebb22f8d"/>
                  <wp:cNvGraphicFramePr>
                    <a:graphicFrameLocks noChangeAspect="1"/>
                  </wp:cNvGraphicFramePr>
                  <a:graphic>
                    <a:graphicData uri="http://schemas.openxmlformats.org/drawingml/2006/picture">
                      <pic:pic>
                        <pic:nvPicPr>
                          <pic:cNvPr id="55" name="图片 22 55"/>
                          <pic:cNvPicPr/>
                        </pic:nvPicPr>
                        <pic:blipFill>
                          <a:blip r:embed="rId25"/>
                          <a:stretch>
                            <a:fillRect/>
                          </a:stretch>
                        </pic:blipFill>
                        <pic:spPr>
                          <a:xfrm rot="0">
                            <a:off x="0" y="0"/>
                            <a:ext cx="4831715" cy="3219450"/>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宋体" w:eastAsia="宋体" w:cs="宋体"/>
                <w:sz w:val="28"/>
                <w:szCs w:val="28"/>
              </w:rPr>
            </w:pPr>
            <w:bookmarkStart w:id="66" w:name="_Toc218688637"/>
            <w:r>
              <w:rPr>
                <w:rFonts w:ascii="宋体" w:eastAsia="宋体" w:hint="eastAsia"/>
                <w:b/>
                <w:bCs/>
              </w:rPr>
              <w:t>图3-5东安职中师生在楚门乐器进行实践活动</w:t>
            </w:r>
            <w:bookmarkEnd w:id="66"/>
          </w:p>
        </w:tc>
      </w:tr>
    </w:tbl>
    <w:p>
      <w:pPr>
        <w:pStyle w:val="1"/>
        <w:spacing w:beforeLines="50" w:before="156" w:afterLines="50" w:after="156" w:line="520" w:lineRule="exact"/>
        <w:ind w:firstLineChars="200" w:firstLine="640"/>
        <w:rPr>
          <w:rFonts w:ascii="黑体" w:eastAsia="黑体"/>
          <w:b w:val="0"/>
          <w:bCs w:val="0"/>
          <w:sz w:val="32"/>
          <w:szCs w:val="32"/>
          <w:shd w:val="clear" w:color="auto" w:fill="FFFFFF"/>
        </w:rPr>
      </w:pPr>
      <w:bookmarkStart w:id="67" w:name="_Toc218617429"/>
      <w:bookmarkStart w:id="68" w:name="_Toc218688927"/>
      <w:r>
        <w:rPr>
          <w:rFonts w:ascii="黑体" w:eastAsia="黑体" w:hint="eastAsia"/>
          <w:b w:val="0"/>
          <w:bCs w:val="0"/>
          <w:sz w:val="32"/>
          <w:szCs w:val="32"/>
          <w:shd w:val="clear" w:color="auto" w:fill="FFFFFF"/>
        </w:rPr>
        <w:t>4</w:t>
      </w:r>
      <w:r>
        <w:rPr>
          <w:rFonts w:ascii="黑体" w:eastAsia="黑体"/>
          <w:b w:val="0"/>
          <w:bCs w:val="0"/>
          <w:sz w:val="32"/>
          <w:szCs w:val="32"/>
          <w:shd w:val="clear" w:color="auto" w:fill="FFFFFF"/>
        </w:rPr>
        <w:t xml:space="preserve">. </w:t>
      </w:r>
      <w:r>
        <w:rPr>
          <w:rFonts w:ascii="黑体" w:eastAsia="黑体" w:hint="eastAsia"/>
          <w:b w:val="0"/>
          <w:bCs w:val="0"/>
          <w:sz w:val="32"/>
          <w:szCs w:val="32"/>
          <w:shd w:val="clear" w:color="auto" w:fill="FFFFFF"/>
        </w:rPr>
        <w:t>文化传承</w:t>
      </w:r>
      <w:bookmarkEnd w:id="67"/>
      <w:bookmarkEnd w:id="68"/>
    </w:p>
    <w:p>
      <w:pPr>
        <w:pStyle w:val="15"/>
        <w:rPr>
          <w:rFonts w:ascii="仿宋_GB2312"/>
        </w:rPr>
      </w:pPr>
      <w:bookmarkStart w:id="69" w:name="_Hlk190502370"/>
      <w:bookmarkStart w:id="70" w:name="_Toc12042"/>
      <w:bookmarkEnd w:id="69"/>
      <w:r>
        <w:rPr>
          <w:rFonts w:ascii="仿宋_GB2312" w:hint="eastAsia"/>
        </w:rPr>
        <w:t>2025年，永州市各中等职业学校深入贯彻落实立德树人根本任务，积极构建富有地域特色和职教特点的文化育人体系。各校坚持以工匠精神为魂、红色基因为根、优秀传统文化为脉、特色校园文化为体，通过课程融合、活动浸润、实践锤炼、环境营造等多维路径，将文化传承深度融入人才培养全过程。在这一年中，全市中职学校以系统化设计、常态化推进、品牌化打造为思路，形成了“一校一品、各美其美”的生动局面，不仅有效提升了学生的文化自信、职业素养和家国情怀，也为培养担当民族复兴大任的新时代高素质技术技能人才奠定了坚实的文化基础与价值支撑。</w:t>
      </w:r>
    </w:p>
    <w:p>
      <w:pPr>
        <w:pStyle w:val="2"/>
        <w:spacing w:before="0" w:after="0" w:line="560" w:lineRule="exact"/>
        <w:ind w:firstLineChars="200" w:firstLine="640"/>
        <w:rPr>
          <w:rFonts w:ascii="楷体" w:eastAsia="楷体"/>
          <w:shd w:val="clear" w:color="auto" w:fill="FFFFFF"/>
        </w:rPr>
      </w:pPr>
      <w:bookmarkStart w:id="71" w:name="_Toc218688928"/>
      <w:r>
        <w:rPr>
          <w:rFonts w:ascii="楷体" w:eastAsia="楷体" w:hint="eastAsia"/>
          <w:shd w:val="clear" w:color="auto" w:fill="FFFFFF"/>
        </w:rPr>
        <w:t>4.1传承工匠精神</w:t>
      </w:r>
      <w:bookmarkEnd w:id="71"/>
    </w:p>
    <w:p>
      <w:pPr>
        <w:pStyle w:val="23"/>
        <w:shd w:val="clear" w:color="auto" w:fill="FFFFFF"/>
        <w:rPr>
          <w:rFonts w:ascii="仿宋_GB2312" w:cs="仿宋_GB2312"/>
          <w:b/>
          <w:bCs/>
          <w:color w:val="0F1115"/>
          <w:sz w:val="32"/>
          <w:szCs w:val="32"/>
          <w:shd w:val="clear" w:color="auto" w:fill="FFFFFF"/>
        </w:rPr>
      </w:pPr>
      <w:r>
        <w:rPr>
          <w:rFonts w:ascii="仿宋_GB2312" w:cs="仿宋_GB2312"/>
          <w:b/>
          <w:bCs/>
          <w:color w:val="0F1115"/>
          <w:sz w:val="32"/>
          <w:szCs w:val="32"/>
          <w:shd w:val="clear" w:color="auto" w:fill="FFFFFF"/>
        </w:rPr>
        <w:t>4.1.1 “四位一体”立体化培育体系</w:t>
      </w:r>
    </w:p>
    <w:p>
      <w:pPr>
        <w:pStyle w:val="15"/>
        <w:rPr>
          <w:rFonts w:ascii="仿宋_GB2312"/>
        </w:rPr>
      </w:pPr>
      <w:r>
        <w:rPr>
          <w:rFonts w:ascii="仿宋_GB2312" w:hint="eastAsia"/>
        </w:rPr>
        <w:t>本年度，永州市各中职学校将工匠精神培育作为落实“德技并修”育人目标的核心抓手，系统构建了“课程渗透、平台赋能、文化浸润、实践锤炼”四位一体的立体化培育体系。全市范围内普遍实施“工匠精神进教材、进课堂、进头脑”工程，通过开设专门课程、深度挖掘专业课程中蕴含的工匠元素、常态化邀请行业工匠大师和优秀校友进校园开展讲座与示范教学等多种形式，使“敬业、专注、精益、创新”的工匠理念深入人心。各校高度重视技能竞赛对工匠精神养成的引领作用，全面完善“校-市-省”三级竞赛选拔与培养机制，真正实现“以赛促学、以赛促教、以赛促建、以赛促改”。同时，各校持续深化产教融合、校企合作，共建高水平实训基地，广泛推行现代学徒制与企业新型学徒制，让学生在真实的生产环境、真实的工艺流程、真实的产品标准中，切身感悟工匠标准、锤炼精湛技艺。</w:t>
      </w:r>
    </w:p>
    <w:p>
      <w:pPr>
        <w:widowControl/>
        <w:spacing w:beforeLines="50" w:before="156"/>
        <w:jc w:val="center"/>
        <w:outlineLvl w:val="3"/>
        <w:rPr>
          <w:rFonts w:ascii="宋体" w:eastAsia="宋体" w:cs="仿宋_GB2312"/>
          <w:b/>
          <w:bCs/>
          <w:kern w:val="0"/>
          <w:sz w:val="28"/>
          <w:szCs w:val="28"/>
        </w:rPr>
      </w:pPr>
      <w:bookmarkStart w:id="72" w:name="_Toc218688668"/>
      <w:r>
        <w:rPr>
          <w:rFonts w:ascii="宋体" w:eastAsia="宋体" w:hint="eastAsia"/>
          <w:b/>
          <w:bCs/>
          <w:color w:val="1F2329"/>
          <w:kern w:val="0"/>
          <w:sz w:val="24"/>
          <w:szCs w:val="24"/>
          <w:shd w:val="clear" w:color="auto" w:fill="FFFFFF"/>
        </w:rPr>
        <w:t>表4-1 2025年永州市部分中职学校工匠精神培育特色举措一览表</w:t>
      </w:r>
      <w:bookmarkEnd w:id="72"/>
    </w:p>
    <w:tbl>
      <w:tblPr>
        <w:jc w:val="left"/>
        <w:tblInd w:w="0" w:type="dxa"/>
        <w:tblW w:w="8181" w:type="dxa"/>
        <w:tblBorders>
          <w:top w:val="none" w:sz="0" w:space="0" w:color="auto"/>
          <w:left w:val="none" w:sz="0" w:space="0" w:color="auto"/>
          <w:bottom w:val="none" w:sz="0" w:space="0" w:color="auto"/>
          <w:right w:val="none" w:sz="0" w:space="0" w:color="auto"/>
        </w:tblBorders>
        <w:shd w:val="clear" w:color="auto" w:fill="FFFFFF"/>
        <w:tblCellMar>
          <w:top w:w="15" w:type="dxa"/>
          <w:left w:w="15" w:type="dxa"/>
          <w:bottom w:w="15" w:type="dxa"/>
          <w:right w:w="15" w:type="dxa"/>
        </w:tblCellMar>
      </w:tblPr>
      <w:tblGrid>
        <w:gridCol w:w="1838"/>
        <w:gridCol w:w="2782"/>
        <w:gridCol w:w="3561"/>
      </w:tblGrid>
      <w:tr>
        <w:trPr>
          <w:tblHeader/>
        </w:trPr>
        <w:tc>
          <w:tcPr>
            <w:tcW w:w="1838" w:type="dxa"/>
            <w:tcBorders>
              <w:top w:val="single" w:sz="4" w:space="0" w:color="000000"/>
              <w:left w:val="single" w:sz="4" w:space="0" w:color="000000"/>
              <w:bottom w:val="single" w:sz="4" w:space="0" w:color="000000"/>
              <w:right w:val="single" w:sz="4" w:space="0" w:color="000000"/>
              <w:tl2br w:val="nil"/>
            </w:tcBorders>
            <w:shd w:val="clear" w:color="auto" w:fill="0372AE"/>
            <w:noWrap/>
            <w:tcMar>
              <w:top w:w="100" w:type="dxa"/>
              <w:left w:w="0" w:type="dxa"/>
              <w:bottom w:w="100" w:type="dxa"/>
              <w:right w:w="160" w:type="dxa"/>
            </w:tcMar>
            <w:vAlign w:val="center"/>
          </w:tcPr>
          <w:p>
            <w:pPr>
              <w:widowControl/>
              <w:spacing w:line="250" w:lineRule="atLeast"/>
              <w:jc w:val="center"/>
              <w:rPr>
                <w:rFonts w:ascii="宋体" w:eastAsia="宋体" w:cs="宋体"/>
                <w:b/>
                <w:bCs/>
                <w:color w:val="FFFFFF"/>
                <w:kern w:val="0"/>
                <w:sz w:val="24"/>
                <w:szCs w:val="24"/>
              </w:rPr>
            </w:pPr>
            <w:r>
              <w:rPr>
                <w:rFonts w:ascii="宋体" w:eastAsia="宋体" w:cs="宋体" w:hint="eastAsia"/>
                <w:b/>
                <w:bCs/>
                <w:color w:val="FFFFFF"/>
                <w:kern w:val="0"/>
                <w:sz w:val="24"/>
                <w:szCs w:val="24"/>
              </w:rPr>
              <w:t>学校名称</w:t>
            </w:r>
          </w:p>
        </w:tc>
        <w:tc>
          <w:tcPr>
            <w:tcW w:w="2782" w:type="dxa"/>
            <w:tcBorders>
              <w:top w:val="single" w:sz="4" w:space="0" w:color="000000"/>
              <w:left w:val="single" w:sz="4" w:space="0" w:color="000000"/>
              <w:bottom w:val="single" w:sz="4" w:space="0" w:color="000000"/>
              <w:right w:val="single" w:sz="4" w:space="0" w:color="000000"/>
            </w:tcBorders>
            <w:shd w:val="clear" w:color="auto" w:fill="0372AE"/>
            <w:noWrap/>
            <w:tcMar>
              <w:top w:w="100" w:type="dxa"/>
              <w:left w:w="160" w:type="dxa"/>
              <w:bottom w:w="100" w:type="dxa"/>
              <w:right w:w="160" w:type="dxa"/>
            </w:tcMar>
            <w:vAlign w:val="center"/>
          </w:tcPr>
          <w:p>
            <w:pPr>
              <w:widowControl/>
              <w:spacing w:line="250" w:lineRule="atLeast"/>
              <w:jc w:val="center"/>
              <w:rPr>
                <w:rFonts w:ascii="宋体" w:eastAsia="宋体" w:cs="宋体"/>
                <w:b/>
                <w:bCs/>
                <w:color w:val="FFFFFF"/>
                <w:kern w:val="0"/>
                <w:sz w:val="24"/>
                <w:szCs w:val="24"/>
              </w:rPr>
            </w:pPr>
            <w:r>
              <w:rPr>
                <w:rFonts w:ascii="宋体" w:eastAsia="宋体" w:cs="宋体" w:hint="eastAsia"/>
                <w:b/>
                <w:bCs/>
                <w:color w:val="FFFFFF"/>
                <w:kern w:val="0"/>
                <w:sz w:val="24"/>
                <w:szCs w:val="24"/>
              </w:rPr>
              <w:t>核心举措</w:t>
            </w:r>
          </w:p>
        </w:tc>
        <w:tc>
          <w:tcPr>
            <w:tcW w:w="3561" w:type="dxa"/>
            <w:tcBorders>
              <w:top w:val="single" w:sz="4" w:space="0" w:color="000000"/>
              <w:left w:val="single" w:sz="4" w:space="0" w:color="000000"/>
              <w:bottom w:val="single" w:sz="4" w:space="0" w:color="000000"/>
              <w:right w:val="single" w:sz="4" w:space="0" w:color="000000"/>
            </w:tcBorders>
            <w:shd w:val="clear" w:color="auto" w:fill="0372AE"/>
            <w:noWrap/>
            <w:tcMar>
              <w:top w:w="100" w:type="dxa"/>
              <w:left w:w="160" w:type="dxa"/>
              <w:bottom w:w="100" w:type="dxa"/>
              <w:right w:w="160" w:type="dxa"/>
            </w:tcMar>
            <w:vAlign w:val="center"/>
          </w:tcPr>
          <w:p>
            <w:pPr>
              <w:widowControl/>
              <w:spacing w:line="250" w:lineRule="atLeast"/>
              <w:jc w:val="center"/>
              <w:rPr>
                <w:rFonts w:ascii="宋体" w:eastAsia="宋体" w:cs="宋体"/>
                <w:b/>
                <w:bCs/>
                <w:color w:val="FFFFFF"/>
                <w:kern w:val="0"/>
                <w:sz w:val="24"/>
                <w:szCs w:val="24"/>
              </w:rPr>
            </w:pPr>
            <w:r>
              <w:rPr>
                <w:rFonts w:ascii="宋体" w:eastAsia="宋体" w:cs="宋体" w:hint="eastAsia"/>
                <w:b/>
                <w:bCs/>
                <w:color w:val="FFFFFF"/>
                <w:kern w:val="0"/>
                <w:sz w:val="24"/>
                <w:szCs w:val="24"/>
              </w:rPr>
              <w:t>特色亮点/成效</w:t>
            </w:r>
          </w:p>
        </w:tc>
      </w:tr>
      <w:tr>
        <w:tc>
          <w:tcPr>
            <w:tcW w:w="1838"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hint="eastAsia"/>
                <w:spacing w:val="-6"/>
                <w:kern w:val="0"/>
                <w:sz w:val="24"/>
                <w:szCs w:val="24"/>
              </w:rPr>
              <w:t>宁远县职业中专学校</w:t>
            </w:r>
          </w:p>
        </w:tc>
        <w:tc>
          <w:tcPr>
            <w:tcW w:w="2782"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hint="eastAsia"/>
                <w:spacing w:val="-6"/>
                <w:kern w:val="0"/>
                <w:sz w:val="24"/>
                <w:szCs w:val="24"/>
              </w:rPr>
              <w:t>构建“三级竞赛体系”，开展针对性集训</w:t>
            </w:r>
          </w:p>
        </w:tc>
        <w:tc>
          <w:tcPr>
            <w:tcW w:w="3561"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hint="eastAsia"/>
                <w:spacing w:val="-6"/>
                <w:kern w:val="0"/>
                <w:sz w:val="24"/>
                <w:szCs w:val="24"/>
              </w:rPr>
              <w:t>2025年获省级奖2项、市级奖7项，以赛促学成效显著</w:t>
            </w:r>
          </w:p>
        </w:tc>
      </w:tr>
      <w:tr>
        <w:tc>
          <w:tcPr>
            <w:tcW w:w="1838"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hint="eastAsia"/>
                <w:spacing w:val="-6"/>
                <w:kern w:val="0"/>
                <w:sz w:val="24"/>
                <w:szCs w:val="24"/>
              </w:rPr>
              <w:t>永州市工商职业中等专业学校</w:t>
            </w:r>
          </w:p>
        </w:tc>
        <w:tc>
          <w:tcPr>
            <w:tcW w:w="2782"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hint="eastAsia"/>
                <w:spacing w:val="-6"/>
                <w:kern w:val="0"/>
                <w:sz w:val="24"/>
                <w:szCs w:val="24"/>
              </w:rPr>
              <w:t>依托“楚怡”名师工作室，推进产教互哺</w:t>
            </w:r>
          </w:p>
        </w:tc>
        <w:tc>
          <w:tcPr>
            <w:tcW w:w="3561"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hint="eastAsia"/>
                <w:spacing w:val="-6"/>
                <w:kern w:val="0"/>
                <w:sz w:val="24"/>
                <w:szCs w:val="24"/>
              </w:rPr>
              <w:t>打造工匠精神传承与技术创新高地，培养双师队伍</w:t>
            </w:r>
          </w:p>
        </w:tc>
      </w:tr>
      <w:tr>
        <w:tc>
          <w:tcPr>
            <w:tcW w:w="1838"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hint="eastAsia"/>
                <w:spacing w:val="-6"/>
                <w:kern w:val="0"/>
                <w:sz w:val="24"/>
                <w:szCs w:val="24"/>
              </w:rPr>
              <w:t>永州市工业贸易中等学校</w:t>
            </w:r>
          </w:p>
        </w:tc>
        <w:tc>
          <w:tcPr>
            <w:tcW w:w="2782"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hint="eastAsia"/>
                <w:spacing w:val="-6"/>
                <w:kern w:val="0"/>
                <w:sz w:val="24"/>
                <w:szCs w:val="24"/>
              </w:rPr>
              <w:t>实施“课程筑基、实践锤炼、文化浸润、机制保障”立体化体系</w:t>
            </w:r>
          </w:p>
        </w:tc>
        <w:tc>
          <w:tcPr>
            <w:tcW w:w="3561"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hint="eastAsia"/>
                <w:spacing w:val="-6"/>
                <w:kern w:val="0"/>
                <w:sz w:val="24"/>
                <w:szCs w:val="24"/>
              </w:rPr>
              <w:t>建设6个“仿真+全真”实训室，开展“劳模进校园”活动6场</w:t>
            </w:r>
          </w:p>
        </w:tc>
      </w:tr>
      <w:tr>
        <w:trPr>
          <w:trHeight w:val="764"/>
        </w:trPr>
        <w:tc>
          <w:tcPr>
            <w:tcW w:w="1838"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hint="eastAsia"/>
                <w:spacing w:val="-6"/>
                <w:kern w:val="0"/>
                <w:sz w:val="24"/>
                <w:szCs w:val="24"/>
              </w:rPr>
              <w:t>新田县职业中等专业学校</w:t>
            </w:r>
          </w:p>
        </w:tc>
        <w:tc>
          <w:tcPr>
            <w:tcW w:w="2782"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hint="eastAsia"/>
                <w:spacing w:val="-6"/>
                <w:kern w:val="0"/>
                <w:sz w:val="24"/>
                <w:szCs w:val="24"/>
              </w:rPr>
              <w:t>建立“校友工匠库”，开展校友返湘活动</w:t>
            </w:r>
          </w:p>
        </w:tc>
        <w:tc>
          <w:tcPr>
            <w:tcW w:w="3561"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hint="eastAsia"/>
                <w:spacing w:val="-6"/>
                <w:kern w:val="0"/>
                <w:sz w:val="24"/>
                <w:szCs w:val="24"/>
              </w:rPr>
              <w:t>形成“校内教师+企业导师+杰出校友”三位一体培养体系</w:t>
            </w:r>
          </w:p>
        </w:tc>
      </w:tr>
      <w:tr>
        <w:trPr>
          <w:trHeight w:val="367"/>
        </w:trPr>
        <w:tc>
          <w:tcPr>
            <w:tcW w:w="1838"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hint="eastAsia"/>
                <w:spacing w:val="-6"/>
                <w:kern w:val="0"/>
                <w:sz w:val="24"/>
                <w:szCs w:val="24"/>
              </w:rPr>
              <w:t>蓝山县职业中等专业学习</w:t>
            </w:r>
          </w:p>
        </w:tc>
        <w:tc>
          <w:tcPr>
            <w:tcW w:w="2782"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hint="eastAsia"/>
                <w:spacing w:val="-6"/>
                <w:kern w:val="0"/>
                <w:sz w:val="24"/>
                <w:szCs w:val="24"/>
              </w:rPr>
              <w:t>推行7S管理融入实训与评价</w:t>
            </w:r>
          </w:p>
        </w:tc>
        <w:tc>
          <w:tcPr>
            <w:tcW w:w="3561"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hint="eastAsia"/>
                <w:spacing w:val="-6"/>
                <w:kern w:val="0"/>
                <w:sz w:val="24"/>
                <w:szCs w:val="24"/>
              </w:rPr>
              <w:t>强化学生职业素养，学校获评省级劳动教育实践基地</w:t>
            </w:r>
          </w:p>
        </w:tc>
      </w:tr>
      <w:tr>
        <w:tc>
          <w:tcPr>
            <w:tcW w:w="1838"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hint="eastAsia"/>
                <w:spacing w:val="-6"/>
                <w:kern w:val="0"/>
                <w:sz w:val="24"/>
                <w:szCs w:val="24"/>
              </w:rPr>
              <w:t>永州市综合职业中等专业学校</w:t>
            </w:r>
          </w:p>
        </w:tc>
        <w:tc>
          <w:tcPr>
            <w:tcW w:w="2782"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hint="eastAsia"/>
                <w:spacing w:val="-6"/>
                <w:kern w:val="0"/>
                <w:sz w:val="24"/>
                <w:szCs w:val="24"/>
              </w:rPr>
              <w:t>深度校企合作，企业导师驻校</w:t>
            </w:r>
          </w:p>
        </w:tc>
        <w:tc>
          <w:tcPr>
            <w:tcW w:w="3561"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hint="eastAsia"/>
                <w:spacing w:val="-6"/>
                <w:kern w:val="0"/>
                <w:sz w:val="24"/>
                <w:szCs w:val="24"/>
              </w:rPr>
              <w:t>学生亲身感受企业生产流程与质量文化，深化工匠认知</w:t>
            </w:r>
          </w:p>
        </w:tc>
      </w:tr>
    </w:tbl>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4.1.2 良好的校园文化氛围</w:t>
      </w:r>
    </w:p>
    <w:p>
      <w:pPr>
        <w:ind w:firstLineChars="200" w:firstLine="616"/>
        <w:rPr>
          <w:rFonts w:ascii="仿宋_GB2312" w:eastAsia="仿宋_GB2312" w:cs="仿宋_GB2312"/>
          <w:spacing w:val="-6"/>
          <w:kern w:val="0"/>
          <w:sz w:val="32"/>
          <w:szCs w:val="32"/>
        </w:rPr>
      </w:pPr>
      <w:r>
        <w:rPr>
          <w:rFonts w:ascii="仿宋_GB2312" w:eastAsia="仿宋_GB2312" w:cs="仿宋_GB2312" w:hint="eastAsia"/>
          <w:spacing w:val="-6"/>
          <w:kern w:val="0"/>
          <w:sz w:val="32"/>
          <w:szCs w:val="32"/>
        </w:rPr>
        <w:t>校园文化建设方面，永州市各中职学校普遍设立工匠文化长廊、技能标兵风采展示榜、优秀作品陈列区等，并通过举办“技能文化节”“工匠故事会”等活动，在校园内营造了“劳动光荣、技能宝贵、创造伟大”的浓厚氛围，引导学生树立崇尚技能、追求卓越的职业价值观。</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73" w:name="_Toc218688690"/>
            <w:r>
              <w:rPr>
                <w:rFonts w:ascii="仿宋_GB2312" w:cs="仿宋_GB2312" w:hint="eastAsia"/>
                <w:b/>
                <w:bCs/>
                <w:color w:val="FFFFFF"/>
                <w:sz w:val="32"/>
                <w:szCs w:val="32"/>
              </w:rPr>
              <w:t>案例</w:t>
            </w:r>
            <w:r>
              <w:rPr>
                <w:rFonts w:ascii="仿宋_GB2312" w:cs="仿宋_GB2312"/>
                <w:b/>
                <w:bCs/>
                <w:color w:val="FFFFFF"/>
                <w:sz w:val="32"/>
                <w:szCs w:val="32"/>
              </w:rPr>
              <w:t>4-1：</w:t>
            </w:r>
            <w:r>
              <w:rPr>
                <w:rFonts w:ascii="仿宋_GB2312" w:cs="仿宋_GB2312" w:hint="eastAsia"/>
                <w:b/>
                <w:bCs/>
                <w:color w:val="FFFFFF"/>
                <w:sz w:val="32"/>
                <w:szCs w:val="32"/>
              </w:rPr>
              <w:t>宁远县职业中专构建“三级竞赛体系”以赛赋能匠心培育</w:t>
            </w:r>
            <w:bookmarkEnd w:id="73"/>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宋体"/>
                <w:color w:val="0F1115"/>
                <w:sz w:val="28"/>
                <w:szCs w:val="28"/>
                <w:shd w:val="clear" w:color="auto" w:fill="FFFFFF"/>
              </w:rPr>
            </w:pPr>
            <w:r>
              <w:rPr>
                <w:rFonts w:ascii="宋体" w:eastAsia="宋体" w:cs="宋体" w:hint="eastAsia"/>
                <w:color w:val="0F1115"/>
                <w:sz w:val="28"/>
                <w:szCs w:val="28"/>
                <w:shd w:val="clear" w:color="auto" w:fill="FFFFFF"/>
              </w:rPr>
              <w:t>面对技能教学与行业顶尖标准存在差距、学生实践能力与心理素质亟待加强的现实挑战，宁远县职业中专学校锐意改革，将技能竞赛重新定位为驱动教学改革、检验育人质量的“指挥棒”与“试金石”。学校摒弃了临时突击的备赛模式，转而构建了一套“全员参与、层层选拔”的“校级初赛—市级复赛—省级决赛”三级竞赛体系，确保竞赛精神普惠全体学生。在此体系下，学校聚焦汽车维修、电子商务等优势专业，组建了由骨干教师与企业专家联合构成的教练团队，利用课余与假期，为学生量身定制科学严谨的“梯级递进”式集训方案。更为关键的是，学校致力于推动赛教深度融合，主动将竞赛所蕴含的最新技术规范、考核标准与评价方式，系统地反哺至日常教学与实训课程之中，从而实现了“以竞赛引领教学改革，以扎实教学支撑竞赛水平”的良性互动。2025年，该校学生在省级技能大赛中斩获2项奖项，在市级赛事中夺得7项荣誉，成绩稳步提升。这一体系不仅直接带来了奖牌的丰收，更在全校范围内激发起“比、学、赶、超”的浓厚氛围，学生的专业技能合格率与职业自信心得到显著增强，为全市中职学校“以赛促教、以赛促学”提供了可资借鉴的宁远范式。</w:t>
            </w:r>
          </w:p>
          <w:p>
            <w:pPr>
              <w:pStyle w:val="23"/>
              <w:widowControl/>
              <w:spacing w:line="240" w:lineRule="auto"/>
              <w:ind w:firstLineChars="0" w:firstLine="0"/>
              <w:jc w:val="center"/>
              <w:rPr>
                <w:rFonts w:ascii="宋体" w:eastAsia="宋体" w:cs="宋体"/>
                <w:color w:val="0F1115"/>
                <w:sz w:val="28"/>
                <w:szCs w:val="28"/>
                <w:shd w:val="clear" w:color="auto" w:fill="FFFFFF"/>
              </w:rPr>
            </w:pPr>
            <w:r>
              <w:rPr>
                <w:rFonts w:ascii="宋体" w:eastAsia="宋体" w:hint="eastAsia"/>
                <w:b/>
                <w:bCs/>
              </w:rPr>
              <w:drawing>
                <wp:inline distT="0" distB="0" distL="0" distR="0">
                  <wp:extent cx="4906645" cy="3430270"/>
                  <wp:effectExtent l="0" t="0" r="11" b="11"/>
                  <wp:docPr id="56" name="图片 28" descr="图片3"/>
                  <wp:cNvGraphicFramePr>
                    <a:graphicFrameLocks noChangeAspect="1"/>
                  </wp:cNvGraphicFramePr>
                  <a:graphic>
                    <a:graphicData uri="http://schemas.openxmlformats.org/drawingml/2006/picture">
                      <pic:pic>
                        <pic:nvPicPr>
                          <pic:cNvPr id="58" name="图片 28 58"/>
                          <pic:cNvPicPr/>
                        </pic:nvPicPr>
                        <pic:blipFill>
                          <a:blip r:embed="rId26"/>
                          <a:stretch>
                            <a:fillRect/>
                          </a:stretch>
                        </pic:blipFill>
                        <pic:spPr>
                          <a:xfrm rot="0">
                            <a:off x="0" y="0"/>
                            <a:ext cx="4906645" cy="3430270"/>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宋体" w:eastAsia="宋体" w:cs="宋体"/>
                <w:color w:val="0F1115"/>
                <w:sz w:val="28"/>
                <w:szCs w:val="28"/>
                <w:shd w:val="clear" w:color="auto" w:fill="FFFFFF"/>
              </w:rPr>
            </w:pPr>
            <w:bookmarkStart w:id="74" w:name="_Toc218688638"/>
            <w:r>
              <w:rPr>
                <w:rFonts w:ascii="宋体" w:eastAsia="宋体" w:hint="eastAsia"/>
                <w:b/>
                <w:bCs/>
              </w:rPr>
              <w:t>图4-1 宁远职中学生校级初赛训练现场</w:t>
            </w:r>
            <w:bookmarkEnd w:id="74"/>
          </w:p>
        </w:tc>
      </w:tr>
    </w:tbl>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75" w:name="_Toc218688691"/>
            <w:r>
              <w:rPr>
                <w:rFonts w:ascii="仿宋_GB2312" w:cs="仿宋_GB2312" w:hint="eastAsia"/>
                <w:b/>
                <w:bCs/>
                <w:color w:val="FFFFFF"/>
                <w:sz w:val="32"/>
                <w:szCs w:val="32"/>
              </w:rPr>
              <w:t>案例</w:t>
            </w:r>
            <w:r>
              <w:rPr>
                <w:rFonts w:ascii="仿宋_GB2312" w:cs="仿宋_GB2312"/>
                <w:b/>
                <w:bCs/>
                <w:color w:val="FFFFFF"/>
                <w:sz w:val="32"/>
                <w:szCs w:val="32"/>
              </w:rPr>
              <w:t>4-2：</w:t>
            </w:r>
            <w:r>
              <w:rPr>
                <w:rFonts w:ascii="仿宋_GB2312" w:cs="仿宋_GB2312" w:hint="eastAsia"/>
                <w:b/>
                <w:bCs/>
                <w:color w:val="FFFFFF"/>
                <w:sz w:val="32"/>
                <w:szCs w:val="32"/>
              </w:rPr>
              <w:t>永州市工商职业中专以“楚怡”名师工作室筑牢工匠精神传承阵地</w:t>
            </w:r>
            <w:bookmarkEnd w:id="75"/>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宋体"/>
                <w:color w:val="0F1115"/>
                <w:sz w:val="28"/>
                <w:szCs w:val="28"/>
                <w:shd w:val="clear" w:color="auto" w:fill="FFFFFF"/>
              </w:rPr>
            </w:pPr>
            <w:r>
              <w:rPr>
                <w:rFonts w:ascii="宋体" w:eastAsia="宋体" w:cs="宋体" w:hint="eastAsia"/>
                <w:color w:val="0F1115"/>
                <w:sz w:val="28"/>
                <w:szCs w:val="28"/>
                <w:shd w:val="clear" w:color="auto" w:fill="FFFFFF"/>
              </w:rPr>
              <w:t>为破解工匠精神教育中普遍存在的理念抽象、实践路径模糊、专业师资不足等难题，永州市工商职业中专学校创新思路，以李博“楚怡”名师工作室为核心引擎，探索出一条实体化、项目化、辐射化的工匠精神培育新路径。工作室自创立之初，便确立了“潜心做、专心做、用心做”的核心理念，立志打造省级一流名师工作室标杆。通过构建高效协同的运行机制，工作室持续优化“双师型”教师队伍结构，并深度对接永州智能装备制造产业集群的发展需求，将企业的真实技术难题转化为师生共同攻关的实践项目，将产业前沿标准无缝融入专业教学。在此基础上，工作室搭建了智能装备制造技术技能创新平台，不仅组织教师深入企业参与技术革新，还主动将技术服务延伸至乡村振兴领域，充分彰显职业教育的时代担当。如今，该工作室已发展成为区域性的教师成长摇篮、教学创新源泉和工匠精神传播中心，为产业升级输送了一批又一批技艺精湛、品格坚毅的优秀人才，成功塑造了“名师引领、产教互哺、服务社会”的工匠精神培育典范。</w:t>
            </w:r>
          </w:p>
          <w:p>
            <w:pPr>
              <w:pStyle w:val="23"/>
              <w:widowControl/>
              <w:spacing w:line="240" w:lineRule="auto"/>
              <w:rPr>
                <w:rFonts w:ascii="宋体" w:eastAsia="宋体" w:cs="宋体"/>
                <w:color w:val="0F1115"/>
                <w:sz w:val="28"/>
                <w:szCs w:val="28"/>
                <w:shd w:val="clear" w:color="auto" w:fill="FFFFFF"/>
              </w:rPr>
            </w:pPr>
            <w:r>
              <w:rPr>
                <w:rFonts w:ascii="宋体" w:eastAsia="宋体" w:hint="eastAsia"/>
                <w:b/>
                <w:bCs/>
              </w:rPr>
              <w:drawing>
                <wp:inline distT="0" distB="0" distL="0" distR="0">
                  <wp:extent cx="4218940" cy="3164204"/>
                  <wp:effectExtent l="0" t="0" r="1" b="48"/>
                  <wp:docPr id="59" name="图片 57" descr="图片12"/>
                  <wp:cNvGraphicFramePr>
                    <a:graphicFrameLocks noChangeAspect="1"/>
                  </wp:cNvGraphicFramePr>
                  <a:graphic>
                    <a:graphicData uri="http://schemas.openxmlformats.org/drawingml/2006/picture">
                      <pic:pic>
                        <pic:nvPicPr>
                          <pic:cNvPr id="61" name="图片 57 61"/>
                          <pic:cNvPicPr/>
                        </pic:nvPicPr>
                        <pic:blipFill>
                          <a:blip r:embed="rId27"/>
                          <a:stretch>
                            <a:fillRect/>
                          </a:stretch>
                        </pic:blipFill>
                        <pic:spPr>
                          <a:xfrm rot="0">
                            <a:off x="0" y="0"/>
                            <a:ext cx="4218940" cy="3164204"/>
                          </a:xfrm>
                          <a:prstGeom prst="rect"/>
                          <a:noFill/>
                          <a:ln w="9525" cmpd="sng" cap="flat">
                            <a:noFill/>
                            <a:prstDash val="solid"/>
                            <a:miter/>
                          </a:ln>
                        </pic:spPr>
                      </pic:pic>
                    </a:graphicData>
                  </a:graphic>
                </wp:inline>
              </w:drawing>
            </w:r>
          </w:p>
          <w:p>
            <w:pPr>
              <w:pStyle w:val="23"/>
              <w:widowControl/>
              <w:spacing w:line="480" w:lineRule="exact"/>
              <w:ind w:firstLineChars="0" w:firstLine="0"/>
              <w:jc w:val="center"/>
              <w:outlineLvl w:val="2"/>
              <w:rPr>
                <w:rFonts w:ascii="宋体" w:eastAsia="宋体" w:cs="宋体"/>
                <w:color w:val="0F1115"/>
                <w:sz w:val="28"/>
                <w:szCs w:val="28"/>
                <w:shd w:val="clear" w:color="auto" w:fill="FFFFFF"/>
              </w:rPr>
            </w:pPr>
            <w:bookmarkStart w:id="76" w:name="_Toc218688639"/>
            <w:r>
              <w:rPr>
                <w:rFonts w:ascii="宋体" w:eastAsia="宋体" w:hint="eastAsia"/>
                <w:b/>
                <w:bCs/>
              </w:rPr>
              <w:t>图4-2 永州工商“楚怡”名师工作室成员交流学习</w:t>
            </w:r>
            <w:bookmarkEnd w:id="76"/>
          </w:p>
        </w:tc>
      </w:tr>
    </w:tbl>
    <w:p>
      <w:pPr>
        <w:pStyle w:val="2"/>
        <w:spacing w:before="0" w:after="0" w:line="560" w:lineRule="exact"/>
        <w:ind w:firstLineChars="200" w:firstLine="640"/>
        <w:rPr>
          <w:rFonts w:ascii="楷体" w:eastAsia="楷体"/>
          <w:shd w:val="clear" w:color="auto" w:fill="FFFFFF"/>
        </w:rPr>
      </w:pPr>
      <w:bookmarkStart w:id="77" w:name="_Toc218688929"/>
      <w:r>
        <w:rPr>
          <w:rFonts w:ascii="楷体" w:eastAsia="楷体" w:hint="eastAsia"/>
          <w:shd w:val="clear" w:color="auto" w:fill="FFFFFF"/>
        </w:rPr>
        <w:t>4.2 传承红色基因</w:t>
      </w:r>
      <w:bookmarkEnd w:id="77"/>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4.2.1 “党建引领+课程融入+实践体验+文化熏陶”协同育人模式</w:t>
      </w:r>
    </w:p>
    <w:p>
      <w:pPr>
        <w:pStyle w:val="15"/>
        <w:rPr>
          <w:rFonts w:ascii="仿宋_GB2312"/>
        </w:rPr>
      </w:pPr>
      <w:r>
        <w:rPr>
          <w:rFonts w:ascii="仿宋_GB2312" w:hint="eastAsia"/>
        </w:rPr>
        <w:t>永州市各中职学校坚持将红色教育作为落实立德树人根本任务的重要内容，通过构建“党建引领+课程融入+实践体验+文化熏陶”的协同育人模式，推动红色基因全方位、深层次、常态化融入教育教学各环节。各校充分挖掘并利用本地及湖南省内丰富的红色资源，如道县的陈树湘纪念馆、冷水滩的李达故居、韶山毛泽东同志纪念馆等，定期组织学生开展实地参观、祭扫缅怀、仪式教育、现场教学等沉浸式实践活动，让学生在行走中感悟革命历史、在情境中体悟革命精神。</w:t>
      </w:r>
    </w:p>
    <w:p>
      <w:pPr>
        <w:pStyle w:val="23"/>
        <w:shd w:val="clear" w:color="auto" w:fill="FFFFFF"/>
        <w:rPr>
          <w:rFonts w:ascii="仿宋_GB2312" w:cs="仿宋_GB2312"/>
          <w:b/>
          <w:bCs/>
          <w:color w:val="0F1115"/>
          <w:sz w:val="32"/>
          <w:szCs w:val="32"/>
          <w:shd w:val="clear" w:color="auto" w:fill="FFFFFF"/>
        </w:rPr>
      </w:pPr>
      <w:r>
        <w:rPr>
          <w:rFonts w:ascii="仿宋_GB2312" w:cs="仿宋_GB2312"/>
          <w:b/>
          <w:bCs/>
          <w:color w:val="0F1115"/>
          <w:sz w:val="32"/>
          <w:szCs w:val="32"/>
          <w:shd w:val="clear" w:color="auto" w:fill="FFFFFF"/>
        </w:rPr>
        <w:t>4.2.2 开展常态化、系统化的校园红色文化活动</w:t>
      </w:r>
    </w:p>
    <w:p>
      <w:pPr>
        <w:pStyle w:val="15"/>
        <w:rPr>
          <w:rFonts w:ascii="仿宋_GB2312"/>
        </w:rPr>
      </w:pPr>
      <w:r>
        <w:rPr>
          <w:rFonts w:ascii="仿宋_GB2312" w:hint="eastAsia"/>
        </w:rPr>
        <w:t>永州市各中职学校通过开展“诵唱红色经典”、红色故事宣讲大赛、主题团日活动、红色影片展映周、红歌合唱比赛等系列化活动，营造浓厚的红色文化氛围。许多学校还将红色教育进行量化管理与常态化推进，如系统开展“读一本红色书籍、出一期红色板报、讲一个红色故事、做一件红色好事”的“四个一”活动，并积极开发具有永州本土特色的红色文化校本读本与线上资源库，使红色基因教育可触可感、可学可做，真正内化于学生之心、外化于学生之行，致力于培养“又红又专、德技双馨”的“红色工匠”。</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78" w:name="_Toc218688692"/>
            <w:r>
              <w:rPr>
                <w:rFonts w:ascii="仿宋_GB2312" w:cs="仿宋_GB2312" w:hint="eastAsia"/>
                <w:b/>
                <w:bCs/>
                <w:color w:val="FFFFFF"/>
                <w:sz w:val="32"/>
                <w:szCs w:val="32"/>
              </w:rPr>
              <w:t>案例</w:t>
            </w:r>
            <w:r>
              <w:rPr>
                <w:rFonts w:ascii="仿宋_GB2312" w:cs="仿宋_GB2312"/>
                <w:b/>
                <w:bCs/>
                <w:color w:val="FFFFFF"/>
                <w:sz w:val="32"/>
                <w:szCs w:val="32"/>
              </w:rPr>
              <w:t>4-3：</w:t>
            </w:r>
            <w:r>
              <w:rPr>
                <w:rFonts w:ascii="仿宋_GB2312" w:cs="仿宋_GB2312" w:hint="eastAsia"/>
                <w:b/>
                <w:bCs/>
                <w:color w:val="FFFFFF"/>
                <w:sz w:val="32"/>
                <w:szCs w:val="32"/>
              </w:rPr>
              <w:t>永州市工业贸易中等专业学校开展“我的韶山行”沉浸式红色研学</w:t>
            </w:r>
            <w:bookmarkEnd w:id="78"/>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宋体"/>
                <w:color w:val="0F1115"/>
                <w:sz w:val="28"/>
                <w:szCs w:val="28"/>
                <w:shd w:val="clear" w:color="auto" w:fill="FFFFFF"/>
              </w:rPr>
            </w:pPr>
            <w:r>
              <w:rPr>
                <w:rFonts w:ascii="宋体" w:eastAsia="宋体" w:cs="宋体" w:hint="eastAsia"/>
                <w:color w:val="0F1115"/>
                <w:sz w:val="28"/>
                <w:szCs w:val="28"/>
                <w:shd w:val="clear" w:color="auto" w:fill="FFFFFF"/>
              </w:rPr>
              <w:t>为突破传统红色教育形式相对单一、学生体验感与共鸣度不深的局限，永州市工业贸易中等专业学校于2025年6月精心策划并组织实施了大规模、沉浸式的“我的韶山行”红色研学实践活动。学校将此次研学定位为一门鲜活深刻的“行走的思政金课”，进行了系统的课程化设计，涵盖了行前知识铺垫、现场深度体验和归来总结升华的全过程。在韶山毛泽东铜像广场，2000余名师生举行了庄严的瞻仰仪式，通过集体敬献花篮、高唱红色经典歌曲等充满仪式感的环节，在肃穆氛围中缅怀伟人功绩，激发爱国情怀。研学过程中，学生们还参与了《恰是风华正茂》主题思政课，集体观看了红色教育影片，在历史与现实的对话中，深入思考革命精神的当代价值。整个活动组织井然有序，师生们展现出严明的纪律和饱满的热情，获得了研学基地与社会各界的一致好评。这场跨越时空的对话，使青年学子在实地踏访与情感共鸣中接受了深刻的精神洗礼，有效坚定了他们传承红色基因、肩负时代使命的理想信念。</w:t>
            </w:r>
          </w:p>
          <w:p>
            <w:pPr>
              <w:pStyle w:val="23"/>
              <w:widowControl/>
              <w:spacing w:line="240" w:lineRule="auto"/>
              <w:jc w:val="center"/>
              <w:rPr>
                <w:rFonts w:ascii="宋体" w:eastAsia="宋体" w:cs="宋体"/>
                <w:color w:val="0F1115"/>
                <w:sz w:val="28"/>
                <w:szCs w:val="28"/>
                <w:shd w:val="clear" w:color="auto" w:fill="FFFFFF"/>
              </w:rPr>
            </w:pPr>
            <w:r>
              <w:rPr>
                <w:rFonts w:ascii="宋体" w:eastAsia="宋体" w:hint="eastAsia"/>
                <w:b/>
                <w:bCs/>
              </w:rPr>
              <w:drawing>
                <wp:inline distT="0" distB="0" distL="0" distR="0">
                  <wp:extent cx="4657090" cy="3105150"/>
                  <wp:effectExtent l="0" t="0" r="8" b="47"/>
                  <wp:docPr id="62" name="图片 33" descr="2b2891064e9efdc0349a95caa0bf254a"/>
                  <wp:cNvGraphicFramePr>
                    <a:graphicFrameLocks noChangeAspect="1"/>
                  </wp:cNvGraphicFramePr>
                  <a:graphic>
                    <a:graphicData uri="http://schemas.openxmlformats.org/drawingml/2006/picture">
                      <pic:pic>
                        <pic:nvPicPr>
                          <pic:cNvPr id="64" name="图片 33 64"/>
                          <pic:cNvPicPr/>
                        </pic:nvPicPr>
                        <pic:blipFill>
                          <a:blip r:embed="rId28"/>
                          <a:stretch>
                            <a:fillRect/>
                          </a:stretch>
                        </pic:blipFill>
                        <pic:spPr>
                          <a:xfrm rot="0">
                            <a:off x="0" y="0"/>
                            <a:ext cx="4657090" cy="3105150"/>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宋体" w:eastAsia="宋体" w:cs="宋体"/>
                <w:color w:val="0F1115"/>
                <w:sz w:val="28"/>
                <w:szCs w:val="28"/>
                <w:shd w:val="clear" w:color="auto" w:fill="FFFFFF"/>
              </w:rPr>
            </w:pPr>
            <w:bookmarkStart w:id="79" w:name="_Toc218688640"/>
            <w:r>
              <w:rPr>
                <w:rFonts w:ascii="宋体" w:eastAsia="宋体" w:hint="eastAsia"/>
                <w:b/>
                <w:bCs/>
              </w:rPr>
              <w:t>图4-3 永州工贸学校学生“我的韶山行”红色研学活动</w:t>
            </w:r>
            <w:bookmarkEnd w:id="79"/>
          </w:p>
        </w:tc>
      </w:tr>
    </w:tbl>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80" w:name="_Toc218688693"/>
            <w:r>
              <w:rPr>
                <w:rFonts w:ascii="仿宋_GB2312" w:cs="仿宋_GB2312" w:hint="eastAsia"/>
                <w:b/>
                <w:bCs/>
                <w:color w:val="FFFFFF"/>
                <w:sz w:val="32"/>
                <w:szCs w:val="32"/>
              </w:rPr>
              <w:t>案例</w:t>
            </w:r>
            <w:r>
              <w:rPr>
                <w:rFonts w:ascii="仿宋_GB2312" w:cs="仿宋_GB2312"/>
                <w:b/>
                <w:bCs/>
                <w:color w:val="FFFFFF"/>
                <w:sz w:val="32"/>
                <w:szCs w:val="32"/>
              </w:rPr>
              <w:t>4-4：</w:t>
            </w:r>
            <w:r>
              <w:rPr>
                <w:rFonts w:ascii="仿宋_GB2312" w:cs="仿宋_GB2312" w:hint="eastAsia"/>
                <w:b/>
                <w:bCs/>
                <w:color w:val="FFFFFF"/>
                <w:sz w:val="32"/>
                <w:szCs w:val="32"/>
              </w:rPr>
              <w:t>新田县职业中学创新实施“每周五育”常态化红色教育模式</w:t>
            </w:r>
            <w:bookmarkEnd w:id="80"/>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宋体"/>
                <w:color w:val="0F1115"/>
                <w:sz w:val="28"/>
                <w:szCs w:val="28"/>
                <w:shd w:val="clear" w:color="auto" w:fill="FFFFFF"/>
              </w:rPr>
            </w:pPr>
            <w:r>
              <w:rPr>
                <w:rFonts w:ascii="宋体" w:eastAsia="宋体" w:cs="宋体" w:hint="eastAsia"/>
                <w:color w:val="0F1115"/>
                <w:sz w:val="28"/>
                <w:szCs w:val="28"/>
                <w:shd w:val="clear" w:color="auto" w:fill="FFFFFF"/>
              </w:rPr>
              <w:t>针对红色教育容易出现的“一阵风”现象与日常教育教学“两张皮”的问题，新田县职业中学积极探索，创造性地推行了“每周五育”红色教育常态化模式，让红色基因如盐入水般融入校园生活的方方面面。该模式将红色教育分解为每周固定的主题行动：周一在国旗下的讲话中融入艺术化展演，强化仪式感；周二开展党员集中学习，提升政治理论素养；周三组织精品团课，深化思想引领；周四安排红色影视观摩，启智润心；周五则由党员教师深入班级，主持红色主题班会与红歌传唱活动。通过建立“党员干部讲党课、普通党员上团课、全体党员联班级”的纵向贯穿机制，形成了党、团、队环环相扣的一体化育人合力。此外，学校还着力活化本地红色资源，组织师生赴蒋先云故居等地研学，并组建红色讲解员社团，开发微党课、编排情景剧，让地方革命历史转化为触手可及的生动教材。这一模式成功将红色文化从特定的活动日延伸至校园日常，构建了无时不有、无处不在的红色育人长效机制，显著增强了师生的理想信念与爱党爱国情怀。</w:t>
            </w:r>
          </w:p>
          <w:p>
            <w:pPr>
              <w:pStyle w:val="23"/>
              <w:widowControl/>
              <w:spacing w:line="240" w:lineRule="auto"/>
              <w:ind w:firstLineChars="0" w:firstLine="0"/>
              <w:jc w:val="center"/>
              <w:rPr>
                <w:rFonts w:ascii="宋体" w:eastAsia="宋体" w:cs="宋体"/>
                <w:color w:val="0F1115"/>
                <w:sz w:val="28"/>
                <w:szCs w:val="28"/>
                <w:shd w:val="clear" w:color="auto" w:fill="FFFFFF"/>
              </w:rPr>
            </w:pPr>
            <w:r>
              <w:rPr>
                <w:rFonts w:ascii="宋体" w:eastAsia="宋体" w:hint="eastAsia"/>
                <w:b/>
                <w:bCs/>
              </w:rPr>
              <w:drawing>
                <wp:inline distT="0" distB="0" distL="0" distR="0">
                  <wp:extent cx="5122545" cy="3495675"/>
                  <wp:effectExtent l="0" t="0" r="17" b="42"/>
                  <wp:docPr id="65" name="图片 31" descr="ae499312be9f82681b387087b77e441f"/>
                  <wp:cNvGraphicFramePr>
                    <a:graphicFrameLocks noChangeAspect="1"/>
                  </wp:cNvGraphicFramePr>
                  <a:graphic>
                    <a:graphicData uri="http://schemas.openxmlformats.org/drawingml/2006/picture">
                      <pic:pic>
                        <pic:nvPicPr>
                          <pic:cNvPr id="67" name="图片 31 67"/>
                          <pic:cNvPicPr/>
                        </pic:nvPicPr>
                        <pic:blipFill>
                          <a:blip r:embed="rId29"/>
                          <a:srcRect l="26176" r="26538"/>
                          <a:stretch>
                            <a:fillRect/>
                          </a:stretch>
                        </pic:blipFill>
                        <pic:spPr>
                          <a:xfrm rot="0">
                            <a:off x="0" y="0"/>
                            <a:ext cx="5122545" cy="3495675"/>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宋体" w:eastAsia="宋体" w:cs="宋体"/>
                <w:color w:val="0F1115"/>
                <w:sz w:val="28"/>
                <w:szCs w:val="28"/>
                <w:shd w:val="clear" w:color="auto" w:fill="FFFFFF"/>
              </w:rPr>
            </w:pPr>
            <w:bookmarkStart w:id="81" w:name="_Toc218688641"/>
            <w:r>
              <w:rPr>
                <w:rFonts w:ascii="宋体" w:eastAsia="宋体" w:hint="eastAsia"/>
                <w:b/>
                <w:bCs/>
              </w:rPr>
              <w:t>图4-4 新田职业中专学校红色教育朗诵比赛现场</w:t>
            </w:r>
            <w:bookmarkEnd w:id="81"/>
          </w:p>
        </w:tc>
      </w:tr>
    </w:tbl>
    <w:p>
      <w:pPr>
        <w:pStyle w:val="2"/>
        <w:spacing w:before="0" w:after="0" w:line="560" w:lineRule="exact"/>
        <w:ind w:firstLineChars="200" w:firstLine="640"/>
        <w:rPr>
          <w:rFonts w:ascii="楷体" w:eastAsia="楷体"/>
          <w:shd w:val="clear" w:color="auto" w:fill="FFFFFF"/>
        </w:rPr>
      </w:pPr>
      <w:bookmarkStart w:id="82" w:name="_Toc218688930"/>
      <w:r>
        <w:rPr>
          <w:rFonts w:ascii="楷体" w:eastAsia="楷体" w:hint="eastAsia"/>
          <w:shd w:val="clear" w:color="auto" w:fill="FFFFFF"/>
        </w:rPr>
        <w:t>4.3传承中华优秀传统文化</w:t>
      </w:r>
      <w:bookmarkEnd w:id="82"/>
    </w:p>
    <w:p>
      <w:pPr>
        <w:pStyle w:val="23"/>
        <w:shd w:val="clear" w:color="auto" w:fill="FFFFFF"/>
        <w:rPr>
          <w:rFonts w:ascii="仿宋_GB2312" w:cs="仿宋_GB2312"/>
          <w:b/>
          <w:bCs/>
          <w:color w:val="0F1115"/>
          <w:sz w:val="32"/>
          <w:szCs w:val="32"/>
          <w:shd w:val="clear" w:color="auto" w:fill="FFFFFF"/>
        </w:rPr>
      </w:pPr>
      <w:r>
        <w:rPr>
          <w:rFonts w:ascii="仿宋_GB2312" w:cs="仿宋_GB2312"/>
          <w:b/>
          <w:bCs/>
          <w:color w:val="0F1115"/>
          <w:sz w:val="32"/>
          <w:szCs w:val="32"/>
          <w:shd w:val="clear" w:color="auto" w:fill="FFFFFF"/>
        </w:rPr>
        <w:t>4.3.1 非遗与专业教学深度融合</w:t>
      </w:r>
    </w:p>
    <w:p>
      <w:pPr>
        <w:pStyle w:val="15"/>
        <w:rPr>
          <w:rFonts w:ascii="仿宋_GB2312"/>
        </w:rPr>
      </w:pPr>
      <w:r>
        <w:rPr>
          <w:rFonts w:ascii="仿宋_GB2312" w:hint="eastAsia"/>
        </w:rPr>
        <w:t>永州市各中职学校紧密结合地域文化特色和专业建设特点，积极探索并推动中华优秀传统文化在职业教育中的创造性转化和创新性发展。各校普遍将传统文化教育纳入公共必修课或限定选修课体系，围绕春节、清明、端午、中秋等传统节日，开展形式多样的主题教育活动。最具特色的是，各校着力推动本土非物质文化遗产技艺与专业教学的深度融合，例如：江华县职业中专学校的瑶族织锦与瑶歌、永州市工商职业中等专业学校的“非遗蓝染”工艺、永州市综合职业中等专业学校的扎染技艺、东安县职业中专学校的“东安鸡”烹饪技艺等，均通过开发特色校本课程与教材、聘请非遗传承人“大师进校园”、建设校内非遗传承实训工坊或体验馆等方式，实现了“非遗进校园、技艺进课堂、文化进心灵”。这种深度融合，不仅使宝贵的传统技艺在校园中得到活态传承，更赋予了专业建设鲜明的文化特色与地域标识，培养了学生“懂文化、精技艺、善创新”的综合素养，实现了文化传承价值与职业教育育人实效的有机统一。</w:t>
      </w:r>
    </w:p>
    <w:p>
      <w:pPr>
        <w:pStyle w:val="23"/>
        <w:shd w:val="clear" w:color="auto" w:fill="FFFFFF"/>
        <w:rPr>
          <w:rFonts w:ascii="仿宋_GB2312" w:cs="仿宋_GB2312"/>
          <w:b/>
          <w:bCs/>
          <w:color w:val="0F1115"/>
          <w:sz w:val="32"/>
          <w:szCs w:val="32"/>
          <w:shd w:val="clear" w:color="auto" w:fill="FFFFFF"/>
        </w:rPr>
      </w:pPr>
      <w:r>
        <w:rPr>
          <w:rFonts w:ascii="仿宋_GB2312" w:cs="仿宋_GB2312"/>
          <w:b/>
          <w:bCs/>
          <w:color w:val="0F1115"/>
          <w:sz w:val="32"/>
          <w:szCs w:val="32"/>
          <w:shd w:val="clear" w:color="auto" w:fill="FFFFFF"/>
        </w:rPr>
        <w:t>4.3.2 各校非遗传承项目与专业融合情况</w:t>
      </w:r>
    </w:p>
    <w:p>
      <w:pPr>
        <w:pStyle w:val="15"/>
        <w:rPr>
          <w:rFonts w:ascii="仿宋_GB2312"/>
        </w:rPr>
      </w:pPr>
      <w:r>
        <w:rPr>
          <w:rFonts w:ascii="仿宋_GB2312"/>
        </w:rPr>
        <w:t>为推动中华优秀传统文化在职业教育中的活态传承与创新融合，</w:t>
      </w:r>
      <w:r>
        <w:rPr>
          <w:rFonts w:ascii="仿宋_GB2312" w:hint="eastAsia"/>
        </w:rPr>
        <w:t>永州市</w:t>
      </w:r>
      <w:r>
        <w:rPr>
          <w:rFonts w:ascii="仿宋_GB2312"/>
        </w:rPr>
        <w:t>各中职学校积极探索非遗技艺与专业教学深度融合的实施路径。下表</w:t>
      </w:r>
      <w:r>
        <w:rPr>
          <w:rFonts w:ascii="仿宋_GB2312" w:hint="eastAsia"/>
        </w:rPr>
        <w:t>（表4-2）</w:t>
      </w:r>
      <w:r>
        <w:rPr>
          <w:rFonts w:ascii="仿宋_GB2312"/>
        </w:rPr>
        <w:t>系统梳理了2025年</w:t>
      </w:r>
      <w:r>
        <w:rPr>
          <w:rFonts w:ascii="仿宋_GB2312" w:hint="eastAsia"/>
        </w:rPr>
        <w:t>永州市部分</w:t>
      </w:r>
      <w:r>
        <w:rPr>
          <w:rFonts w:ascii="仿宋_GB2312"/>
        </w:rPr>
        <w:t>中职学校在非遗与传统文化传承方面的主要项目、融合专业、实施形式及代表性成果，突出体现了“一校一非遗、一专一特色”的传承格局，为区域文化传承与人才培养提供了典型范例。</w:t>
      </w:r>
    </w:p>
    <w:p>
      <w:pPr>
        <w:pStyle w:val="15"/>
        <w:rPr>
          <w:rFonts w:ascii="仿宋_GB2312"/>
        </w:rPr>
      </w:pPr>
    </w:p>
    <w:p>
      <w:pPr>
        <w:widowControl/>
        <w:spacing w:beforeLines="50" w:before="156"/>
        <w:jc w:val="center"/>
        <w:outlineLvl w:val="3"/>
        <w:rPr>
          <w:rFonts w:ascii="宋体" w:eastAsia="宋体"/>
          <w:b/>
          <w:bCs/>
          <w:color w:val="1F2329"/>
          <w:kern w:val="0"/>
          <w:sz w:val="24"/>
          <w:szCs w:val="24"/>
          <w:shd w:val="clear" w:color="auto" w:fill="FFFFFF"/>
        </w:rPr>
      </w:pPr>
    </w:p>
    <w:p>
      <w:pPr>
        <w:widowControl/>
        <w:spacing w:beforeLines="50" w:before="156"/>
        <w:jc w:val="center"/>
        <w:outlineLvl w:val="3"/>
        <w:rPr>
          <w:rFonts w:ascii="宋体" w:eastAsia="宋体"/>
          <w:b/>
          <w:bCs/>
          <w:color w:val="1F2329"/>
          <w:kern w:val="0"/>
          <w:sz w:val="24"/>
          <w:szCs w:val="24"/>
          <w:shd w:val="clear" w:color="auto" w:fill="FFFFFF"/>
        </w:rPr>
      </w:pPr>
      <w:bookmarkStart w:id="83" w:name="_Toc218688669"/>
      <w:r>
        <w:rPr>
          <w:rFonts w:ascii="宋体" w:eastAsia="宋体"/>
          <w:b/>
          <w:bCs/>
          <w:color w:val="1F2329"/>
          <w:kern w:val="0"/>
          <w:sz w:val="24"/>
          <w:szCs w:val="24"/>
          <w:shd w:val="clear" w:color="auto" w:fill="FFFFFF"/>
        </w:rPr>
        <w:t>表4-2</w:t>
      </w:r>
      <w:r>
        <w:rPr>
          <w:rFonts w:ascii="宋体" w:eastAsia="宋体" w:hint="eastAsia"/>
          <w:b/>
          <w:bCs/>
          <w:color w:val="1F2329"/>
          <w:kern w:val="0"/>
          <w:sz w:val="24"/>
          <w:szCs w:val="24"/>
          <w:shd w:val="clear" w:color="auto" w:fill="FFFFFF"/>
        </w:rPr>
        <w:t xml:space="preserve"> </w:t>
      </w:r>
      <w:r>
        <w:rPr>
          <w:rFonts w:ascii="宋体" w:eastAsia="宋体"/>
          <w:b/>
          <w:bCs/>
          <w:color w:val="1F2329"/>
          <w:kern w:val="0"/>
          <w:sz w:val="24"/>
          <w:szCs w:val="24"/>
          <w:shd w:val="clear" w:color="auto" w:fill="FFFFFF"/>
        </w:rPr>
        <w:t>2025年永州市中职学校主要非遗/传统文化传承项目融合情况</w:t>
      </w:r>
      <w:bookmarkEnd w:id="83"/>
    </w:p>
    <w:tbl>
      <w:tblPr>
        <w:tblpPr w:leftFromText="180" w:rightFromText="180" w:vertAnchor="text" w:horzAnchor="page" w:tblpX="1519" w:tblpY="227"/>
        <w:tblOverlap w:val="never"/>
        <w:tblW w:w="8926" w:type="dxa"/>
        <w:tblBorders>
          <w:top w:val="none" w:sz="0" w:space="0" w:color="auto"/>
          <w:left w:val="none" w:sz="0" w:space="0" w:color="auto"/>
          <w:bottom w:val="none" w:sz="0" w:space="0" w:color="auto"/>
          <w:right w:val="none" w:sz="0" w:space="0" w:color="auto"/>
        </w:tblBorders>
        <w:shd w:val="clear" w:color="auto" w:fill="FFFFFF"/>
        <w:tblCellMar>
          <w:top w:w="15" w:type="dxa"/>
          <w:left w:w="15" w:type="dxa"/>
          <w:bottom w:w="15" w:type="dxa"/>
          <w:right w:w="15" w:type="dxa"/>
        </w:tblCellMar>
      </w:tblPr>
      <w:tblGrid>
        <w:gridCol w:w="1321"/>
        <w:gridCol w:w="1749"/>
        <w:gridCol w:w="1527"/>
        <w:gridCol w:w="1959"/>
        <w:gridCol w:w="2370"/>
      </w:tblGrid>
      <w:tr>
        <w:trPr>
          <w:tblHeader/>
        </w:trPr>
        <w:tc>
          <w:tcPr>
            <w:tcW w:w="1321" w:type="dxa"/>
            <w:tcBorders>
              <w:top w:val="single" w:sz="4" w:space="0" w:color="000000"/>
              <w:left w:val="single" w:sz="4" w:space="0" w:color="000000"/>
              <w:bottom w:val="single" w:sz="4" w:space="0" w:color="000000"/>
              <w:right w:val="single" w:sz="4" w:space="0" w:color="000000"/>
              <w:tl2br w:val="nil"/>
            </w:tcBorders>
            <w:shd w:val="clear" w:color="auto" w:fill="0372AE"/>
            <w:noWrap/>
            <w:tcMar>
              <w:top w:w="100" w:type="dxa"/>
              <w:left w:w="0" w:type="dxa"/>
              <w:bottom w:w="100" w:type="dxa"/>
              <w:right w:w="160" w:type="dxa"/>
            </w:tcMar>
            <w:vAlign w:val="center"/>
          </w:tcPr>
          <w:p>
            <w:pPr>
              <w:widowControl/>
              <w:spacing w:line="250" w:lineRule="atLeast"/>
              <w:jc w:val="center"/>
              <w:rPr>
                <w:rFonts w:ascii="宋体" w:eastAsia="宋体" w:cs="宋体"/>
                <w:b/>
                <w:bCs/>
                <w:color w:val="FFFFFF"/>
                <w:spacing w:val="-6"/>
                <w:kern w:val="0"/>
                <w:sz w:val="24"/>
                <w:szCs w:val="24"/>
              </w:rPr>
            </w:pPr>
            <w:r>
              <w:rPr>
                <w:rFonts w:ascii="宋体" w:eastAsia="宋体" w:cs="宋体"/>
                <w:b/>
                <w:bCs/>
                <w:color w:val="FFFFFF"/>
                <w:spacing w:val="-6"/>
                <w:kern w:val="0"/>
                <w:sz w:val="24"/>
                <w:szCs w:val="24"/>
              </w:rPr>
              <w:t>学校</w:t>
            </w:r>
          </w:p>
        </w:tc>
        <w:tc>
          <w:tcPr>
            <w:tcW w:w="1749" w:type="dxa"/>
            <w:tcBorders>
              <w:top w:val="single" w:sz="4" w:space="0" w:color="000000"/>
              <w:left w:val="single" w:sz="4" w:space="0" w:color="000000"/>
              <w:bottom w:val="single" w:sz="4" w:space="0" w:color="000000"/>
              <w:right w:val="single" w:sz="4" w:space="0" w:color="000000"/>
            </w:tcBorders>
            <w:shd w:val="clear" w:color="auto" w:fill="0372AE"/>
            <w:noWrap/>
            <w:tcMar>
              <w:top w:w="100" w:type="dxa"/>
              <w:left w:w="160" w:type="dxa"/>
              <w:bottom w:w="100" w:type="dxa"/>
              <w:right w:w="160" w:type="dxa"/>
            </w:tcMar>
            <w:vAlign w:val="center"/>
          </w:tcPr>
          <w:p>
            <w:pPr>
              <w:widowControl/>
              <w:spacing w:line="250" w:lineRule="atLeast"/>
              <w:jc w:val="center"/>
              <w:rPr>
                <w:rFonts w:ascii="宋体" w:eastAsia="宋体" w:cs="宋体"/>
                <w:b/>
                <w:bCs/>
                <w:color w:val="FFFFFF"/>
                <w:spacing w:val="-6"/>
                <w:kern w:val="0"/>
                <w:sz w:val="24"/>
                <w:szCs w:val="24"/>
              </w:rPr>
            </w:pPr>
            <w:r>
              <w:rPr>
                <w:rFonts w:ascii="宋体" w:eastAsia="宋体" w:cs="宋体"/>
                <w:b/>
                <w:bCs/>
                <w:color w:val="FFFFFF"/>
                <w:spacing w:val="-6"/>
                <w:kern w:val="0"/>
                <w:sz w:val="24"/>
                <w:szCs w:val="24"/>
              </w:rPr>
              <w:t>非遗/传统文化项目</w:t>
            </w:r>
          </w:p>
        </w:tc>
        <w:tc>
          <w:tcPr>
            <w:tcW w:w="1527" w:type="dxa"/>
            <w:tcBorders>
              <w:top w:val="single" w:sz="4" w:space="0" w:color="000000"/>
              <w:left w:val="single" w:sz="4" w:space="0" w:color="000000"/>
              <w:bottom w:val="single" w:sz="4" w:space="0" w:color="000000"/>
              <w:right w:val="single" w:sz="4" w:space="0" w:color="000000"/>
            </w:tcBorders>
            <w:shd w:val="clear" w:color="auto" w:fill="0372AE"/>
            <w:noWrap/>
            <w:tcMar>
              <w:top w:w="100" w:type="dxa"/>
              <w:left w:w="160" w:type="dxa"/>
              <w:bottom w:w="100" w:type="dxa"/>
              <w:right w:w="160" w:type="dxa"/>
            </w:tcMar>
            <w:vAlign w:val="center"/>
          </w:tcPr>
          <w:p>
            <w:pPr>
              <w:widowControl/>
              <w:spacing w:line="250" w:lineRule="atLeast"/>
              <w:jc w:val="center"/>
              <w:rPr>
                <w:rFonts w:ascii="宋体" w:eastAsia="宋体" w:cs="宋体"/>
                <w:b/>
                <w:bCs/>
                <w:color w:val="FFFFFF"/>
                <w:spacing w:val="-6"/>
                <w:kern w:val="0"/>
                <w:sz w:val="24"/>
                <w:szCs w:val="24"/>
              </w:rPr>
            </w:pPr>
            <w:r>
              <w:rPr>
                <w:rFonts w:ascii="宋体" w:eastAsia="宋体" w:cs="宋体"/>
                <w:b/>
                <w:bCs/>
                <w:color w:val="FFFFFF"/>
                <w:spacing w:val="-6"/>
                <w:kern w:val="0"/>
                <w:sz w:val="24"/>
                <w:szCs w:val="24"/>
              </w:rPr>
              <w:t>融合专业</w:t>
            </w:r>
          </w:p>
        </w:tc>
        <w:tc>
          <w:tcPr>
            <w:tcW w:w="1959" w:type="dxa"/>
            <w:tcBorders>
              <w:top w:val="single" w:sz="4" w:space="0" w:color="000000"/>
              <w:left w:val="single" w:sz="4" w:space="0" w:color="000000"/>
              <w:bottom w:val="single" w:sz="4" w:space="0" w:color="000000"/>
              <w:right w:val="single" w:sz="4" w:space="0" w:color="000000"/>
            </w:tcBorders>
            <w:shd w:val="clear" w:color="auto" w:fill="0372AE"/>
            <w:noWrap/>
            <w:tcMar>
              <w:top w:w="100" w:type="dxa"/>
              <w:left w:w="160" w:type="dxa"/>
              <w:bottom w:w="100" w:type="dxa"/>
              <w:right w:w="160" w:type="dxa"/>
            </w:tcMar>
            <w:vAlign w:val="center"/>
          </w:tcPr>
          <w:p>
            <w:pPr>
              <w:widowControl/>
              <w:spacing w:line="250" w:lineRule="atLeast"/>
              <w:jc w:val="center"/>
              <w:rPr>
                <w:rFonts w:ascii="宋体" w:eastAsia="宋体" w:cs="宋体"/>
                <w:b/>
                <w:bCs/>
                <w:color w:val="FFFFFF"/>
                <w:spacing w:val="-6"/>
                <w:kern w:val="0"/>
                <w:sz w:val="24"/>
                <w:szCs w:val="24"/>
              </w:rPr>
            </w:pPr>
            <w:r>
              <w:rPr>
                <w:rFonts w:ascii="宋体" w:eastAsia="宋体" w:cs="宋体"/>
                <w:b/>
                <w:bCs/>
                <w:color w:val="FFFFFF"/>
                <w:spacing w:val="-6"/>
                <w:kern w:val="0"/>
                <w:sz w:val="24"/>
                <w:szCs w:val="24"/>
              </w:rPr>
              <w:t>主要形式</w:t>
            </w:r>
          </w:p>
        </w:tc>
        <w:tc>
          <w:tcPr>
            <w:tcW w:w="2370" w:type="dxa"/>
            <w:tcBorders>
              <w:top w:val="single" w:sz="4" w:space="0" w:color="000000"/>
              <w:left w:val="single" w:sz="4" w:space="0" w:color="000000"/>
              <w:bottom w:val="single" w:sz="4" w:space="0" w:color="000000"/>
              <w:right w:val="single" w:sz="4" w:space="0" w:color="000000"/>
            </w:tcBorders>
            <w:shd w:val="clear" w:color="auto" w:fill="0372AE"/>
            <w:noWrap/>
            <w:tcMar>
              <w:top w:w="100" w:type="dxa"/>
              <w:left w:w="160" w:type="dxa"/>
              <w:bottom w:w="100" w:type="dxa"/>
              <w:right w:w="160" w:type="dxa"/>
            </w:tcMar>
            <w:vAlign w:val="center"/>
          </w:tcPr>
          <w:p>
            <w:pPr>
              <w:widowControl/>
              <w:spacing w:line="250" w:lineRule="atLeast"/>
              <w:jc w:val="center"/>
              <w:rPr>
                <w:rFonts w:ascii="宋体" w:eastAsia="宋体" w:cs="宋体"/>
                <w:b/>
                <w:bCs/>
                <w:color w:val="FFFFFF"/>
                <w:spacing w:val="-6"/>
                <w:kern w:val="0"/>
                <w:sz w:val="24"/>
                <w:szCs w:val="24"/>
              </w:rPr>
            </w:pPr>
            <w:r>
              <w:rPr>
                <w:rFonts w:ascii="宋体" w:eastAsia="宋体" w:cs="宋体"/>
                <w:b/>
                <w:bCs/>
                <w:color w:val="FFFFFF"/>
                <w:spacing w:val="-6"/>
                <w:kern w:val="0"/>
                <w:sz w:val="24"/>
                <w:szCs w:val="24"/>
              </w:rPr>
              <w:t>代表性成果/活动</w:t>
            </w:r>
          </w:p>
        </w:tc>
      </w:tr>
      <w:tr>
        <w:tc>
          <w:tcPr>
            <w:tcW w:w="1321"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江华县职业中专</w:t>
            </w:r>
          </w:p>
        </w:tc>
        <w:tc>
          <w:tcPr>
            <w:tcW w:w="1749"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瑶族织锦、服饰、瑶歌、长鼓舞、瑶茶</w:t>
            </w:r>
          </w:p>
        </w:tc>
        <w:tc>
          <w:tcPr>
            <w:tcW w:w="1527"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服装、旅游酒店管理</w:t>
            </w:r>
          </w:p>
        </w:tc>
        <w:tc>
          <w:tcPr>
            <w:tcW w:w="1959"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三阶课程体系、大师工作室、校企合作产品研发</w:t>
            </w:r>
          </w:p>
        </w:tc>
        <w:tc>
          <w:tcPr>
            <w:tcW w:w="2370"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开发文创产品，参与文旅展演，毕业生本地就业率高</w:t>
            </w:r>
          </w:p>
        </w:tc>
      </w:tr>
      <w:tr>
        <w:tc>
          <w:tcPr>
            <w:tcW w:w="1321"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东安县职业中专</w:t>
            </w:r>
          </w:p>
        </w:tc>
        <w:tc>
          <w:tcPr>
            <w:tcW w:w="1749"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东安鸡制作技艺</w:t>
            </w:r>
          </w:p>
        </w:tc>
        <w:tc>
          <w:tcPr>
            <w:tcW w:w="1527"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中餐烹饪</w:t>
            </w:r>
          </w:p>
        </w:tc>
        <w:tc>
          <w:tcPr>
            <w:tcW w:w="1959"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传承基地、特色必修课</w:t>
            </w:r>
          </w:p>
        </w:tc>
        <w:tc>
          <w:tcPr>
            <w:tcW w:w="2370"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学生掌握标准工艺流程，服务地方美食产业</w:t>
            </w:r>
          </w:p>
        </w:tc>
      </w:tr>
      <w:tr>
        <w:tc>
          <w:tcPr>
            <w:tcW w:w="1321"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永州市工商职业中专</w:t>
            </w:r>
          </w:p>
        </w:tc>
        <w:tc>
          <w:tcPr>
            <w:tcW w:w="1749"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非遗蓝染、茶艺</w:t>
            </w:r>
          </w:p>
        </w:tc>
        <w:tc>
          <w:tcPr>
            <w:tcW w:w="1527"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服装设计与工艺、旅游服务与管理</w:t>
            </w:r>
          </w:p>
        </w:tc>
        <w:tc>
          <w:tcPr>
            <w:tcW w:w="1959"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专项课程、工坊、作品展、茶艺表演</w:t>
            </w:r>
          </w:p>
        </w:tc>
        <w:tc>
          <w:tcPr>
            <w:tcW w:w="2370"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举办蓝染时装秀，培养学生传统文化素养与服务能力</w:t>
            </w:r>
          </w:p>
        </w:tc>
      </w:tr>
      <w:tr>
        <w:tc>
          <w:tcPr>
            <w:tcW w:w="1321"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永州市综合职业中专</w:t>
            </w:r>
          </w:p>
        </w:tc>
        <w:tc>
          <w:tcPr>
            <w:tcW w:w="1749"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扎染工艺、柳子文脉</w:t>
            </w:r>
          </w:p>
        </w:tc>
        <w:tc>
          <w:tcPr>
            <w:tcW w:w="1527"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服装制作与生产管理</w:t>
            </w:r>
          </w:p>
        </w:tc>
        <w:tc>
          <w:tcPr>
            <w:tcW w:w="1959"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选修课程、实训模块、本地文化课程</w:t>
            </w:r>
          </w:p>
        </w:tc>
        <w:tc>
          <w:tcPr>
            <w:tcW w:w="2370"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学生独立完成扎染作品，探索传统文化与现代职教融合</w:t>
            </w:r>
          </w:p>
        </w:tc>
      </w:tr>
      <w:tr>
        <w:tc>
          <w:tcPr>
            <w:tcW w:w="1321"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江永县职业中专</w:t>
            </w:r>
          </w:p>
        </w:tc>
        <w:tc>
          <w:tcPr>
            <w:tcW w:w="1749"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女书文化、瑶族竹梆舞</w:t>
            </w:r>
          </w:p>
        </w:tc>
        <w:tc>
          <w:tcPr>
            <w:tcW w:w="1527"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服装</w:t>
            </w:r>
          </w:p>
        </w:tc>
        <w:tc>
          <w:tcPr>
            <w:tcW w:w="1959"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“女书文化进课堂”教学、湘超非遗展演</w:t>
            </w:r>
          </w:p>
        </w:tc>
        <w:tc>
          <w:tcPr>
            <w:tcW w:w="2370"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教授女书刺绣，在大型体育赛事表演非遗节目《竹梆跃湘超》</w:t>
            </w:r>
          </w:p>
        </w:tc>
      </w:tr>
      <w:tr>
        <w:tc>
          <w:tcPr>
            <w:tcW w:w="1321"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宁远县职业中专</w:t>
            </w:r>
          </w:p>
        </w:tc>
        <w:tc>
          <w:tcPr>
            <w:tcW w:w="1749"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舜帝孝德文化、状元文化、地方美食</w:t>
            </w:r>
          </w:p>
        </w:tc>
        <w:tc>
          <w:tcPr>
            <w:tcW w:w="1527"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多专业</w:t>
            </w:r>
          </w:p>
        </w:tc>
        <w:tc>
          <w:tcPr>
            <w:tcW w:w="1959"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参与祭祀活动、状元文化讲堂、美食社</w:t>
            </w:r>
          </w:p>
        </w:tc>
        <w:tc>
          <w:tcPr>
            <w:tcW w:w="2370"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强化学生道德与文化认同，推广乡土美食文化</w:t>
            </w:r>
          </w:p>
        </w:tc>
      </w:tr>
      <w:tr>
        <w:tc>
          <w:tcPr>
            <w:tcW w:w="1321"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祁阳市职业中专</w:t>
            </w:r>
          </w:p>
        </w:tc>
        <w:tc>
          <w:tcPr>
            <w:tcW w:w="1749"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传统节日文化、国学经典</w:t>
            </w:r>
          </w:p>
        </w:tc>
        <w:tc>
          <w:tcPr>
            <w:tcW w:w="1527"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全体</w:t>
            </w:r>
            <w:r>
              <w:rPr>
                <w:rFonts w:ascii="宋体" w:eastAsia="宋体" w:cs="宋体" w:hint="eastAsia"/>
                <w:spacing w:val="-6"/>
                <w:kern w:val="0"/>
                <w:sz w:val="24"/>
                <w:szCs w:val="24"/>
              </w:rPr>
              <w:t>学生</w:t>
            </w:r>
          </w:p>
        </w:tc>
        <w:tc>
          <w:tcPr>
            <w:tcW w:w="1959"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必修课程、“我们的节日”主题活动</w:t>
            </w:r>
          </w:p>
        </w:tc>
        <w:tc>
          <w:tcPr>
            <w:tcW w:w="2370"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系统进行传统文化教育，增强学生文化自觉与自信</w:t>
            </w:r>
          </w:p>
        </w:tc>
      </w:tr>
      <w:tr>
        <w:tc>
          <w:tcPr>
            <w:tcW w:w="1321"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永州东方尚科学校</w:t>
            </w:r>
          </w:p>
        </w:tc>
        <w:tc>
          <w:tcPr>
            <w:tcW w:w="1749"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国学经典（《论语》等）</w:t>
            </w:r>
          </w:p>
        </w:tc>
        <w:tc>
          <w:tcPr>
            <w:tcW w:w="1527"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全体学生</w:t>
            </w:r>
          </w:p>
        </w:tc>
        <w:tc>
          <w:tcPr>
            <w:tcW w:w="1959" w:type="dxa"/>
            <w:tcBorders>
              <w:top w:val="single" w:sz="4" w:space="0" w:color="000000"/>
              <w:left w:val="single" w:sz="4" w:space="0" w:color="000000"/>
              <w:bottom w:val="single" w:sz="4" w:space="0" w:color="000000"/>
              <w:right w:val="single" w:sz="4" w:space="0" w:color="000000"/>
            </w:tcBorders>
            <w:shd w:val="clear" w:color="auto" w:fill="FFFFFF"/>
            <w:noWrap/>
            <w:tcMar>
              <w:top w:w="100" w:type="dxa"/>
              <w:left w:w="160" w:type="dxa"/>
              <w:bottom w:w="100" w:type="dxa"/>
              <w:right w:w="160" w:type="dxa"/>
            </w:tcMar>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经典讲座、读书活动、重阳敬老</w:t>
            </w:r>
          </w:p>
        </w:tc>
        <w:tc>
          <w:tcPr>
            <w:tcW w:w="2370"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pPr>
              <w:widowControl/>
              <w:spacing w:line="250" w:lineRule="atLeast"/>
              <w:jc w:val="left"/>
              <w:rPr>
                <w:rFonts w:ascii="宋体" w:eastAsia="宋体" w:cs="宋体"/>
                <w:spacing w:val="-6"/>
                <w:kern w:val="0"/>
                <w:sz w:val="24"/>
                <w:szCs w:val="24"/>
              </w:rPr>
            </w:pPr>
            <w:r>
              <w:rPr>
                <w:rFonts w:ascii="宋体" w:eastAsia="宋体" w:cs="宋体"/>
                <w:spacing w:val="-6"/>
                <w:kern w:val="0"/>
                <w:sz w:val="24"/>
                <w:szCs w:val="24"/>
              </w:rPr>
              <w:t>弘扬尊老敬老传统美德，培养学生人文素养</w:t>
            </w:r>
          </w:p>
        </w:tc>
      </w:tr>
    </w:tbl>
    <w:p>
      <w:pPr>
        <w:pStyle w:val="15"/>
        <w:ind w:firstLineChars="0" w:firstLine="0"/>
        <w:rPr>
          <w:rFonts w:ascii="仿宋_GB2312"/>
        </w:rPr>
      </w:pP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84" w:name="_Toc218688694"/>
            <w:r>
              <w:rPr>
                <w:rFonts w:ascii="仿宋_GB2312" w:cs="仿宋_GB2312" w:hint="eastAsia"/>
                <w:b/>
                <w:bCs/>
                <w:color w:val="FFFFFF"/>
                <w:sz w:val="32"/>
                <w:szCs w:val="32"/>
              </w:rPr>
              <w:t>案例</w:t>
            </w:r>
            <w:r>
              <w:rPr>
                <w:rFonts w:ascii="仿宋_GB2312" w:cs="仿宋_GB2312"/>
                <w:b/>
                <w:bCs/>
                <w:color w:val="FFFFFF"/>
                <w:sz w:val="32"/>
                <w:szCs w:val="32"/>
              </w:rPr>
              <w:t>4-5：江华县职业中专学校推动瑶族非遗与专业教学深度融合</w:t>
            </w:r>
            <w:bookmarkEnd w:id="84"/>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作为全国瑶族自治县的职业学校，江华县职业中专自觉肩负起保护与传承瑶族文化的双重使命，并致力于破解非遗技艺传承后继乏人、与现代社会脱节的困境。学校立足地域特色，确立了“文化</w:t>
            </w:r>
            <w:r>
              <w:rPr>
                <w:rFonts w:ascii="宋体" w:eastAsia="宋体" w:cs="仿宋_GB2312"/>
                <w:color w:val="0F1115"/>
                <w:sz w:val="28"/>
                <w:szCs w:val="28"/>
              </w:rPr>
              <w:t>+产业+育人”三位一体的发展框架，旨在形成“技能传承、产品创新、就业创业”的良性闭环。在旅游服务与管理专业，学校创新构建了“文化认知—技能掌握—岗位应用”三层递进的瑶族文化课程体系；在服装设计与工艺专业，则将瑶族织锦、服饰制作等核心技艺深度融入现代教学。通过建立非遗大师工作室，聘请省级传承人驻校授艺，确保了技艺传授的原真性。同时，学校与本地</w:t>
            </w:r>
            <w:r>
              <w:rPr>
                <w:rFonts w:ascii="宋体" w:eastAsia="宋体" w:cs="仿宋_GB2312" w:hint="eastAsia"/>
                <w:color w:val="0F1115"/>
                <w:sz w:val="28"/>
                <w:szCs w:val="28"/>
              </w:rPr>
              <w:t>文旅创意企业开展深度合作，共建“院校研发、企业转化”的联动平台，共同开发兼具民族韵味与现代审美的文创产品，推动教学成果直接走向市场。这一系统性实践不仅突破了非遗“师徒单传”的局限，规模化培养了一批青年传承力量，更使学生成为“技能与文化兼备”的复合型人才，毕业生本土文旅行业就业率连续保持高位，为民族地区的文化振兴与产业发展注入了源源不断的青春活力。</w:t>
            </w:r>
          </w:p>
          <w:p>
            <w:pPr>
              <w:pStyle w:val="23"/>
              <w:widowControl/>
              <w:spacing w:line="240" w:lineRule="auto"/>
              <w:ind w:firstLineChars="0" w:firstLine="0"/>
              <w:jc w:val="center"/>
              <w:rPr>
                <w:rFonts w:ascii="宋体" w:eastAsia="宋体"/>
                <w:b/>
                <w:bCs/>
              </w:rPr>
            </w:pPr>
            <w:r>
              <w:rPr>
                <w:rFonts w:ascii="宋体" w:eastAsia="宋体" w:cs="宋体" w:hint="eastAsia"/>
                <w:color w:val="0F1115"/>
                <w:sz w:val="28"/>
                <w:szCs w:val="28"/>
                <w:shd w:val="clear" w:color="auto" w:fill="FFFFFF"/>
              </w:rPr>
              <w:drawing>
                <wp:inline distT="0" distB="0" distL="0" distR="0">
                  <wp:extent cx="5031104" cy="3533140"/>
                  <wp:effectExtent l="0" t="0" r="20" b="9"/>
                  <wp:docPr id="68" name="图片 1"/>
                  <wp:cNvGraphicFramePr>
                    <a:graphicFrameLocks noChangeAspect="1"/>
                  </wp:cNvGraphicFramePr>
                  <a:graphic>
                    <a:graphicData uri="http://schemas.openxmlformats.org/drawingml/2006/picture">
                      <pic:pic>
                        <pic:nvPicPr>
                          <pic:cNvPr id="70" name="图片 1 70"/>
                          <pic:cNvPicPr/>
                        </pic:nvPicPr>
                        <pic:blipFill>
                          <a:blip r:embed="rId30"/>
                          <a:srcRect l="18796" r="19964"/>
                          <a:stretch>
                            <a:fillRect/>
                          </a:stretch>
                        </pic:blipFill>
                        <pic:spPr>
                          <a:xfrm rot="0">
                            <a:off x="0" y="0"/>
                            <a:ext cx="5031104" cy="3533140"/>
                          </a:xfrm>
                          <a:prstGeom prst="rect"/>
                          <a:noFill/>
                          <a:ln w="9525" cmpd="sng" cap="flat">
                            <a:noFill/>
                            <a:prstDash val="solid"/>
                            <a:round/>
                          </a:ln>
                        </pic:spPr>
                      </pic:pic>
                    </a:graphicData>
                  </a:graphic>
                </wp:inline>
              </w:drawing>
            </w:r>
          </w:p>
          <w:p>
            <w:pPr>
              <w:pStyle w:val="23"/>
              <w:widowControl/>
              <w:spacing w:line="240" w:lineRule="auto"/>
              <w:ind w:firstLineChars="0" w:firstLine="0"/>
              <w:jc w:val="center"/>
              <w:outlineLvl w:val="2"/>
              <w:rPr>
                <w:rFonts w:ascii="宋体" w:eastAsia="宋体"/>
                <w:b/>
                <w:bCs/>
              </w:rPr>
            </w:pPr>
            <w:bookmarkStart w:id="85" w:name="_Toc218688642"/>
            <w:r>
              <w:rPr>
                <w:rFonts w:ascii="宋体" w:eastAsia="宋体" w:hint="eastAsia"/>
                <w:b/>
                <w:bCs/>
              </w:rPr>
              <w:t>图4-</w:t>
            </w:r>
            <w:r>
              <w:rPr>
                <w:rFonts w:ascii="宋体" w:eastAsia="宋体"/>
                <w:b/>
                <w:bCs/>
              </w:rPr>
              <w:t>5</w:t>
            </w:r>
            <w:r>
              <w:rPr>
                <w:rFonts w:ascii="宋体" w:eastAsia="宋体" w:hint="eastAsia"/>
                <w:b/>
                <w:bCs/>
              </w:rPr>
              <w:t xml:space="preserve"> 江华职中邀请非遗传承人黎柳进行专项实践教学</w:t>
            </w:r>
            <w:bookmarkEnd w:id="85"/>
          </w:p>
        </w:tc>
      </w:tr>
    </w:tbl>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86" w:name="_Toc218688695"/>
            <w:r>
              <w:rPr>
                <w:rFonts w:ascii="仿宋_GB2312" w:cs="仿宋_GB2312" w:hint="eastAsia"/>
                <w:b/>
                <w:bCs/>
                <w:color w:val="FFFFFF"/>
                <w:sz w:val="32"/>
                <w:szCs w:val="32"/>
              </w:rPr>
              <w:t>案例</w:t>
            </w:r>
            <w:r>
              <w:rPr>
                <w:rFonts w:ascii="仿宋_GB2312" w:cs="仿宋_GB2312"/>
                <w:b/>
                <w:bCs/>
                <w:color w:val="FFFFFF"/>
                <w:sz w:val="32"/>
                <w:szCs w:val="32"/>
              </w:rPr>
              <w:t>4-6：</w:t>
            </w:r>
            <w:r>
              <w:rPr>
                <w:rFonts w:ascii="仿宋_GB2312" w:cs="仿宋_GB2312" w:hint="eastAsia"/>
                <w:b/>
                <w:bCs/>
                <w:color w:val="FFFFFF"/>
                <w:sz w:val="32"/>
                <w:szCs w:val="32"/>
              </w:rPr>
              <w:t>江永县职业中专探索“非遗+”跨界融合展现文化传承新活力</w:t>
            </w:r>
            <w:bookmarkEnd w:id="86"/>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江永县职业中专学校在传承优秀传统文化的实践中，勇于打破常规，积极探索“非遗+”的跨界融合模式，让古老技艺在当代语境下焕发全新光彩。学校深入挖掘本地独有的“女书”这一世界性文化瑰宝，邀请女书传人走进课堂，将神秘的女书字符与刺绣工艺相结合，融入服装专业的实践教学。更具创新性的是，学校将省级非物质文化遗产——瑶族《敲梆舞》进行创造性改编，融合现代表演元素，精心打造出原创节目《竹梆跃湘超》。2025年10月，55名学子身着瑶族特色服饰，手持竹梆竹竿，登上了湘超联赛永州赛区的大舞台。清脆激昂的竹梆声与现代体育的激情相互碰撞，学子们通过富有冲击力的队形变换与刚柔并济的舞姿，生动演绎了瑶族先民的生活智慧与民族精神，赢得了现场观众的热烈反响。这场成功的跨界展演，不仅是对地方文化的精彩推介，更是职业教育将文化传承从课堂引向广阔天地的生动写照，极大地提升了学生的文化自信、团队协作与艺术表现力。</w:t>
            </w:r>
          </w:p>
          <w:p>
            <w:pPr>
              <w:pStyle w:val="23"/>
              <w:widowControl/>
              <w:spacing w:line="240" w:lineRule="auto"/>
              <w:ind w:firstLineChars="0" w:firstLine="0"/>
              <w:jc w:val="left"/>
              <w:rPr>
                <w:rFonts w:ascii="宋体" w:eastAsia="宋体" w:cs="仿宋_GB2312"/>
                <w:color w:val="0F1115"/>
                <w:sz w:val="28"/>
                <w:szCs w:val="28"/>
              </w:rPr>
            </w:pPr>
            <w:r>
              <w:rPr>
                <w:rFonts w:ascii="宋体" w:eastAsia="宋体" w:hint="eastAsia"/>
                <w:b/>
                <w:bCs/>
              </w:rPr>
              <w:drawing>
                <wp:inline distT="0" distB="0" distL="0" distR="0">
                  <wp:extent cx="4984750" cy="3324225"/>
                  <wp:effectExtent l="0" t="0" r="12" b="44"/>
                  <wp:docPr id="71" name="图片 37" descr="图片4"/>
                  <wp:cNvGraphicFramePr>
                    <a:graphicFrameLocks noChangeAspect="1"/>
                  </wp:cNvGraphicFramePr>
                  <a:graphic>
                    <a:graphicData uri="http://schemas.openxmlformats.org/drawingml/2006/picture">
                      <pic:pic>
                        <pic:nvPicPr>
                          <pic:cNvPr id="73" name="图片 37 73"/>
                          <pic:cNvPicPr/>
                        </pic:nvPicPr>
                        <pic:blipFill>
                          <a:blip r:embed="rId31"/>
                          <a:stretch>
                            <a:fillRect/>
                          </a:stretch>
                        </pic:blipFill>
                        <pic:spPr>
                          <a:xfrm rot="0">
                            <a:off x="0" y="0"/>
                            <a:ext cx="4984750" cy="3324225"/>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宋体" w:cs="仿宋_GB2312" w:hAnsi="宋体"/>
                <w:color w:val="0F1115"/>
                <w:sz w:val="28"/>
                <w:szCs w:val="28"/>
              </w:rPr>
            </w:pPr>
            <w:bookmarkStart w:id="87" w:name="_Toc218688643"/>
            <w:r>
              <w:rPr>
                <w:rFonts w:ascii="宋体" w:eastAsia="宋体" w:hint="eastAsia"/>
                <w:b/>
                <w:bCs/>
              </w:rPr>
              <w:t>图4-6 江永职中学生参加“湘超”开幕演出活动</w:t>
            </w:r>
            <w:bookmarkEnd w:id="87"/>
          </w:p>
        </w:tc>
      </w:tr>
    </w:tbl>
    <w:p>
      <w:pPr>
        <w:pStyle w:val="2"/>
        <w:spacing w:before="0" w:after="0" w:line="560" w:lineRule="exact"/>
        <w:ind w:firstLineChars="200" w:firstLine="640"/>
        <w:rPr>
          <w:rFonts w:ascii="楷体" w:eastAsia="楷体"/>
          <w:shd w:val="clear" w:color="auto" w:fill="FFFFFF"/>
        </w:rPr>
      </w:pPr>
      <w:bookmarkStart w:id="88" w:name="_Toc218688931"/>
      <w:r>
        <w:rPr>
          <w:rFonts w:ascii="楷体" w:eastAsia="楷体" w:hint="eastAsia"/>
          <w:shd w:val="clear" w:color="auto" w:fill="FFFFFF"/>
        </w:rPr>
        <w:t>4.4 校园文化活动</w:t>
      </w:r>
      <w:bookmarkEnd w:id="88"/>
    </w:p>
    <w:p>
      <w:pPr>
        <w:pStyle w:val="23"/>
        <w:shd w:val="clear" w:color="auto" w:fill="FFFFFF"/>
        <w:rPr>
          <w:rFonts w:ascii="仿宋_GB2312" w:cs="仿宋_GB2312"/>
          <w:b/>
          <w:bCs/>
          <w:color w:val="0F1115"/>
          <w:sz w:val="32"/>
          <w:szCs w:val="32"/>
          <w:shd w:val="clear" w:color="auto" w:fill="FFFFFF"/>
        </w:rPr>
      </w:pPr>
      <w:r>
        <w:rPr>
          <w:rFonts w:ascii="仿宋_GB2312" w:cs="仿宋_GB2312"/>
          <w:b/>
          <w:bCs/>
          <w:color w:val="0F1115"/>
          <w:sz w:val="32"/>
          <w:szCs w:val="32"/>
          <w:shd w:val="clear" w:color="auto" w:fill="FFFFFF"/>
        </w:rPr>
        <w:t>4.4.1 构建多元一体的校园文化活动体系</w:t>
      </w:r>
    </w:p>
    <w:p>
      <w:pPr>
        <w:pStyle w:val="15"/>
        <w:rPr>
          <w:rFonts w:ascii="仿宋_GB2312"/>
        </w:rPr>
      </w:pPr>
      <w:r>
        <w:rPr>
          <w:rFonts w:ascii="仿宋_GB2312" w:hint="eastAsia"/>
        </w:rPr>
        <w:t>永州市各中职学校坚持以学生全面发展为中心，构建了涵盖思想道德引领、文体竞技锻炼、主题实践教育、志愿服务奉献、艺术审美熏陶、心理健康促进等多元一体的校园文化活动体系。各校常态化举办田径运动会、篮球联赛、足球赛、拔河比赛等体育竞技活动，有效锤炼学生的意志品质与团队协作精神。广泛开展“文明风采”德育实践展演、校园歌手大赛、社团文化节、书画摄影比赛、经典诵读等活动，为学生搭建展示个性才华、提升审美素养的广阔舞台。</w:t>
      </w:r>
    </w:p>
    <w:p>
      <w:pPr>
        <w:pStyle w:val="23"/>
        <w:shd w:val="clear" w:color="auto" w:fill="FFFFFF"/>
        <w:rPr>
          <w:rFonts w:ascii="仿宋_GB2312" w:cs="仿宋_GB2312"/>
          <w:b/>
          <w:bCs/>
          <w:color w:val="0F1115"/>
          <w:sz w:val="32"/>
          <w:szCs w:val="32"/>
          <w:shd w:val="clear" w:color="auto" w:fill="FFFFFF"/>
        </w:rPr>
      </w:pPr>
      <w:r>
        <w:rPr>
          <w:rFonts w:ascii="仿宋_GB2312" w:cs="仿宋_GB2312"/>
          <w:b/>
          <w:bCs/>
          <w:color w:val="0F1115"/>
          <w:sz w:val="32"/>
          <w:szCs w:val="32"/>
          <w:shd w:val="clear" w:color="auto" w:fill="FFFFFF"/>
        </w:rPr>
        <w:t>4.4.2 深化志愿服务与心理关怀，促进学生身心共育</w:t>
      </w:r>
    </w:p>
    <w:p>
      <w:pPr>
        <w:pStyle w:val="15"/>
        <w:rPr>
          <w:rFonts w:ascii="仿宋_GB2312"/>
        </w:rPr>
      </w:pPr>
      <w:r>
        <w:rPr>
          <w:rFonts w:ascii="仿宋_GB2312" w:hint="eastAsia"/>
        </w:rPr>
        <w:t>永州市各中职学校注重学生外在的社会实践能力与内在的心理健康素养协同发展，形成了“服务社会”与“关爱自我”并重的育人格局。一方面，志愿服务活动呈现出品牌化、常态化的发展趋势。各校引导学生积极参与禁毒防艾宣传、社区便民服务、敬老助残、文明交通劝导以及助力乡村振兴的直播带货等项目，使学生在奉献社会的真实情境中锤炼品格、提升技能，充分彰显了永州职教学子的社会责任感与时代担当。另一方面，学生心理健康教育被置于前所未有的突出位置。各校通过系统开展“5·25”心理健康教育活动月、实施全员心理普查、举办专题讲座、提供个体与团体心理咨询等专业支持，构建起“预防-预警-干预-跟踪”的全链条心理关爱机制。这种对志愿服务与心理健康的双重着力，不仅有效促进了学生个人的身心和谐与健康成长，更营造了积极向上、包容互助的校园文化氛围，为学生的全面发展和可持续未来奠定了坚实的身心基础。</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89" w:name="_Toc218688696"/>
            <w:r>
              <w:rPr>
                <w:rFonts w:ascii="仿宋_GB2312" w:cs="仿宋_GB2312" w:hint="eastAsia"/>
                <w:b/>
                <w:bCs/>
                <w:color w:val="FFFFFF"/>
                <w:sz w:val="32"/>
                <w:szCs w:val="32"/>
              </w:rPr>
              <w:t>案例</w:t>
            </w:r>
            <w:r>
              <w:rPr>
                <w:rFonts w:ascii="仿宋_GB2312" w:cs="仿宋_GB2312"/>
                <w:b/>
                <w:bCs/>
                <w:color w:val="FFFFFF"/>
                <w:sz w:val="32"/>
                <w:szCs w:val="32"/>
              </w:rPr>
              <w:t>4-7：</w:t>
            </w:r>
            <w:r>
              <w:rPr>
                <w:rFonts w:ascii="仿宋_GB2312" w:cs="仿宋_GB2312" w:hint="eastAsia"/>
                <w:b/>
                <w:bCs/>
                <w:color w:val="FFFFFF"/>
                <w:sz w:val="32"/>
                <w:szCs w:val="32"/>
              </w:rPr>
              <w:t>祁阳市职业中等专业学校系统构建心理健康全流程关怀机制</w:t>
            </w:r>
            <w:bookmarkEnd w:id="89"/>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祁阳市职业中等专业学校深刻认识到心理健康对于职校学生成长成才的基石作用，着力推动工作重心从“被动干预”向“主动预防、全面发展”转变，系统构建了覆盖全员的心理关爱长效机制。学校自2025年起，每学期运用专业心理量表对全体学生进行科学普查，并结合班主任的日常观察与访谈，动态建立并更新“一生一档”电子心理成长档案。基于普查数据，学校实施分级预警与精准干预，对需要关注的学生，迅速启动由心理教师、班主任和家长共同参与的帮扶机制；对高危情况，则立即启动应急预案并转介专业机构。在做好危机预防的同时，学校更致力于培育学生的积极心理品质，通过定期举办情绪管理、人际交往等主题讲座与团体辅导，并将心理健康教育有机融入体育、艺术等各类校园活动之中。这套“筛查—评估—干预—跟踪—发展”的全流程工作体系，使学校对学生心理状态的把握实现了从模糊到精准的跨越，有效降低了校园心理危机事件的发生率，营造出关注心灵、互助成长的和谐校园氛围，其科学性、实效性已成为区域内的标杆。</w:t>
            </w:r>
          </w:p>
          <w:p>
            <w:pPr>
              <w:pStyle w:val="23"/>
              <w:widowControl/>
              <w:spacing w:line="240" w:lineRule="auto"/>
              <w:ind w:firstLineChars="0" w:firstLine="0"/>
              <w:jc w:val="center"/>
              <w:rPr>
                <w:rFonts w:ascii="宋体" w:eastAsia="宋体"/>
                <w:b/>
                <w:bCs/>
              </w:rPr>
            </w:pPr>
            <w:r>
              <w:rPr>
                <w:rFonts w:ascii="仿宋_GB2312" w:hint="eastAsia"/>
                <w:sz w:val="32"/>
                <w:szCs w:val="32"/>
              </w:rPr>
              <w:drawing>
                <wp:inline distT="0" distB="0" distL="0" distR="0">
                  <wp:extent cx="4565650" cy="2873375"/>
                  <wp:effectExtent l="0" t="0" r="7" b="13"/>
                  <wp:docPr id="74" name="图片 30" descr="心理2"/>
                  <wp:cNvGraphicFramePr>
                    <a:graphicFrameLocks noChangeAspect="1"/>
                  </wp:cNvGraphicFramePr>
                  <a:graphic>
                    <a:graphicData uri="http://schemas.openxmlformats.org/drawingml/2006/picture">
                      <pic:pic>
                        <pic:nvPicPr>
                          <pic:cNvPr id="76" name="图片 30 76"/>
                          <pic:cNvPicPr/>
                        </pic:nvPicPr>
                        <pic:blipFill>
                          <a:blip r:embed="rId32"/>
                          <a:srcRect l="20134" r="10166"/>
                          <a:stretch>
                            <a:fillRect/>
                          </a:stretch>
                        </pic:blipFill>
                        <pic:spPr>
                          <a:xfrm rot="0">
                            <a:off x="0" y="0"/>
                            <a:ext cx="4565650" cy="2873375"/>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宋体" w:cs="仿宋_GB2312" w:hAnsi="宋体"/>
                <w:color w:val="0F1115"/>
                <w:sz w:val="28"/>
                <w:szCs w:val="28"/>
              </w:rPr>
            </w:pPr>
            <w:bookmarkStart w:id="90" w:name="_Toc218688644"/>
            <w:r>
              <w:rPr>
                <w:rFonts w:ascii="宋体" w:eastAsia="宋体" w:hint="eastAsia"/>
                <w:b/>
                <w:bCs/>
              </w:rPr>
              <w:t>图4-7 祁阳职中组织学生进行心理普查测试、个别访谈</w:t>
            </w:r>
            <w:bookmarkEnd w:id="90"/>
          </w:p>
        </w:tc>
      </w:tr>
    </w:tbl>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91" w:name="_Toc218688697"/>
            <w:r>
              <w:rPr>
                <w:rFonts w:ascii="仿宋_GB2312" w:cs="仿宋_GB2312" w:hint="eastAsia"/>
                <w:b/>
                <w:bCs/>
                <w:color w:val="FFFFFF"/>
                <w:sz w:val="32"/>
                <w:szCs w:val="32"/>
              </w:rPr>
              <w:t>案例</w:t>
            </w:r>
            <w:r>
              <w:rPr>
                <w:rFonts w:ascii="仿宋_GB2312" w:cs="仿宋_GB2312"/>
                <w:b/>
                <w:bCs/>
                <w:color w:val="FFFFFF"/>
                <w:sz w:val="32"/>
                <w:szCs w:val="32"/>
              </w:rPr>
              <w:t>4-8：</w:t>
            </w:r>
            <w:r>
              <w:rPr>
                <w:rFonts w:ascii="仿宋_GB2312" w:cs="仿宋_GB2312" w:hint="eastAsia"/>
                <w:b/>
                <w:bCs/>
                <w:color w:val="FFFFFF"/>
                <w:sz w:val="32"/>
                <w:szCs w:val="32"/>
              </w:rPr>
              <w:t>永州工商职中举办“职教活动周”文明风采展演</w:t>
            </w:r>
            <w:bookmarkEnd w:id="91"/>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在2025年职业教育活动周期间，永州市工商职业中专学校以一场盛大的第二届“楚怡杯”文明风采展演，集中呈现了学校文化育人与专业教学的丰硕成果。本次展演绝非一场普通的文艺演出，而是一次经过精心设计的、融技能展示、文化传承与艺术表演于一体的综合性育人实践。从无人机编队飞行的科技魅力，到非遗蓝染时装秀的传统创新，从助农直播情景剧的专业实践，到红色经典合唱的深情演绎，13个精彩节目无不紧扣各专业特色，生动诠释了“技能让生活更美好”的深刻内涵。展演筹备历时数月，经过严格的节目遴选与专业指导，最终在舞台上完美呈现。活动不仅吸引了三千余名师生、家长现场观演，更通过线上直播吸引了超万人次观看，引发了广泛的社会关注与好评。这场展演为学生们提供了一个超越课堂的耀眼舞台，他们在排练与表演中深化了对所学专业的热爱，锤炼了团队协作与临场表现能力，职业自豪感与文化自信心油然而生，璀璨绽放出新时代职教学子的青春芳华。</w:t>
            </w:r>
          </w:p>
          <w:p>
            <w:pPr>
              <w:pStyle w:val="23"/>
              <w:widowControl/>
              <w:spacing w:line="240" w:lineRule="auto"/>
              <w:ind w:firstLineChars="0" w:firstLine="0"/>
              <w:jc w:val="center"/>
              <w:rPr>
                <w:rFonts w:ascii="宋体" w:eastAsia="宋体"/>
                <w:b/>
                <w:bCs/>
              </w:rPr>
            </w:pPr>
            <w:r>
              <w:rPr>
                <w:rFonts w:ascii="宋体" w:eastAsia="宋体" w:hint="eastAsia"/>
                <w:b/>
                <w:bCs/>
              </w:rPr>
              <w:drawing>
                <wp:inline distT="0" distB="0" distL="0" distR="0">
                  <wp:extent cx="4538345" cy="3295650"/>
                  <wp:effectExtent l="0" t="0" r="38" b="44"/>
                  <wp:docPr id="77" name="图片 38" descr="图片16"/>
                  <wp:cNvGraphicFramePr>
                    <a:graphicFrameLocks noChangeAspect="1"/>
                  </wp:cNvGraphicFramePr>
                  <a:graphic>
                    <a:graphicData uri="http://schemas.openxmlformats.org/drawingml/2006/picture">
                      <pic:pic>
                        <pic:nvPicPr>
                          <pic:cNvPr id="79" name="图片 38 79"/>
                          <pic:cNvPicPr/>
                        </pic:nvPicPr>
                        <pic:blipFill>
                          <a:blip r:embed="rId33"/>
                          <a:srcRect t="17916" l="22346" r="14032"/>
                          <a:stretch>
                            <a:fillRect/>
                          </a:stretch>
                        </pic:blipFill>
                        <pic:spPr>
                          <a:xfrm rot="0">
                            <a:off x="0" y="0"/>
                            <a:ext cx="4538345" cy="3295650"/>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宋体" w:cs="仿宋_GB2312" w:hAnsi="宋体"/>
                <w:color w:val="0F1115"/>
                <w:sz w:val="28"/>
                <w:szCs w:val="28"/>
              </w:rPr>
            </w:pPr>
            <w:bookmarkStart w:id="92" w:name="_Toc218688645"/>
            <w:r>
              <w:rPr>
                <w:rFonts w:ascii="宋体" w:eastAsia="宋体" w:hint="eastAsia"/>
                <w:b/>
                <w:bCs/>
              </w:rPr>
              <w:t>图4-8 永州工商职中2025年职业教育宣传活动</w:t>
            </w:r>
            <w:bookmarkEnd w:id="92"/>
          </w:p>
        </w:tc>
      </w:tr>
    </w:tbl>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rPr>
          <w:trHeight w:hRule="exact" w:val="680"/>
        </w:trPr>
        <w:tc>
          <w:tcPr>
            <w:tcW w:w="8296" w:type="dxa"/>
            <w:tcBorders>
              <w:top w:val="single" w:sz="4" w:space="0" w:color="auto"/>
              <w:left w:val="single" w:sz="4" w:space="0" w:color="auto"/>
              <w:bottom w:val="single" w:sz="4" w:space="0" w:color="auto"/>
              <w:right w:val="single" w:sz="4" w:space="0" w:color="auto"/>
            </w:tcBorders>
            <w:shd w:val="clear" w:color="auto" w:fill="7C7264"/>
            <w:noWrap/>
            <w:vAlign w:val="center"/>
          </w:tcPr>
          <w:p>
            <w:pPr>
              <w:pStyle w:val="23"/>
              <w:widowControl/>
              <w:spacing w:line="440" w:lineRule="exact"/>
              <w:ind w:left="1440" w:hangingChars="450" w:hanging="1440"/>
              <w:jc w:val="left"/>
              <w:outlineLvl w:val="4"/>
              <w:rPr>
                <w:rFonts w:ascii="宋体" w:eastAsia="宋体" w:cs="仿宋_GB2312"/>
                <w:color w:val="0F1115"/>
                <w:sz w:val="28"/>
                <w:szCs w:val="28"/>
              </w:rPr>
            </w:pPr>
            <w:bookmarkStart w:id="93" w:name="_Toc218688698"/>
            <w:r>
              <w:rPr>
                <w:rFonts w:ascii="仿宋_GB2312" w:cs="仿宋_GB2312" w:hint="eastAsia"/>
                <w:b/>
                <w:bCs/>
                <w:color w:val="FFFFFF"/>
                <w:sz w:val="32"/>
                <w:szCs w:val="32"/>
              </w:rPr>
              <w:t>案例</w:t>
            </w:r>
            <w:r>
              <w:rPr>
                <w:rFonts w:ascii="仿宋_GB2312" w:cs="仿宋_GB2312"/>
                <w:b/>
                <w:bCs/>
                <w:color w:val="FFFFFF"/>
                <w:sz w:val="32"/>
                <w:szCs w:val="32"/>
              </w:rPr>
              <w:t>4-9：</w:t>
            </w:r>
            <w:r>
              <w:rPr>
                <w:rFonts w:ascii="仿宋_GB2312" w:cs="仿宋_GB2312" w:hint="eastAsia"/>
                <w:b/>
                <w:bCs/>
                <w:color w:val="FFFFFF"/>
                <w:sz w:val="32"/>
                <w:szCs w:val="32"/>
              </w:rPr>
              <w:t>双牌职中</w:t>
            </w:r>
            <w:r>
              <w:rPr>
                <w:rFonts w:ascii="仿宋_GB2312" w:cs="仿宋_GB2312"/>
                <w:b/>
                <w:bCs/>
                <w:color w:val="FFFFFF"/>
                <w:sz w:val="32"/>
                <w:szCs w:val="32"/>
              </w:rPr>
              <w:t>以足球赛赋能职业教育的实践</w:t>
            </w:r>
            <w:bookmarkEnd w:id="93"/>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color w:val="0F1115"/>
                <w:sz w:val="28"/>
                <w:szCs w:val="28"/>
              </w:rPr>
              <w:t>2025年5月，双牌县职业技术学校以“党建带团建”为引领，围绕“一技在手，一生无忧”的主题，成功举办了2025年职业教育活动周启动仪式暨第二届“楚怡杯”校园足球赛。全校师生共同参与，生动展现了职业教育与体育文化融合的育人实践。</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本次活动周精心设计了“六大主题活动日”及系列特色实践，全面呈现双牌职中在职业教育改革方面的阶段成果。作为亮点环节，“楚怡杯”校园足球赛同步启动。赛事以“楚怡精神”为内核，融入“实干兴邦、匠心报国”的时代要求，创新采用“</w:t>
            </w:r>
            <w:r>
              <w:rPr>
                <w:rFonts w:ascii="宋体" w:eastAsia="宋体" w:cs="仿宋_GB2312"/>
                <w:color w:val="0F1115"/>
                <w:sz w:val="28"/>
                <w:szCs w:val="28"/>
              </w:rPr>
              <w:t>9+2人制”（即每队由9名学生与2名教师联合组队），在为期10天的赛程中展开竞技。</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双牌职中通过“职教</w:t>
            </w:r>
            <w:r>
              <w:rPr>
                <w:rFonts w:ascii="宋体" w:eastAsia="宋体" w:cs="仿宋_GB2312"/>
                <w:color w:val="0F1115"/>
                <w:sz w:val="28"/>
                <w:szCs w:val="28"/>
              </w:rPr>
              <w:t>+体育”的特色载体，推动主题教育走深走实，在活动育人、实践育人方面形成了可借鉴的做法。</w:t>
            </w:r>
          </w:p>
          <w:p>
            <w:pPr>
              <w:pStyle w:val="23"/>
              <w:widowControl/>
              <w:spacing w:line="240" w:lineRule="auto"/>
              <w:ind w:firstLineChars="0" w:firstLine="0"/>
              <w:jc w:val="center"/>
              <w:rPr>
                <w:rFonts w:ascii="宋体" w:eastAsia="宋体" w:cs="仿宋_GB2312"/>
                <w:color w:val="0F1115"/>
                <w:sz w:val="28"/>
                <w:szCs w:val="28"/>
              </w:rPr>
            </w:pPr>
            <w:r>
              <w:rPr>
                <w:rFonts w:ascii="楷体_GB2312" w:eastAsia="楷体_GB2312" w:cs="楷体_GB2312" w:hint="eastAsia"/>
              </w:rPr>
              <w:drawing>
                <wp:inline distT="0" distB="0" distL="0" distR="0">
                  <wp:extent cx="4942840" cy="3175000"/>
                  <wp:effectExtent l="0" t="0" r="12" b="15"/>
                  <wp:docPr id="80" name="图片 1" descr="7ab6cb34bef8563eaaf42e290ffb92ff"/>
                  <wp:cNvGraphicFramePr>
                    <a:graphicFrameLocks noChangeAspect="1"/>
                  </wp:cNvGraphicFramePr>
                  <a:graphic>
                    <a:graphicData uri="http://schemas.openxmlformats.org/drawingml/2006/picture">
                      <pic:pic>
                        <pic:nvPicPr>
                          <pic:cNvPr id="82" name="图片 1 82"/>
                          <pic:cNvPicPr/>
                        </pic:nvPicPr>
                        <pic:blipFill>
                          <a:blip r:embed="rId34"/>
                          <a:stretch>
                            <a:fillRect/>
                          </a:stretch>
                        </pic:blipFill>
                        <pic:spPr>
                          <a:xfrm rot="0">
                            <a:off x="0" y="0"/>
                            <a:ext cx="4942840" cy="3175000"/>
                          </a:xfrm>
                          <a:prstGeom prst="rect"/>
                          <a:noFill/>
                          <a:ln w="9525" cmpd="sng" cap="flat">
                            <a:noFill/>
                            <a:prstDash val="solid"/>
                            <a:round/>
                          </a:ln>
                        </pic:spPr>
                      </pic:pic>
                    </a:graphicData>
                  </a:graphic>
                </wp:inline>
              </w:drawing>
            </w:r>
          </w:p>
          <w:p>
            <w:pPr>
              <w:pStyle w:val="23"/>
              <w:widowControl/>
              <w:spacing w:afterLines="50" w:after="156" w:line="240" w:lineRule="auto"/>
              <w:ind w:firstLineChars="0" w:firstLine="0"/>
              <w:jc w:val="center"/>
              <w:outlineLvl w:val="2"/>
              <w:rPr>
                <w:rFonts w:ascii="宋体" w:eastAsia="宋体" w:cs="仿宋_GB2312"/>
                <w:color w:val="0F1115"/>
                <w:sz w:val="28"/>
                <w:szCs w:val="28"/>
              </w:rPr>
            </w:pPr>
            <w:bookmarkStart w:id="94" w:name="_Toc218688646"/>
            <w:r>
              <w:rPr>
                <w:rFonts w:ascii="宋体" w:eastAsia="宋体" w:hint="eastAsia"/>
                <w:b/>
                <w:bCs/>
              </w:rPr>
              <w:t>图4</w:t>
            </w:r>
            <w:r>
              <w:rPr>
                <w:rFonts w:ascii="宋体" w:eastAsia="宋体"/>
                <w:b/>
                <w:bCs/>
              </w:rPr>
              <w:t xml:space="preserve">-9 </w:t>
            </w:r>
            <w:r>
              <w:rPr>
                <w:rFonts w:ascii="宋体" w:eastAsia="宋体" w:hint="eastAsia"/>
                <w:b/>
                <w:bCs/>
              </w:rPr>
              <w:t>双牌职中“</w:t>
            </w:r>
            <w:r>
              <w:rPr>
                <w:rFonts w:ascii="宋体" w:eastAsia="宋体"/>
                <w:b/>
                <w:bCs/>
              </w:rPr>
              <w:t>9+2人制”足球赛活动</w:t>
            </w:r>
            <w:bookmarkEnd w:id="94"/>
          </w:p>
        </w:tc>
      </w:tr>
    </w:tbl>
    <w:p>
      <w:pPr>
        <w:pStyle w:val="1"/>
        <w:spacing w:beforeLines="50" w:before="156" w:afterLines="50" w:after="156" w:line="520" w:lineRule="exact"/>
        <w:ind w:firstLineChars="200" w:firstLine="640"/>
        <w:rPr>
          <w:rFonts w:ascii="黑体" w:eastAsia="黑体"/>
          <w:b w:val="0"/>
          <w:bCs w:val="0"/>
          <w:sz w:val="32"/>
          <w:szCs w:val="32"/>
          <w:shd w:val="clear" w:color="auto" w:fill="FFFFFF"/>
        </w:rPr>
      </w:pPr>
      <w:bookmarkStart w:id="95" w:name="_Toc218688932"/>
      <w:bookmarkStart w:id="96" w:name="_Toc218617430"/>
      <w:r>
        <w:rPr>
          <w:rFonts w:ascii="黑体" w:eastAsia="黑体" w:hint="eastAsia"/>
          <w:b w:val="0"/>
          <w:bCs w:val="0"/>
          <w:sz w:val="32"/>
          <w:szCs w:val="32"/>
          <w:shd w:val="clear" w:color="auto" w:fill="FFFFFF"/>
        </w:rPr>
        <w:t>5</w:t>
      </w:r>
      <w:r>
        <w:rPr>
          <w:rFonts w:ascii="黑体" w:eastAsia="黑体"/>
          <w:b w:val="0"/>
          <w:bCs w:val="0"/>
          <w:sz w:val="32"/>
          <w:szCs w:val="32"/>
          <w:shd w:val="clear" w:color="auto" w:fill="FFFFFF"/>
        </w:rPr>
        <w:t xml:space="preserve">. </w:t>
      </w:r>
      <w:r>
        <w:rPr>
          <w:rFonts w:ascii="黑体" w:eastAsia="黑体" w:hint="eastAsia"/>
          <w:b w:val="0"/>
          <w:bCs w:val="0"/>
          <w:sz w:val="32"/>
          <w:szCs w:val="32"/>
          <w:shd w:val="clear" w:color="auto" w:fill="FFFFFF"/>
        </w:rPr>
        <w:t>国际合作</w:t>
      </w:r>
      <w:bookmarkEnd w:id="70"/>
      <w:bookmarkEnd w:id="95"/>
      <w:bookmarkEnd w:id="96"/>
    </w:p>
    <w:p>
      <w:pPr>
        <w:pStyle w:val="15"/>
        <w:widowControl w:val="0"/>
        <w:rPr>
          <w:rFonts w:ascii="仿宋_GB2312"/>
        </w:rPr>
      </w:pPr>
      <w:r>
        <w:rPr>
          <w:rFonts w:ascii="仿宋_GB2312"/>
        </w:rPr>
        <w:t>2025年，在永州市教育局的统筹规划与前瞻引领下，全市各中等职业学校深入贯彻国家关于职业教育高质量发展的战略部署，紧密围绕《国家职业教育改革实施方案》的核心精神，进一步巩固并强化职业教育的类型教育定位，系统化、深层次推进国际交流与合作。以祁阳市职业中等专业学校、永州市工商职业中等专业学校、</w:t>
      </w:r>
      <w:r>
        <w:rPr>
          <w:rFonts w:ascii="仿宋_GB2312" w:hint="eastAsia"/>
        </w:rPr>
        <w:t>永州市工业贸易中等专业学校</w:t>
      </w:r>
      <w:r>
        <w:rPr>
          <w:rFonts w:ascii="仿宋_GB2312"/>
        </w:rPr>
        <w:t>等为代表的一批骨干院校，率先行动，主动对标职教发达国家的先进理念与课程体系，积极拓展与国际行业龙头企业及知名企业的战略合作伙伴关系。</w:t>
      </w:r>
    </w:p>
    <w:p>
      <w:pPr>
        <w:pStyle w:val="15"/>
        <w:widowControl w:val="0"/>
        <w:rPr>
          <w:rFonts w:ascii="仿宋_GB2312"/>
        </w:rPr>
      </w:pPr>
      <w:r>
        <w:rPr>
          <w:rFonts w:ascii="仿宋_GB2312"/>
        </w:rPr>
        <w:t>通过共建国际化实训基地、合作开发模块化课程、引进“双元制”等成熟培养模式，各校致力于将国际通用的职业资格框架与行业人才培养标准进行创造性转化与本土化融合。这一过程不仅注重技术技能的接轨，更强调工匠精神、质量文化与创新素养的培育，旨在构建一套既具备国际水准、又深植永州产业土壤的职业教育国际合作新范式。</w:t>
      </w:r>
    </w:p>
    <w:p>
      <w:pPr>
        <w:pStyle w:val="15"/>
        <w:widowControl w:val="0"/>
        <w:rPr>
          <w:rFonts w:ascii="仿宋_GB2312"/>
        </w:rPr>
      </w:pPr>
      <w:r>
        <w:rPr>
          <w:rFonts w:ascii="仿宋_GB2312"/>
        </w:rPr>
        <w:t>此举显著提升了永州职业教育人才培养的规格与质量，使毕业生能够更好地适应全球化产业链的需求，同时通过成果输出与经验分享，持续扩大了永州职业教育在国际舞台上的影响力与竞争力，为区域产业升级与经济社会发展注入了强劲的国际动能。</w:t>
      </w:r>
    </w:p>
    <w:p>
      <w:pPr>
        <w:pStyle w:val="2"/>
        <w:spacing w:before="0" w:after="0" w:line="560" w:lineRule="exact"/>
        <w:ind w:firstLineChars="200" w:firstLine="640"/>
        <w:rPr>
          <w:rFonts w:ascii="楷体" w:eastAsia="楷体"/>
          <w:shd w:val="clear" w:color="auto" w:fill="FFFFFF"/>
        </w:rPr>
      </w:pPr>
      <w:bookmarkStart w:id="97" w:name="_Toc218688933"/>
      <w:r>
        <w:rPr>
          <w:rFonts w:ascii="楷体" w:eastAsia="楷体" w:hint="eastAsia"/>
          <w:shd w:val="clear" w:color="auto" w:fill="FFFFFF"/>
        </w:rPr>
        <w:t>5.1 构建国际合作网络与推进资源融合</w:t>
      </w:r>
      <w:bookmarkEnd w:id="97"/>
    </w:p>
    <w:p>
      <w:pPr>
        <w:pStyle w:val="15"/>
        <w:widowControl w:val="0"/>
        <w:rPr>
          <w:rFonts w:ascii="仿宋_GB2312"/>
        </w:rPr>
      </w:pPr>
      <w:r>
        <w:rPr>
          <w:rFonts w:ascii="仿宋_GB2312"/>
        </w:rPr>
        <w:t>为切实提升办学国际化水平，永州市各中等职业学校正着力构建一个开放、稳定且富有成效的多层次国际合作网络。这一网络不仅着眼于与海外院校建立伙伴关系，更注重引入行业领先企业、国际权威认证机构及专业组织，形成“校—企—证”多维联动的实质性合作格局，确保国际资源供给的持续性与多样性。</w:t>
      </w:r>
    </w:p>
    <w:p>
      <w:pPr>
        <w:pStyle w:val="15"/>
        <w:widowControl w:val="0"/>
        <w:rPr>
          <w:rFonts w:ascii="仿宋_GB2312"/>
        </w:rPr>
      </w:pPr>
      <w:r>
        <w:rPr>
          <w:rFonts w:ascii="仿宋_GB2312"/>
        </w:rPr>
        <w:t>在合作网络的基础上，各校通过一条清晰的系统化路径，将国际先进的职业教育标准、课程体系与教学资源，有机嵌入人才培养的全过程，推动国际标准与本土实践深度结合，使专业建设、课程实施、师资发展与质量评价等核心环节均体现出国际化内涵。</w:t>
      </w:r>
    </w:p>
    <w:p>
      <w:pPr>
        <w:pStyle w:val="15"/>
        <w:widowControl w:val="0"/>
        <w:rPr>
          <w:rFonts w:ascii="仿宋_GB2312"/>
        </w:rPr>
      </w:pPr>
      <w:r>
        <w:rPr>
          <w:rFonts w:ascii="仿宋_GB2312"/>
        </w:rPr>
        <w:t>最终，这一系统性努力旨在实现从形式交流向实质融合的转变，使培养出的学生不仅掌握符合国际要求的技术技能，更具备在全球化工作环境中学习、协作与发展的综合素养，为区域产业参与国际竞争提供坚实的人才支撑。</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5.1.1 构建系统性国际合作网络与交流平台</w:t>
      </w:r>
    </w:p>
    <w:p>
      <w:pPr>
        <w:pStyle w:val="15"/>
        <w:widowControl w:val="0"/>
        <w:rPr>
          <w:rFonts w:ascii="仿宋_GB2312"/>
        </w:rPr>
      </w:pPr>
      <w:r>
        <w:rPr>
          <w:rFonts w:ascii="仿宋_GB2312" w:hint="eastAsia"/>
        </w:rPr>
        <w:t>永州市各中职学校主动参与区域性对话机制，并与德国等职业教育发达国家建立稳定联系。合作形式已从单一的人员互访，拓展至校际协议、联盟参与及校企协同。例如，以永州市工商职业中等专业学校为代表，牵头组建了“永州—德国智能制造产教融合协作体”，与德国手工业协会等机构以及司代普、慧鱼等知名企业建立稳定合作关系。学校同时建设了“永州职教国际云平台”，用于共享课程资源、开展远程教研及管理合作项目，形成了线上线下相结合的网络化协作体系。</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rPr>
          <w:trHeight w:hRule="exact" w:val="567"/>
        </w:trPr>
        <w:tc>
          <w:tcPr>
            <w:tcW w:w="8296" w:type="dxa"/>
            <w:tcBorders>
              <w:top w:val="single" w:sz="4" w:space="0" w:color="auto"/>
              <w:left w:val="single" w:sz="4" w:space="0" w:color="auto"/>
              <w:bottom w:val="single" w:sz="4" w:space="0" w:color="auto"/>
              <w:right w:val="single" w:sz="4" w:space="0" w:color="auto"/>
            </w:tcBorders>
            <w:shd w:val="clear" w:color="auto" w:fill="7C7264"/>
            <w:noWrap/>
            <w:vAlign w:val="center"/>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98" w:name="_Toc218688699"/>
            <w:r>
              <w:rPr>
                <w:rFonts w:ascii="仿宋_GB2312" w:cs="仿宋_GB2312" w:hint="eastAsia"/>
                <w:b/>
                <w:bCs/>
                <w:color w:val="FFFFFF"/>
                <w:sz w:val="32"/>
                <w:szCs w:val="32"/>
              </w:rPr>
              <w:t>案例</w:t>
            </w:r>
            <w:r>
              <w:rPr>
                <w:rFonts w:ascii="仿宋_GB2312" w:cs="仿宋_GB2312"/>
                <w:b/>
                <w:bCs/>
                <w:color w:val="FFFFFF"/>
                <w:sz w:val="32"/>
                <w:szCs w:val="32"/>
              </w:rPr>
              <w:t>5-1：</w:t>
            </w:r>
            <w:r>
              <w:rPr>
                <w:rFonts w:ascii="仿宋_GB2312" w:cs="仿宋_GB2312" w:hint="eastAsia"/>
                <w:b/>
                <w:bCs/>
                <w:color w:val="FFFFFF"/>
                <w:sz w:val="32"/>
                <w:szCs w:val="32"/>
              </w:rPr>
              <w:t>聚焦国际资源引进，赋能人才培养提质</w:t>
            </w:r>
            <w:bookmarkEnd w:id="98"/>
          </w:p>
        </w:tc>
      </w:tr>
      <w:tr>
        <w:tc>
          <w:tcPr>
            <w:tcW w:w="8296" w:type="dxa"/>
            <w:tcBorders>
              <w:top w:val="single" w:sz="4" w:space="0" w:color="auto"/>
              <w:left w:val="single" w:sz="4" w:space="0" w:color="auto"/>
              <w:bottom w:val="single" w:sz="4" w:space="0" w:color="auto"/>
              <w:right w:val="single" w:sz="4" w:space="0" w:color="auto"/>
            </w:tcBorders>
            <w:noWrap/>
          </w:tcPr>
          <w:p>
            <w:pPr>
              <w:pStyle w:val="23"/>
              <w:spacing w:line="480" w:lineRule="exact"/>
              <w:rPr>
                <w:rFonts w:ascii="宋体" w:eastAsia="宋体" w:cs="仿宋_GB2312"/>
                <w:color w:val="0F1115"/>
                <w:sz w:val="28"/>
                <w:szCs w:val="28"/>
              </w:rPr>
            </w:pPr>
            <w:r>
              <w:rPr>
                <w:rFonts w:ascii="宋体" w:eastAsia="宋体" w:cs="仿宋_GB2312" w:hint="eastAsia"/>
                <w:color w:val="0F1115"/>
                <w:sz w:val="28"/>
                <w:szCs w:val="28"/>
              </w:rPr>
              <w:t>永州市工商职业中等专业学校以高质量发展为核心，精准对接国际优质职业教育资源，全力构建产教融合国际合作新网络。依托中德职业教育产教融合联盟及德国司代普克莱夫特有限公司等优质企业资源，学校搭建起多层次国际合作交流平台，目前已与德国司代普克莱夫特公司、德国慧鱼公司、德国思灵机器人公司签订意向合作协议，重点在数控、机电、力控机器人等优势专业落地产教融合合作项目，将国际先进技术标准与教学模式融入专业人才培养全过程。此外，学校主动对接德国工商业协会、手工业协会，深入学习借鉴德国双元制人才培养模式的核心精髓，探索符合本校实际与区域产业需求的本土化育人路径。中德智能康复机器人产业学院暨思灵机器人</w:t>
            </w:r>
            <w:r>
              <w:rPr>
                <w:rFonts w:ascii="宋体" w:eastAsia="宋体" w:cs="仿宋_GB2312"/>
                <w:color w:val="0F1115"/>
                <w:sz w:val="28"/>
                <w:szCs w:val="28"/>
              </w:rPr>
              <w:t>X-SPA智能健康产教融合实践中心的落地，更标志着学校在国际资源引进与产教融合深度衔接上迈出关键一步，为培养具备国际竞争力的技能人才提供强有力的资源支撑</w:t>
            </w:r>
            <w:r>
              <w:rPr>
                <w:rFonts w:ascii="宋体" w:eastAsia="宋体" w:cs="仿宋_GB2312" w:hint="eastAsia"/>
                <w:color w:val="0F1115"/>
                <w:sz w:val="28"/>
                <w:szCs w:val="28"/>
              </w:rPr>
              <w:t>，见图5-1。</w:t>
            </w:r>
          </w:p>
          <w:p>
            <w:pPr>
              <w:pStyle w:val="23"/>
              <w:spacing w:line="240" w:lineRule="auto"/>
              <w:ind w:firstLineChars="0" w:firstLine="0"/>
              <w:jc w:val="left"/>
              <w:rPr>
                <w:rFonts w:ascii="宋体" w:eastAsia="宋体" w:cs="仿宋_GB2312"/>
                <w:color w:val="0F1115"/>
                <w:sz w:val="28"/>
                <w:szCs w:val="28"/>
              </w:rPr>
            </w:pPr>
            <w:r>
              <w:rPr>
                <w:rFonts w:ascii="方正仿宋_GB2312" w:eastAsia="方正仿宋_GB2312" w:cs="方正仿宋_GB2312" w:hint="eastAsia"/>
                <w:sz w:val="32"/>
                <w:szCs w:val="32"/>
              </w:rPr>
              <w:drawing>
                <wp:inline distT="0" distB="0" distL="114300" distR="114300">
                  <wp:extent cx="5269865" cy="3638550"/>
                  <wp:effectExtent l="0" t="0" r="47" b="39"/>
                  <wp:docPr id="83" name="图片 23" descr="图片20"/>
                  <wp:cNvGraphicFramePr>
                    <a:graphicFrameLocks noChangeAspect="1"/>
                  </wp:cNvGraphicFramePr>
                  <a:graphic>
                    <a:graphicData uri="http://schemas.openxmlformats.org/drawingml/2006/picture">
                      <pic:pic>
                        <pic:nvPicPr>
                          <pic:cNvPr id="85" name="图片 23 85"/>
                          <pic:cNvPicPr/>
                        </pic:nvPicPr>
                        <pic:blipFill>
                          <a:blip r:embed="rId35"/>
                          <a:srcRect t="24635"/>
                          <a:stretch>
                            <a:fillRect/>
                          </a:stretch>
                        </pic:blipFill>
                        <pic:spPr>
                          <a:xfrm rot="0">
                            <a:off x="0" y="0"/>
                            <a:ext cx="5269865" cy="3638550"/>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楷体_GB2312" w:eastAsia="楷体_GB2312" w:cs="楷体_GB2312"/>
                <w:b/>
                <w:bCs/>
                <w:spacing w:val="2"/>
                <w:szCs w:val="20"/>
              </w:rPr>
            </w:pPr>
            <w:bookmarkStart w:id="99" w:name="_Toc218688647"/>
            <w:r>
              <w:rPr>
                <w:rFonts w:ascii="宋体" w:eastAsia="宋体" w:hint="eastAsia"/>
                <w:b/>
                <w:bCs/>
              </w:rPr>
              <w:t>图5-1 永州工商职中在世界技能发展联盟授牌现场</w:t>
            </w:r>
            <w:bookmarkEnd w:id="99"/>
          </w:p>
        </w:tc>
      </w:tr>
    </w:tbl>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5.1.2 实施国际标准与资源的本土化融合实践</w:t>
      </w:r>
    </w:p>
    <w:p>
      <w:pPr>
        <w:pStyle w:val="15"/>
        <w:widowControl w:val="0"/>
        <w:rPr>
          <w:rFonts w:ascii="仿宋_GB2312"/>
        </w:rPr>
      </w:pPr>
      <w:r>
        <w:rPr>
          <w:rFonts w:ascii="仿宋_GB2312" w:hint="eastAsia"/>
        </w:rPr>
        <w:t>各校在职业教育高质量发展进程中，始终坚持以市场需求为导向、以产业适配为核心，精准聚焦数控技术、现代服务等优势专业赛道。这些专业既契合当下先进制造业与现代服务业的发展刚需，又具备深厚的办学积淀与鲜明的育人特色，成为对接国际标准、提升办学能级的核心载体。</w:t>
      </w:r>
    </w:p>
    <w:p>
      <w:pPr>
        <w:pStyle w:val="15"/>
        <w:widowControl w:val="0"/>
        <w:rPr>
          <w:rFonts w:ascii="仿宋_GB2312"/>
        </w:rPr>
      </w:pPr>
      <w:r>
        <w:rPr>
          <w:rFonts w:ascii="仿宋_GB2312" w:hint="eastAsia"/>
        </w:rPr>
        <w:t>为全面提升专业建设的国际化水平与人才培养的市场适配度，各校系统引进国际社会广泛认可的职业资格标准，，同步引入配套的专业课程体系与技能评价方法。通过整合国际先进的教学理念、课程设计逻辑与实践考核模式，为专业建设注入国际化基因，助力学生掌握与国际接轨的专业技能与职业素养。</w:t>
      </w:r>
    </w:p>
    <w:p>
      <w:pPr>
        <w:pStyle w:val="15"/>
        <w:widowControl w:val="0"/>
        <w:rPr>
          <w:rFonts w:ascii="仿宋_GB2312"/>
        </w:rPr>
      </w:pPr>
      <w:r>
        <w:rPr>
          <w:rFonts w:ascii="仿宋_GB2312" w:hint="eastAsia"/>
        </w:rPr>
        <w:t>值得强调的是，这种国际合作并非简单的模式复制或标准移植，而是始终坚守本土化育人初心，遵循“引进-消化-重构”的科学路径进行深度改造。在引进国际优质资源后，各校结合本土产业发展特点、岗位能力需求差异及学生认知规律，对课程内容进行适应性调整、对教学模式进行创新性优化、对评价标准进行本土化适配，既保留国际标准的先进性与规范性，又凸显本土产业的特色与需求，最终形成兼具国际视野与本土适配性的现代化职业教育专业体系，为培养高素质技术技能人才提供坚实支撑。</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5.1.3 聚焦学生国际胜任力的培养成效</w:t>
      </w:r>
    </w:p>
    <w:p>
      <w:pPr>
        <w:pStyle w:val="15"/>
        <w:widowControl w:val="0"/>
        <w:rPr>
          <w:rFonts w:ascii="仿宋_GB2312"/>
        </w:rPr>
      </w:pPr>
      <w:r>
        <w:rPr>
          <w:rFonts w:ascii="仿宋_GB2312" w:hint="eastAsia"/>
        </w:rPr>
        <w:t>所有国际合作项目的最终目标均指向学生综合素养的提升。通过上述网络构建与资源融合，各校系统设计了培养学生国际视野与跨文化能力的路径：一是开设融入国际产业案例的专业双语课程；二是组织学生参与国际技能工作坊、线上国际课堂及海外企业技术实习项目；三是鼓励并支持学生考取权威的国际通用职业技能证书。这些举措旨在使学生不仅掌握国际前沿技术技能，更具备在多元文化背景下进行有效沟通、协作与解决问题的职业能力，为其未来在国际化企业就业或深造奠定坚实基础。</w:t>
      </w:r>
    </w:p>
    <w:p>
      <w:pPr>
        <w:pStyle w:val="15"/>
        <w:widowControl w:val="0"/>
        <w:outlineLvl w:val="1"/>
        <w:rPr>
          <w:rFonts w:ascii="楷体_GB2312" w:eastAsia="楷体_GB2312" w:cs="楷体_GB2312"/>
          <w:b/>
          <w:bCs/>
          <w:shd w:val="clear" w:color="auto" w:fill="FFFFFF"/>
        </w:rPr>
      </w:pPr>
      <w:bookmarkStart w:id="100" w:name="_Toc218688934"/>
      <w:r>
        <w:rPr>
          <w:rFonts w:ascii="楷体_GB2312" w:eastAsia="楷体_GB2312" w:cs="楷体_GB2312" w:hint="eastAsia"/>
          <w:b/>
          <w:bCs/>
          <w:shd w:val="clear" w:color="auto" w:fill="FFFFFF"/>
        </w:rPr>
        <w:t>5.2 推动国际标准开发与对接</w:t>
      </w:r>
      <w:bookmarkEnd w:id="100"/>
    </w:p>
    <w:p>
      <w:pPr>
        <w:pStyle w:val="15"/>
        <w:widowControl w:val="0"/>
        <w:rPr>
          <w:rFonts w:ascii="仿宋_GB2312"/>
          <w:shd w:val="clear" w:color="auto" w:fill="FFFFFF"/>
        </w:rPr>
      </w:pPr>
      <w:r>
        <w:rPr>
          <w:rFonts w:ascii="仿宋_GB2312" w:hint="eastAsia"/>
          <w:shd w:val="clear" w:color="auto" w:fill="FFFFFF"/>
        </w:rPr>
        <w:t>为深化职业教育国际交流，提升人才培养的全球适应性，永州市各中等职业学校坚持开放共赢、互利互惠原则，积极开展与发达国家和地区优质职业教育机构的务实合作。通过系统引入、吸收并转化国际先进教育理念、课程体系与评价标准，推动本地职业教育在课程建设、师资发展与质量保障等关键环节实现提质增效，致力培养具备国际视野、适应产业全球化发展的高素质技术技能人才。</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5.2.1 共建与国际衔接的课程体系与教学资源</w:t>
      </w:r>
    </w:p>
    <w:p>
      <w:pPr>
        <w:pStyle w:val="15"/>
        <w:widowControl w:val="0"/>
        <w:rPr>
          <w:rFonts w:ascii="仿宋_GB2312"/>
          <w:shd w:val="clear" w:color="auto" w:fill="FFFFFF"/>
        </w:rPr>
      </w:pPr>
      <w:r>
        <w:rPr>
          <w:rFonts w:ascii="仿宋_GB2312" w:hint="eastAsia"/>
          <w:shd w:val="clear" w:color="auto" w:fill="FFFFFF"/>
        </w:rPr>
        <w:t>聚焦区域重点产业与国际人才需求，与合作院校及行业组织共同开发模块化、标准化的专业课程。重点引入国际广泛认可的职业教育课程体系，结合本地产业实际进行本土化改造与融合。联合开发双语教材、数字化教学资源及实训项目，逐步在智能制造、现代服务、数字技术等专业领域建设一批具有国际水准的优质课程资源库。鼓励开展学生学分互认、课程互通，为后续双向交流与深造奠定基础。</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5.2.2 开展能力导向的师资联合培训与交流</w:t>
      </w:r>
    </w:p>
    <w:p>
      <w:pPr>
        <w:pStyle w:val="15"/>
        <w:widowControl w:val="0"/>
        <w:rPr>
          <w:rFonts w:ascii="仿宋_GB2312"/>
          <w:shd w:val="clear" w:color="auto" w:fill="FFFFFF"/>
        </w:rPr>
      </w:pPr>
      <w:r>
        <w:rPr>
          <w:rFonts w:ascii="仿宋_GB2312" w:hint="eastAsia"/>
          <w:shd w:val="clear" w:color="auto" w:fill="FFFFFF"/>
        </w:rPr>
        <w:t>依托国际合作伙伴，建立常态化师资交流与专业发展机制。定期选派专业带头人与骨干教师赴境外合作机构进行访学、参加国际教学法与专业技术培训，并取得相关国际认证。同时邀请外方专家来校开展教学研讨、工作坊及技术指导，重点提升教师在课程设计、实践教学、信息技术应用及国际标准理解等方面的能力。推动组建跨国教学团队，合作开展教学改革课题研究，共同开发教学案例与评价工具，促进教师队伍整体专业水平的国际化提升。</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5.2.3 引入与对接国际通用的质量认证与评价标准</w:t>
      </w:r>
    </w:p>
    <w:p>
      <w:pPr>
        <w:spacing w:line="560" w:lineRule="exact"/>
        <w:ind w:firstLineChars="200" w:firstLine="640"/>
        <w:rPr>
          <w:rFonts w:ascii="仿宋_GB2312" w:eastAsia="仿宋_GB2312" w:cs="仿宋_GB2312"/>
          <w:sz w:val="32"/>
          <w:szCs w:val="32"/>
          <w:shd w:val="clear" w:color="auto" w:fill="FFFFFF"/>
        </w:rPr>
      </w:pPr>
      <w:r>
        <w:rPr>
          <w:rFonts w:ascii="仿宋_GB2312" w:eastAsia="仿宋_GB2312" w:cs="仿宋_GB2312" w:hint="eastAsia"/>
          <w:sz w:val="32"/>
          <w:szCs w:val="32"/>
          <w:shd w:val="clear" w:color="auto" w:fill="FFFFFF"/>
        </w:rPr>
        <w:t>系统研究并逐步对接国际行业资格框架及职业教育质量保障体系。在合作专业试点推行国际通行的技能标准与考核评价方法，探索开展国际职业资格证书的培训与认证工作。建立与国际接轨的教学质量监测与评价机制，吸纳行业国际企业与外方教育机构参与人才培养方案论证、教学过程评价与毕业生质量反馈，形成持续改进的闭环管理，切实提升人才培养的国际认可度与竞争力。</w:t>
      </w:r>
    </w:p>
    <w:p>
      <w:pPr>
        <w:spacing w:line="560" w:lineRule="exact"/>
        <w:ind w:firstLineChars="200" w:firstLine="640"/>
        <w:outlineLvl w:val="1"/>
        <w:rPr>
          <w:rFonts w:ascii="楷体_GB2312" w:eastAsia="楷体_GB2312" w:cs="楷体_GB2312"/>
          <w:b/>
          <w:bCs/>
          <w:sz w:val="32"/>
          <w:szCs w:val="32"/>
          <w:shd w:val="clear" w:color="auto" w:fill="FFFFFF"/>
        </w:rPr>
      </w:pPr>
      <w:bookmarkStart w:id="101" w:name="_Toc218688935"/>
      <w:r>
        <w:rPr>
          <w:rFonts w:ascii="楷体_GB2312" w:eastAsia="楷体_GB2312" w:cs="楷体_GB2312" w:hint="eastAsia"/>
          <w:b/>
          <w:bCs/>
          <w:sz w:val="32"/>
          <w:szCs w:val="32"/>
          <w:shd w:val="clear" w:color="auto" w:fill="FFFFFF"/>
        </w:rPr>
        <w:t>5.3 精准服务“一带一路”倡议</w:t>
      </w:r>
      <w:bookmarkEnd w:id="101"/>
    </w:p>
    <w:p>
      <w:pPr>
        <w:spacing w:line="560" w:lineRule="exact"/>
        <w:ind w:firstLineChars="200" w:firstLine="640"/>
        <w:rPr>
          <w:rFonts w:ascii="仿宋_GB2312" w:eastAsia="仿宋_GB2312" w:cs="仿宋_GB2312"/>
          <w:sz w:val="32"/>
          <w:szCs w:val="32"/>
          <w:shd w:val="clear" w:color="auto" w:fill="FFFFFF"/>
        </w:rPr>
      </w:pPr>
      <w:r>
        <w:rPr>
          <w:rFonts w:ascii="仿宋_GB2312" w:eastAsia="仿宋_GB2312" w:cs="仿宋_GB2312" w:hint="eastAsia"/>
          <w:sz w:val="32"/>
          <w:szCs w:val="32"/>
          <w:shd w:val="clear" w:color="auto" w:fill="FFFFFF"/>
        </w:rPr>
        <w:t>永州市中等职业教育服务“一带一路”建设，核心在于实现从一般性国际交流向战略性、系统性对接的范式转变。其目标并非简单参与，而是通过精准识别沿线国家与地区在工业化、技术应用及人力资源开发等领域的内在需求，将本地的专业优势、教学资源转化为可对接、可供给的职业教育公共产品。这一过程强调战略嵌入、需求匹配与协同网络构建，旨在形成以职业教育为纽带，服务国际产能合作与人文交流的可持续发展模式。</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5.3.1 需求导向的战略定位理论</w:t>
      </w:r>
    </w:p>
    <w:p>
      <w:pPr>
        <w:spacing w:line="560" w:lineRule="exact"/>
        <w:ind w:firstLineChars="200" w:firstLine="640"/>
        <w:rPr>
          <w:rFonts w:ascii="仿宋_GB2312" w:eastAsia="仿宋_GB2312" w:cs="仿宋_GB2312"/>
          <w:sz w:val="32"/>
          <w:szCs w:val="32"/>
          <w:shd w:val="clear" w:color="auto" w:fill="FFFFFF"/>
        </w:rPr>
      </w:pPr>
      <w:r>
        <w:rPr>
          <w:rFonts w:ascii="仿宋_GB2312" w:eastAsia="仿宋_GB2312" w:cs="仿宋_GB2312" w:hint="eastAsia"/>
          <w:sz w:val="32"/>
          <w:szCs w:val="32"/>
          <w:shd w:val="clear" w:color="auto" w:fill="FFFFFF"/>
        </w:rPr>
        <w:t>精准服务的基础在于对“一带一路”沿线差异化需求的系统性研究与战略识别。这要求职业教育的发展规划，必须超越本校或本地区的局限，置于更广阔的国际产业分工与人力资源流动格局中考量。其理论核心是“供需匹配”，即通过动态分析沿线重点合作区域的发展规划、支柱产业技能缺口以及中资企业的本地化运营挑战，使永州职业教育的专业设置、培养规格与内容体系，能够前瞻性地与之形成结构性对接，从而实现教育供给与外部需求的战略性契合。</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5.3.2 能力本位的资源开发理论</w:t>
      </w:r>
    </w:p>
    <w:p>
      <w:pPr>
        <w:spacing w:line="560" w:lineRule="exact"/>
        <w:ind w:firstLineChars="200" w:firstLine="640"/>
        <w:rPr>
          <w:rFonts w:ascii="仿宋_GB2312" w:eastAsia="仿宋_GB2312" w:cs="仿宋_GB2312"/>
          <w:sz w:val="32"/>
          <w:szCs w:val="32"/>
          <w:shd w:val="clear" w:color="auto" w:fill="FFFFFF"/>
        </w:rPr>
      </w:pPr>
      <w:r>
        <w:rPr>
          <w:rFonts w:ascii="仿宋_GB2312" w:eastAsia="仿宋_GB2312" w:cs="仿宋_GB2312" w:hint="eastAsia"/>
          <w:sz w:val="32"/>
          <w:szCs w:val="32"/>
          <w:shd w:val="clear" w:color="auto" w:fill="FFFFFF"/>
        </w:rPr>
        <w:t>服务“一带一路”的关键在于将内部教育资源转化为外部可接受、可应用的能力发展解决方案。这遵循“能力本位”与“模块化”设计理论。其重点是将成熟的专业课程、实训项目及评价标准，进行解构与重构，开发成独立、可组合、可输出的标准化培训模块或能力认证单元。这种资源开发模式，旨在保证教育质量内核的同时，赋予其高度的适应性与灵活性，便于根据不同合作对象的实际情境进行快速配置与本土化融合，实现职业教育优质资源的有效流动与共享。</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5.3.3 系统协同的网络构建理论</w:t>
      </w:r>
    </w:p>
    <w:p>
      <w:pPr>
        <w:spacing w:line="560" w:lineRule="exact"/>
        <w:ind w:firstLineChars="200" w:firstLine="640"/>
        <w:rPr>
          <w:rFonts w:ascii="仿宋_GB2312" w:eastAsia="仿宋_GB2312" w:cs="仿宋_GB2312"/>
          <w:sz w:val="32"/>
          <w:szCs w:val="32"/>
          <w:shd w:val="clear" w:color="auto" w:fill="FFFFFF"/>
        </w:rPr>
      </w:pPr>
      <w:r>
        <w:rPr>
          <w:rFonts w:ascii="仿宋_GB2312" w:eastAsia="仿宋_GB2312" w:cs="仿宋_GB2312" w:hint="eastAsia"/>
          <w:sz w:val="32"/>
          <w:szCs w:val="32"/>
          <w:shd w:val="clear" w:color="auto" w:fill="FFFFFF"/>
        </w:rPr>
        <w:t>单一学校难以提供全面而持续的服务，必须构建一个多元主体协同的开放式网络体系。其理论依据是“系统协同”与“生态构建”。这意味着要推动职业院校、地方政府部门、走出去企业、行业组织以及海外侨团、当地教育机构等形成稳定的协同关系。该网络的核心功能在于信息互通、资源整合与行动协调，通过建立制度化的沟通渠道与合作平台，降低国际合作中的信息不对称与交易成本，形成需求发现、资源供给、项目实施与反馈改进的闭环系统，最终提升整体服务的效能与韧性。</w:t>
      </w:r>
    </w:p>
    <w:p>
      <w:pPr>
        <w:spacing w:line="560" w:lineRule="exact"/>
        <w:ind w:firstLineChars="200" w:firstLine="640"/>
        <w:rPr>
          <w:rFonts w:ascii="仿宋_GB2312" w:eastAsia="仿宋_GB2312" w:cs="仿宋_GB2312"/>
          <w:sz w:val="32"/>
          <w:szCs w:val="32"/>
          <w:shd w:val="clear" w:color="auto" w:fill="FFFFFF"/>
        </w:rPr>
      </w:pP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rPr>
          <w:trHeight w:hRule="exact" w:val="567"/>
        </w:trPr>
        <w:tc>
          <w:tcPr>
            <w:tcW w:w="8296" w:type="dxa"/>
            <w:tcBorders>
              <w:top w:val="single" w:sz="4" w:space="0" w:color="auto"/>
              <w:left w:val="single" w:sz="4" w:space="0" w:color="auto"/>
              <w:bottom w:val="single" w:sz="4" w:space="0" w:color="auto"/>
              <w:right w:val="single" w:sz="4" w:space="0" w:color="auto"/>
            </w:tcBorders>
            <w:shd w:val="clear" w:color="auto" w:fill="7C7264"/>
            <w:noWrap/>
            <w:vAlign w:val="center"/>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102" w:name="_Toc218688700"/>
            <w:r>
              <w:rPr>
                <w:rFonts w:ascii="仿宋_GB2312" w:cs="仿宋_GB2312" w:hint="eastAsia"/>
                <w:b/>
                <w:bCs/>
                <w:color w:val="FFFFFF"/>
                <w:sz w:val="32"/>
                <w:szCs w:val="32"/>
              </w:rPr>
              <w:t>案例</w:t>
            </w:r>
            <w:r>
              <w:rPr>
                <w:rFonts w:ascii="仿宋_GB2312" w:cs="仿宋_GB2312"/>
                <w:b/>
                <w:bCs/>
                <w:color w:val="FFFFFF"/>
                <w:sz w:val="32"/>
                <w:szCs w:val="32"/>
              </w:rPr>
              <w:t>5-2：</w:t>
            </w:r>
            <w:r>
              <w:rPr>
                <w:rFonts w:ascii="仿宋_GB2312" w:cs="仿宋_GB2312" w:hint="eastAsia"/>
                <w:b/>
                <w:bCs/>
                <w:color w:val="FFFFFF"/>
                <w:sz w:val="32"/>
                <w:szCs w:val="32"/>
              </w:rPr>
              <w:t>永州工贸学校以会为媒，织密国际职教交流网</w:t>
            </w:r>
            <w:bookmarkEnd w:id="102"/>
          </w:p>
        </w:tc>
      </w:tr>
      <w:tr>
        <w:tc>
          <w:tcPr>
            <w:tcW w:w="8296" w:type="dxa"/>
            <w:tcBorders>
              <w:top w:val="single" w:sz="4" w:space="0" w:color="auto"/>
              <w:left w:val="single" w:sz="4" w:space="0" w:color="auto"/>
              <w:bottom w:val="single" w:sz="4" w:space="0" w:color="auto"/>
              <w:right w:val="single" w:sz="4" w:space="0" w:color="auto"/>
            </w:tcBorders>
            <w:noWrap/>
          </w:tcPr>
          <w:p>
            <w:pPr>
              <w:pStyle w:val="23"/>
              <w:spacing w:line="480" w:lineRule="exact"/>
              <w:rPr>
                <w:rFonts w:ascii="宋体" w:eastAsia="宋体" w:cs="仿宋_GB2312"/>
                <w:color w:val="0F1115"/>
                <w:sz w:val="28"/>
                <w:szCs w:val="28"/>
              </w:rPr>
            </w:pPr>
            <w:r>
              <w:rPr>
                <w:rFonts w:ascii="宋体" w:eastAsia="宋体" w:cs="仿宋_GB2312"/>
                <w:color w:val="0F1115"/>
                <w:sz w:val="28"/>
                <w:szCs w:val="28"/>
              </w:rPr>
              <w:t>2025年11月，永州市工业贸易中等专业学校作为永州市职业教育的骨干代表，积极响应湖南省职业教育数字化、智能化转型的战略部署，选派骨干教师团队赴长沙参加了“湖南省电子商务类专业‘人工智能+’职教创新发展研讨会”。本次研讨会汇聚了来自全省60余所职业院校、行业企业及科研机构的近200名职教专家、专业带头人与一线教师代表，聚焦人工智能技术与电子商务职业教育的深度融合路径、模式创新与标准构建。学校代表在会议期间主动融入，不仅积极参与专题研讨、案例分享与圆桌对话，更结合永州本地产业特色与学校专业</w:t>
            </w:r>
            <w:r>
              <w:rPr>
                <w:rFonts w:ascii="宋体" w:eastAsia="宋体" w:cs="仿宋_GB2312" w:hint="eastAsia"/>
                <w:color w:val="0F1115"/>
                <w:sz w:val="28"/>
                <w:szCs w:val="28"/>
              </w:rPr>
              <w:t>建设实际</w:t>
            </w:r>
            <w:r>
              <w:rPr>
                <w:rFonts w:ascii="宋体" w:eastAsia="宋体" w:cs="仿宋_GB2312"/>
                <w:color w:val="0F1115"/>
                <w:sz w:val="28"/>
                <w:szCs w:val="28"/>
              </w:rPr>
              <w:t>。通过“赛事联动+研讨交流”双轮驱动的参与模式，学校与多所省内优质院校建立了常态化协作机制，并借助研讨会平台，主动对接“一带一路”及金砖国家技能发展与技术创新大赛的资源网络，初步探索了共建国际化课程资源、共享虚拟仿真实训项目的合作路径。此次活动有效拓展了对外交流渠道，为构建跨区域、国际化的“人工智能+职业教育”协同创新生态积累了实践经验</w:t>
            </w:r>
            <w:r>
              <w:rPr>
                <w:rFonts w:ascii="宋体" w:eastAsia="宋体" w:cs="仿宋_GB2312" w:hint="eastAsia"/>
                <w:color w:val="0F1115"/>
                <w:sz w:val="28"/>
                <w:szCs w:val="28"/>
              </w:rPr>
              <w:t>，见图5-2。</w:t>
            </w:r>
          </w:p>
          <w:p>
            <w:pPr>
              <w:pStyle w:val="23"/>
              <w:spacing w:line="240" w:lineRule="auto"/>
              <w:ind w:firstLineChars="0" w:firstLine="0"/>
              <w:jc w:val="left"/>
              <w:rPr>
                <w:rFonts w:ascii="宋体" w:eastAsia="宋体" w:cs="仿宋_GB2312"/>
                <w:color w:val="0F1115"/>
                <w:sz w:val="28"/>
                <w:szCs w:val="28"/>
              </w:rPr>
            </w:pPr>
            <w:r>
              <w:rPr>
                <w:rFonts w:ascii="仿宋_GB2312" w:cs="仿宋_GB2312" w:hint="eastAsia"/>
                <w:bCs/>
                <w:szCs w:val="21"/>
              </w:rPr>
              <w:drawing>
                <wp:inline distT="0" distB="0" distL="114300" distR="114300">
                  <wp:extent cx="5259070" cy="2347595"/>
                  <wp:effectExtent l="0" t="0" r="17" b="5"/>
                  <wp:docPr id="86" name="图片 17" descr="c12fd8c6907c0c2c10035db7a188def"/>
                  <wp:cNvGraphicFramePr>
                    <a:graphicFrameLocks noChangeAspect="1"/>
                  </wp:cNvGraphicFramePr>
                  <a:graphic>
                    <a:graphicData uri="http://schemas.openxmlformats.org/drawingml/2006/picture">
                      <pic:pic>
                        <pic:nvPicPr>
                          <pic:cNvPr id="88" name="图片 17 88"/>
                          <pic:cNvPicPr/>
                        </pic:nvPicPr>
                        <pic:blipFill>
                          <a:blip r:embed="rId36"/>
                          <a:stretch>
                            <a:fillRect/>
                          </a:stretch>
                        </pic:blipFill>
                        <pic:spPr>
                          <a:xfrm rot="0">
                            <a:off x="0" y="0"/>
                            <a:ext cx="5259070" cy="2347595"/>
                          </a:xfrm>
                          <a:prstGeom prst="rect"/>
                          <a:noFill/>
                          <a:ln w="9525" cmpd="sng" cap="flat">
                            <a:noFill/>
                            <a:prstDash val="solid"/>
                            <a:round/>
                          </a:ln>
                        </pic:spPr>
                      </pic:pic>
                    </a:graphicData>
                  </a:graphic>
                </wp:inline>
              </w:drawing>
            </w:r>
          </w:p>
          <w:p>
            <w:pPr>
              <w:pStyle w:val="23"/>
              <w:widowControl/>
              <w:spacing w:afterLines="50" w:after="156" w:line="240" w:lineRule="auto"/>
              <w:ind w:firstLineChars="0" w:firstLine="0"/>
              <w:jc w:val="center"/>
              <w:outlineLvl w:val="2"/>
              <w:rPr>
                <w:rFonts w:ascii="宋体" w:eastAsia="宋体"/>
                <w:b/>
                <w:bCs/>
                <w:sz w:val="28"/>
                <w:szCs w:val="28"/>
              </w:rPr>
            </w:pPr>
            <w:bookmarkStart w:id="103" w:name="_Toc218688648"/>
            <w:r>
              <w:rPr>
                <w:rFonts w:ascii="宋体" w:eastAsia="宋体" w:hint="eastAsia"/>
                <w:b/>
                <w:bCs/>
              </w:rPr>
              <w:t>图5-2 永州工贸学校参加“人工智能+”职业教育创新研讨会</w:t>
            </w:r>
            <w:bookmarkEnd w:id="103"/>
          </w:p>
        </w:tc>
      </w:tr>
    </w:tbl>
    <w:p>
      <w:pPr>
        <w:pStyle w:val="15"/>
        <w:widowControl w:val="0"/>
        <w:ind w:leftChars="297" w:left="624" w:firstLineChars="0" w:firstLine="0"/>
        <w:outlineLvl w:val="1"/>
        <w:rPr>
          <w:rFonts w:ascii="楷体_GB2312" w:eastAsia="楷体_GB2312" w:cs="楷体_GB2312"/>
          <w:b/>
          <w:bCs/>
          <w:shd w:val="clear" w:color="auto" w:fill="FFFFFF"/>
        </w:rPr>
      </w:pPr>
      <w:bookmarkStart w:id="104" w:name="_Toc218688936"/>
      <w:r>
        <w:rPr>
          <w:rFonts w:ascii="楷体_GB2312" w:eastAsia="楷体_GB2312" w:cs="楷体_GB2312" w:hint="eastAsia"/>
          <w:b/>
          <w:bCs/>
          <w:shd w:val="clear" w:color="auto" w:fill="FFFFFF"/>
        </w:rPr>
        <w:t>5.4 显著提升师生国际竞争力</w:t>
      </w:r>
      <w:bookmarkEnd w:id="104"/>
    </w:p>
    <w:p>
      <w:pPr>
        <w:pStyle w:val="15"/>
        <w:widowControl w:val="0"/>
        <w:rPr>
          <w:rFonts w:ascii="仿宋_GB2312"/>
          <w:shd w:val="clear" w:color="auto" w:fill="FFFFFF"/>
        </w:rPr>
      </w:pPr>
      <w:r>
        <w:rPr>
          <w:rFonts w:ascii="仿宋_GB2312"/>
          <w:shd w:val="clear" w:color="auto" w:fill="FFFFFF"/>
        </w:rPr>
        <w:t>永州市各中等职业学校始终将参与高水平国际性技能竞赛视为锤炼师生专业技能、拓展国际视野的关键路径与战略举措。通过系统构建“赛教融合、以赛促学”的培养机制，各学校积极组织师生投身于“一带一路暨金砖国家技能发展与技术创新大赛”等具有广泛国际影响力的赛事平台。在这些融合行业前沿技术与国际标准的竞技舞台上，永州市职业院校师生不仅屡创佳绩，累计荣获包括一等奖在内的多项重要奖项，更在真实的项目挑战与跨国交流中，扎实提升了应对复杂工程实际、遵循国际规范解决问题的综合职业能力。</w:t>
      </w:r>
    </w:p>
    <w:p>
      <w:pPr>
        <w:pStyle w:val="15"/>
        <w:widowControl w:val="0"/>
        <w:rPr>
          <w:rFonts w:ascii="仿宋_GB2312"/>
          <w:shd w:val="clear" w:color="auto" w:fill="FFFFFF"/>
        </w:rPr>
      </w:pPr>
      <w:r>
        <w:rPr>
          <w:rFonts w:ascii="仿宋_GB2312"/>
          <w:shd w:val="clear" w:color="auto" w:fill="FFFFFF"/>
        </w:rPr>
        <w:t>这一过程深刻促进了课程内容与行业标准的对接、教学方式与工程实践的融合，使师生在技术应用、创新思维、团队协作及跨文化沟通等方面得到全面锻炼。以竞赛为桥梁，永州市中职学校不仅展示了自身办学水平与技术技能积累，更持续汲取国际先进经验，反哺专业建设与教学改革。如此循环推进，为永州市培养具备国际视野、适应产业变革、拥有全球竞争力的高素质技术技能人才奠定了坚实基础，也为区域经济社会高质量发展注入了持续动能。</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5.4.1 构建以赛促学的国际化能力淬炼平台</w:t>
      </w:r>
    </w:p>
    <w:p>
      <w:pPr>
        <w:pStyle w:val="15"/>
        <w:widowControl w:val="0"/>
        <w:rPr>
          <w:rFonts w:ascii="仿宋_GB2312"/>
          <w:shd w:val="clear" w:color="auto" w:fill="FFFFFF"/>
        </w:rPr>
      </w:pPr>
      <w:r>
        <w:rPr>
          <w:rFonts w:ascii="仿宋_GB2312" w:hint="eastAsia"/>
          <w:shd w:val="clear" w:color="auto" w:fill="FFFFFF"/>
        </w:rPr>
        <w:t>本市建立了系统化的国际赛事参与与备赛机制，围绕重点专业领域，选拔优秀师生组建团队，对标国际技术规范与竞赛标准进行针对性强化训练。例如，祁阳市职业中等专业学校在“电子商务运营数据分析”赛项中荣获一等奖，并在“业财数据应用与管理（产教融合方向）”赛事中实现教师组与学生组双双获奖；永州市工业贸易中等专业学校则在“智能制造设备应用”及“业财数据应用与管理”赛项中斩获三等奖与团体优胜奖，见表5-1。这些成绩直接反映了师生对前沿技术应用与行业实践难题的精准把握能力。各校以此为契机，将赛题项目、评价标准转化为教学案例与实训模块，反哺日常教学，推动课程内容与行业国际前沿动态同步更新。</w:t>
      </w:r>
    </w:p>
    <w:p>
      <w:pPr>
        <w:pStyle w:val="15"/>
        <w:widowControl w:val="0"/>
        <w:ind w:firstLineChars="0" w:firstLine="0"/>
        <w:jc w:val="center"/>
        <w:outlineLvl w:val="3"/>
        <w:rPr>
          <w:rFonts w:ascii="宋体" w:eastAsia="宋体"/>
          <w:b/>
          <w:bCs/>
          <w:sz w:val="24"/>
          <w:szCs w:val="24"/>
        </w:rPr>
      </w:pPr>
      <w:bookmarkStart w:id="105" w:name="_Toc218688670"/>
      <w:r>
        <w:rPr>
          <w:rFonts w:ascii="宋体" w:eastAsia="宋体" w:hint="eastAsia"/>
          <w:b/>
          <w:bCs/>
          <w:sz w:val="24"/>
          <w:szCs w:val="24"/>
        </w:rPr>
        <w:t>表5-1 师生参与国际赛事获奖情况统计表</w:t>
      </w:r>
      <w:bookmarkEnd w:id="105"/>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3180"/>
        <w:gridCol w:w="900"/>
        <w:gridCol w:w="511"/>
        <w:gridCol w:w="750"/>
        <w:gridCol w:w="1895"/>
        <w:gridCol w:w="908"/>
      </w:tblGrid>
      <w:tr>
        <w:tc>
          <w:tcPr>
            <w:tcW w:w="3180" w:type="dxa"/>
            <w:vMerge w:val="restart"/>
            <w:tcBorders>
              <w:top w:val="single" w:sz="4" w:space="0" w:color="auto"/>
              <w:left w:val="single" w:sz="4" w:space="0" w:color="auto"/>
              <w:bottom w:val="single" w:sz="4" w:space="0" w:color="auto"/>
              <w:right w:val="single" w:sz="4" w:space="0" w:color="auto"/>
              <w:tl2br w:val="single" w:sz="4" w:space="0" w:color="auto"/>
            </w:tcBorders>
            <w:shd w:val="clear" w:color="auto" w:fill="0372AE"/>
            <w:noWrap/>
            <w:vAlign w:val="center"/>
          </w:tcPr>
          <w:p>
            <w:pPr>
              <w:pStyle w:val="15"/>
              <w:ind w:firstLineChars="0" w:firstLine="0"/>
              <w:jc w:val="center"/>
              <w:rPr>
                <w:rFonts w:ascii="宋体" w:eastAsia="宋体"/>
                <w:b/>
                <w:bCs/>
                <w:color w:val="FFFFFF"/>
                <w:sz w:val="24"/>
                <w:szCs w:val="24"/>
              </w:rPr>
            </w:pPr>
            <w:r>
              <w:rPr>
                <w:rFonts w:ascii="宋体" w:eastAsia="宋体" w:hint="eastAsia"/>
                <w:b/>
                <w:bCs/>
                <w:color w:val="FFFFFF"/>
                <w:sz w:val="24"/>
                <w:szCs w:val="24"/>
              </w:rPr>
              <w:t xml:space="preserve">          奖项</w:t>
            </w:r>
          </w:p>
          <w:p>
            <w:pPr>
              <w:pStyle w:val="15"/>
              <w:rPr>
                <w:rFonts w:ascii="宋体" w:eastAsia="宋体"/>
                <w:b/>
                <w:bCs/>
                <w:color w:val="FFFFFF"/>
                <w:sz w:val="24"/>
                <w:szCs w:val="24"/>
              </w:rPr>
            </w:pPr>
            <w:r>
              <w:rPr>
                <w:rFonts w:ascii="宋体" w:eastAsia="宋体" w:hint="eastAsia"/>
                <w:b/>
                <w:bCs/>
                <w:color w:val="FFFFFF"/>
                <w:sz w:val="24"/>
                <w:szCs w:val="24"/>
              </w:rPr>
              <w:t>学校名称</w:t>
            </w:r>
          </w:p>
        </w:tc>
        <w:tc>
          <w:tcPr>
            <w:tcW w:w="4056" w:type="dxa"/>
            <w:gridSpan w:val="4"/>
            <w:tcBorders>
              <w:top w:val="single" w:sz="4" w:space="0" w:color="auto"/>
              <w:left w:val="single" w:sz="4" w:space="0" w:color="auto"/>
              <w:bottom w:val="single" w:sz="4" w:space="0" w:color="auto"/>
              <w:right w:val="single" w:sz="4" w:space="0" w:color="auto"/>
            </w:tcBorders>
            <w:shd w:val="clear" w:color="auto" w:fill="0372AE"/>
            <w:noWrap/>
            <w:vAlign w:val="center"/>
          </w:tcPr>
          <w:p>
            <w:pPr>
              <w:pStyle w:val="15"/>
              <w:ind w:firstLineChars="0" w:firstLine="0"/>
              <w:jc w:val="center"/>
              <w:rPr>
                <w:rFonts w:ascii="宋体" w:eastAsia="宋体"/>
                <w:b/>
                <w:bCs/>
                <w:color w:val="FFFFFF"/>
                <w:sz w:val="24"/>
                <w:szCs w:val="24"/>
              </w:rPr>
            </w:pPr>
            <w:r>
              <w:rPr>
                <w:rFonts w:ascii="宋体" w:eastAsia="宋体" w:hint="eastAsia"/>
                <w:b/>
                <w:bCs/>
                <w:color w:val="FFFFFF"/>
                <w:sz w:val="24"/>
                <w:szCs w:val="24"/>
              </w:rPr>
              <w:t>学生组</w:t>
            </w:r>
          </w:p>
        </w:tc>
        <w:tc>
          <w:tcPr>
            <w:tcW w:w="908" w:type="dxa"/>
            <w:tcBorders>
              <w:top w:val="single" w:sz="4" w:space="0" w:color="auto"/>
              <w:left w:val="single" w:sz="4" w:space="0" w:color="auto"/>
              <w:bottom w:val="single" w:sz="4" w:space="0" w:color="auto"/>
              <w:right w:val="single" w:sz="4" w:space="0" w:color="auto"/>
            </w:tcBorders>
            <w:shd w:val="clear" w:color="auto" w:fill="0372AE"/>
            <w:noWrap/>
            <w:vAlign w:val="center"/>
          </w:tcPr>
          <w:p>
            <w:pPr>
              <w:pStyle w:val="15"/>
              <w:ind w:firstLineChars="0" w:firstLine="0"/>
              <w:jc w:val="center"/>
              <w:rPr>
                <w:rFonts w:ascii="宋体" w:eastAsia="宋体"/>
                <w:b/>
                <w:bCs/>
                <w:color w:val="FFFFFF"/>
                <w:sz w:val="24"/>
                <w:szCs w:val="24"/>
              </w:rPr>
            </w:pPr>
            <w:r>
              <w:rPr>
                <w:rFonts w:ascii="宋体" w:eastAsia="宋体" w:hint="eastAsia"/>
                <w:b/>
                <w:bCs/>
                <w:color w:val="FFFFFF"/>
                <w:sz w:val="24"/>
                <w:szCs w:val="24"/>
              </w:rPr>
              <w:t>教师组</w:t>
            </w:r>
          </w:p>
        </w:tc>
      </w:tr>
      <w:tr>
        <w:trPr>
          <w:trHeight w:val="748"/>
        </w:trPr>
        <w:tc>
          <w:tcPr>
            <w:tcW w:w="3180" w:type="dxa"/>
            <w:vMerge/>
            <w:tcBorders>
              <w:top w:val="single" w:sz="4" w:space="0" w:color="auto"/>
              <w:left w:val="single" w:sz="4" w:space="0" w:color="auto"/>
              <w:bottom w:val="single" w:sz="4" w:space="0" w:color="auto"/>
              <w:right w:val="single" w:sz="4" w:space="0" w:color="auto"/>
            </w:tcBorders>
            <w:shd w:val="clear" w:color="auto" w:fill="0372AE"/>
            <w:noWrap/>
            <w:vAlign w:val="center"/>
          </w:tcPr>
          <w:p/>
        </w:tc>
        <w:tc>
          <w:tcPr>
            <w:tcW w:w="900" w:type="dxa"/>
            <w:tcBorders>
              <w:top w:val="single" w:sz="4" w:space="0" w:color="auto"/>
              <w:left w:val="single" w:sz="4" w:space="0" w:color="auto"/>
              <w:bottom w:val="single" w:sz="4" w:space="0" w:color="auto"/>
              <w:right w:val="single" w:sz="4" w:space="0" w:color="auto"/>
            </w:tcBorders>
            <w:shd w:val="clear" w:color="auto" w:fill="00B0F0"/>
            <w:noWrap/>
            <w:vAlign w:val="center"/>
          </w:tcPr>
          <w:p>
            <w:pPr>
              <w:pStyle w:val="15"/>
              <w:ind w:firstLineChars="0" w:firstLine="0"/>
              <w:jc w:val="center"/>
              <w:rPr>
                <w:rFonts w:ascii="宋体" w:eastAsia="宋体"/>
                <w:b/>
                <w:bCs/>
                <w:color w:val="FFFFFF"/>
                <w:sz w:val="24"/>
                <w:szCs w:val="24"/>
              </w:rPr>
            </w:pPr>
            <w:r>
              <w:rPr>
                <w:rFonts w:ascii="宋体" w:eastAsia="宋体" w:hint="eastAsia"/>
                <w:b/>
                <w:bCs/>
                <w:color w:val="FFFFFF"/>
                <w:sz w:val="24"/>
                <w:szCs w:val="24"/>
              </w:rPr>
              <w:t>一等奖</w:t>
            </w:r>
          </w:p>
        </w:tc>
        <w:tc>
          <w:tcPr>
            <w:tcW w:w="511" w:type="dxa"/>
            <w:tcBorders>
              <w:top w:val="single" w:sz="4" w:space="0" w:color="auto"/>
              <w:left w:val="single" w:sz="4" w:space="0" w:color="auto"/>
              <w:bottom w:val="single" w:sz="4" w:space="0" w:color="auto"/>
              <w:right w:val="single" w:sz="4" w:space="0" w:color="auto"/>
            </w:tcBorders>
            <w:shd w:val="clear" w:color="auto" w:fill="00B0F0"/>
            <w:noWrap/>
            <w:vAlign w:val="center"/>
          </w:tcPr>
          <w:p>
            <w:pPr>
              <w:pStyle w:val="15"/>
              <w:ind w:firstLineChars="0" w:firstLine="0"/>
              <w:jc w:val="center"/>
              <w:rPr>
                <w:rFonts w:ascii="宋体" w:eastAsia="宋体"/>
                <w:b/>
                <w:bCs/>
                <w:color w:val="FFFFFF"/>
                <w:sz w:val="24"/>
                <w:szCs w:val="24"/>
              </w:rPr>
            </w:pPr>
            <w:r>
              <w:rPr>
                <w:rFonts w:ascii="宋体" w:eastAsia="宋体" w:hint="eastAsia"/>
                <w:b/>
                <w:bCs/>
                <w:color w:val="FFFFFF"/>
                <w:sz w:val="24"/>
                <w:szCs w:val="24"/>
              </w:rPr>
              <w:t>二等奖</w:t>
            </w:r>
          </w:p>
        </w:tc>
        <w:tc>
          <w:tcPr>
            <w:tcW w:w="750" w:type="dxa"/>
            <w:tcBorders>
              <w:top w:val="single" w:sz="4" w:space="0" w:color="auto"/>
              <w:left w:val="single" w:sz="4" w:space="0" w:color="auto"/>
              <w:bottom w:val="single" w:sz="4" w:space="0" w:color="auto"/>
              <w:right w:val="single" w:sz="4" w:space="0" w:color="auto"/>
            </w:tcBorders>
            <w:shd w:val="clear" w:color="auto" w:fill="00B0F0"/>
            <w:noWrap/>
            <w:vAlign w:val="center"/>
          </w:tcPr>
          <w:p>
            <w:pPr>
              <w:pStyle w:val="15"/>
              <w:ind w:firstLineChars="0" w:firstLine="0"/>
              <w:jc w:val="center"/>
              <w:rPr>
                <w:rFonts w:ascii="宋体" w:eastAsia="宋体"/>
                <w:b/>
                <w:bCs/>
                <w:color w:val="FFFFFF"/>
                <w:sz w:val="24"/>
                <w:szCs w:val="24"/>
              </w:rPr>
            </w:pPr>
            <w:r>
              <w:rPr>
                <w:rFonts w:ascii="宋体" w:eastAsia="宋体" w:hint="eastAsia"/>
                <w:b/>
                <w:bCs/>
                <w:color w:val="FFFFFF"/>
                <w:sz w:val="24"/>
                <w:szCs w:val="24"/>
              </w:rPr>
              <w:t>三等奖</w:t>
            </w:r>
          </w:p>
        </w:tc>
        <w:tc>
          <w:tcPr>
            <w:tcW w:w="750" w:type="dxa"/>
            <w:tcBorders>
              <w:top w:val="single" w:sz="4" w:space="0" w:color="auto"/>
              <w:left w:val="single" w:sz="4" w:space="0" w:color="auto"/>
              <w:bottom w:val="single" w:sz="4" w:space="0" w:color="auto"/>
              <w:right w:val="single" w:sz="4" w:space="0" w:color="auto"/>
            </w:tcBorders>
            <w:shd w:val="clear" w:color="auto" w:fill="00B0F0"/>
            <w:noWrap/>
            <w:vAlign w:val="center"/>
          </w:tcPr>
          <w:p>
            <w:pPr>
              <w:pStyle w:val="15"/>
              <w:spacing w:line="240" w:lineRule="auto"/>
              <w:ind w:firstLineChars="0" w:firstLine="0"/>
              <w:jc w:val="center"/>
              <w:rPr>
                <w:rFonts w:ascii="宋体" w:eastAsia="宋体"/>
                <w:b/>
                <w:bCs/>
                <w:color w:val="FFFFFF"/>
                <w:sz w:val="24"/>
                <w:szCs w:val="24"/>
              </w:rPr>
            </w:pPr>
            <w:r>
              <w:rPr>
                <w:rFonts w:ascii="宋体" w:eastAsia="宋体" w:hint="eastAsia"/>
                <w:b/>
                <w:bCs/>
                <w:color w:val="FFFFFF"/>
                <w:sz w:val="24"/>
                <w:szCs w:val="24"/>
              </w:rPr>
              <w:t>团体</w:t>
            </w:r>
          </w:p>
          <w:p>
            <w:pPr>
              <w:pStyle w:val="15"/>
              <w:spacing w:line="240" w:lineRule="auto"/>
              <w:ind w:firstLineChars="0" w:firstLine="0"/>
              <w:jc w:val="center"/>
              <w:rPr>
                <w:rFonts w:ascii="宋体" w:eastAsia="宋体"/>
                <w:b/>
                <w:bCs/>
                <w:color w:val="FFFFFF"/>
                <w:sz w:val="24"/>
                <w:szCs w:val="24"/>
              </w:rPr>
            </w:pPr>
            <w:r>
              <w:rPr>
                <w:rFonts w:ascii="宋体" w:eastAsia="宋体" w:hint="eastAsia"/>
                <w:b/>
                <w:bCs/>
                <w:color w:val="FFFFFF"/>
                <w:sz w:val="24"/>
                <w:szCs w:val="24"/>
              </w:rPr>
              <w:t>优胜奖</w:t>
            </w:r>
          </w:p>
        </w:tc>
        <w:tc>
          <w:tcPr>
            <w:tcW w:w="908" w:type="dxa"/>
            <w:tcBorders>
              <w:top w:val="single" w:sz="4" w:space="0" w:color="auto"/>
              <w:left w:val="single" w:sz="4" w:space="0" w:color="auto"/>
              <w:bottom w:val="single" w:sz="4" w:space="0" w:color="auto"/>
              <w:right w:val="single" w:sz="4" w:space="0" w:color="auto"/>
            </w:tcBorders>
            <w:shd w:val="clear" w:color="auto" w:fill="00B0F0"/>
            <w:noWrap/>
            <w:vAlign w:val="center"/>
          </w:tcPr>
          <w:p>
            <w:pPr>
              <w:pStyle w:val="15"/>
              <w:ind w:firstLineChars="0" w:firstLine="0"/>
              <w:jc w:val="center"/>
              <w:rPr>
                <w:rFonts w:ascii="宋体" w:eastAsia="宋体"/>
                <w:b/>
                <w:bCs/>
                <w:color w:val="FFFFFF"/>
                <w:sz w:val="24"/>
                <w:szCs w:val="24"/>
              </w:rPr>
            </w:pPr>
            <w:r>
              <w:rPr>
                <w:rFonts w:ascii="宋体" w:eastAsia="宋体" w:hint="eastAsia"/>
                <w:b/>
                <w:bCs/>
                <w:color w:val="FFFFFF"/>
                <w:sz w:val="24"/>
                <w:szCs w:val="24"/>
              </w:rPr>
              <w:t>三等奖</w:t>
            </w:r>
          </w:p>
        </w:tc>
      </w:tr>
      <w:tr>
        <w:trPr>
          <w:trHeight w:val="830"/>
        </w:trPr>
        <w:tc>
          <w:tcPr>
            <w:tcW w:w="3180" w:type="dxa"/>
            <w:tcBorders>
              <w:top w:val="single" w:sz="4" w:space="0" w:color="auto"/>
              <w:left w:val="single" w:sz="4" w:space="0" w:color="auto"/>
              <w:bottom w:val="single" w:sz="4" w:space="0" w:color="auto"/>
              <w:right w:val="single" w:sz="4" w:space="0" w:color="auto"/>
            </w:tcBorders>
            <w:noWrap/>
            <w:vAlign w:val="center"/>
          </w:tcPr>
          <w:p>
            <w:pPr>
              <w:pStyle w:val="15"/>
              <w:ind w:firstLineChars="0" w:firstLine="0"/>
              <w:jc w:val="center"/>
              <w:rPr>
                <w:rFonts w:ascii="宋体" w:eastAsia="宋体"/>
                <w:sz w:val="24"/>
                <w:szCs w:val="24"/>
              </w:rPr>
            </w:pPr>
            <w:r>
              <w:rPr>
                <w:rFonts w:ascii="宋体" w:eastAsia="宋体" w:hint="eastAsia"/>
                <w:sz w:val="24"/>
                <w:szCs w:val="24"/>
              </w:rPr>
              <w:t>祁阳市职业中等专业学校</w:t>
            </w:r>
          </w:p>
        </w:tc>
        <w:tc>
          <w:tcPr>
            <w:tcW w:w="900" w:type="dxa"/>
            <w:tcBorders>
              <w:top w:val="single" w:sz="4" w:space="0" w:color="auto"/>
              <w:left w:val="single" w:sz="4" w:space="0" w:color="auto"/>
              <w:bottom w:val="single" w:sz="4" w:space="0" w:color="auto"/>
              <w:right w:val="single" w:sz="4" w:space="0" w:color="auto"/>
            </w:tcBorders>
            <w:noWrap/>
            <w:vAlign w:val="center"/>
          </w:tcPr>
          <w:p>
            <w:pPr>
              <w:pStyle w:val="15"/>
              <w:ind w:firstLineChars="0" w:firstLine="0"/>
              <w:jc w:val="center"/>
              <w:rPr>
                <w:rFonts w:ascii="宋体" w:eastAsia="宋体"/>
                <w:sz w:val="24"/>
                <w:szCs w:val="24"/>
              </w:rPr>
            </w:pPr>
            <w:r>
              <w:rPr>
                <w:rFonts w:ascii="宋体" w:eastAsia="宋体" w:hint="eastAsia"/>
                <w:sz w:val="24"/>
                <w:szCs w:val="24"/>
              </w:rPr>
              <w:t>1</w:t>
            </w:r>
          </w:p>
        </w:tc>
        <w:tc>
          <w:tcPr>
            <w:tcW w:w="511" w:type="dxa"/>
            <w:tcBorders>
              <w:top w:val="single" w:sz="4" w:space="0" w:color="auto"/>
              <w:left w:val="single" w:sz="4" w:space="0" w:color="auto"/>
              <w:bottom w:val="single" w:sz="4" w:space="0" w:color="auto"/>
              <w:right w:val="single" w:sz="4" w:space="0" w:color="auto"/>
            </w:tcBorders>
            <w:noWrap/>
            <w:vAlign w:val="center"/>
          </w:tcPr>
          <w:p>
            <w:pPr>
              <w:pStyle w:val="15"/>
              <w:ind w:firstLineChars="0" w:firstLine="0"/>
              <w:jc w:val="center"/>
              <w:rPr>
                <w:rFonts w:ascii="宋体" w:eastAsia="宋体"/>
                <w:sz w:val="24"/>
                <w:szCs w:val="24"/>
              </w:rPr>
            </w:pPr>
            <w:r>
              <w:rPr>
                <w:rFonts w:ascii="宋体" w:eastAsia="宋体" w:hint="eastAsia"/>
                <w:sz w:val="24"/>
                <w:szCs w:val="24"/>
              </w:rPr>
              <w:t>1</w:t>
            </w:r>
          </w:p>
        </w:tc>
        <w:tc>
          <w:tcPr>
            <w:tcW w:w="750" w:type="dxa"/>
            <w:tcBorders>
              <w:top w:val="single" w:sz="4" w:space="0" w:color="auto"/>
              <w:left w:val="single" w:sz="4" w:space="0" w:color="auto"/>
              <w:bottom w:val="single" w:sz="4" w:space="0" w:color="auto"/>
              <w:right w:val="single" w:sz="4" w:space="0" w:color="auto"/>
            </w:tcBorders>
            <w:noWrap/>
            <w:vAlign w:val="center"/>
          </w:tcPr>
          <w:p>
            <w:pPr>
              <w:pStyle w:val="15"/>
              <w:jc w:val="center"/>
              <w:rPr>
                <w:rFonts w:ascii="宋体" w:eastAsia="宋体"/>
                <w:sz w:val="24"/>
                <w:szCs w:val="24"/>
              </w:rPr>
            </w:pPr>
          </w:p>
        </w:tc>
        <w:tc>
          <w:tcPr>
            <w:tcW w:w="750" w:type="dxa"/>
            <w:tcBorders>
              <w:top w:val="single" w:sz="4" w:space="0" w:color="auto"/>
              <w:left w:val="single" w:sz="4" w:space="0" w:color="auto"/>
              <w:bottom w:val="single" w:sz="4" w:space="0" w:color="auto"/>
              <w:right w:val="single" w:sz="4" w:space="0" w:color="auto"/>
            </w:tcBorders>
            <w:noWrap/>
            <w:vAlign w:val="center"/>
          </w:tcPr>
          <w:p>
            <w:pPr>
              <w:pStyle w:val="15"/>
              <w:jc w:val="center"/>
              <w:rPr>
                <w:rFonts w:ascii="宋体" w:eastAsia="宋体"/>
                <w:sz w:val="24"/>
                <w:szCs w:val="24"/>
              </w:rPr>
            </w:pPr>
          </w:p>
        </w:tc>
        <w:tc>
          <w:tcPr>
            <w:tcW w:w="908" w:type="dxa"/>
            <w:tcBorders>
              <w:top w:val="single" w:sz="4" w:space="0" w:color="auto"/>
              <w:left w:val="single" w:sz="4" w:space="0" w:color="auto"/>
              <w:bottom w:val="single" w:sz="4" w:space="0" w:color="auto"/>
              <w:right w:val="single" w:sz="4" w:space="0" w:color="auto"/>
            </w:tcBorders>
            <w:noWrap/>
            <w:vAlign w:val="center"/>
          </w:tcPr>
          <w:p>
            <w:pPr>
              <w:pStyle w:val="15"/>
              <w:ind w:firstLineChars="0" w:firstLine="0"/>
              <w:jc w:val="center"/>
              <w:rPr>
                <w:rFonts w:ascii="宋体" w:eastAsia="宋体"/>
                <w:sz w:val="24"/>
                <w:szCs w:val="24"/>
              </w:rPr>
            </w:pPr>
            <w:r>
              <w:rPr>
                <w:rFonts w:ascii="宋体" w:eastAsia="宋体" w:hint="eastAsia"/>
                <w:sz w:val="24"/>
                <w:szCs w:val="24"/>
              </w:rPr>
              <w:t>1</w:t>
            </w:r>
          </w:p>
        </w:tc>
      </w:tr>
      <w:tr>
        <w:trPr>
          <w:trHeight w:val="700"/>
        </w:trPr>
        <w:tc>
          <w:tcPr>
            <w:tcW w:w="3180" w:type="dxa"/>
            <w:tcBorders>
              <w:top w:val="single" w:sz="4" w:space="0" w:color="auto"/>
              <w:left w:val="single" w:sz="4" w:space="0" w:color="auto"/>
              <w:bottom w:val="single" w:sz="4" w:space="0" w:color="auto"/>
              <w:right w:val="single" w:sz="4" w:space="0" w:color="auto"/>
            </w:tcBorders>
            <w:noWrap/>
            <w:vAlign w:val="center"/>
          </w:tcPr>
          <w:p>
            <w:pPr>
              <w:pStyle w:val="15"/>
              <w:ind w:firstLineChars="0" w:firstLine="0"/>
              <w:jc w:val="center"/>
              <w:rPr>
                <w:rFonts w:ascii="宋体" w:eastAsia="宋体"/>
                <w:sz w:val="24"/>
                <w:szCs w:val="24"/>
              </w:rPr>
            </w:pPr>
            <w:r>
              <w:rPr>
                <w:rFonts w:ascii="宋体" w:eastAsia="宋体" w:hint="eastAsia"/>
                <w:sz w:val="24"/>
                <w:szCs w:val="24"/>
              </w:rPr>
              <w:t>永州市工业贸易中等专业学校</w:t>
            </w:r>
          </w:p>
        </w:tc>
        <w:tc>
          <w:tcPr>
            <w:tcW w:w="900" w:type="dxa"/>
            <w:tcBorders>
              <w:top w:val="single" w:sz="4" w:space="0" w:color="auto"/>
              <w:left w:val="single" w:sz="4" w:space="0" w:color="auto"/>
              <w:bottom w:val="single" w:sz="4" w:space="0" w:color="auto"/>
              <w:right w:val="single" w:sz="4" w:space="0" w:color="auto"/>
            </w:tcBorders>
            <w:noWrap/>
            <w:vAlign w:val="center"/>
          </w:tcPr>
          <w:p>
            <w:pPr>
              <w:pStyle w:val="15"/>
              <w:jc w:val="center"/>
              <w:rPr>
                <w:rFonts w:ascii="宋体" w:eastAsia="宋体"/>
                <w:sz w:val="24"/>
                <w:szCs w:val="24"/>
              </w:rPr>
            </w:pPr>
          </w:p>
        </w:tc>
        <w:tc>
          <w:tcPr>
            <w:tcW w:w="511" w:type="dxa"/>
            <w:tcBorders>
              <w:top w:val="single" w:sz="4" w:space="0" w:color="auto"/>
              <w:left w:val="single" w:sz="4" w:space="0" w:color="auto"/>
              <w:bottom w:val="single" w:sz="4" w:space="0" w:color="auto"/>
              <w:right w:val="single" w:sz="4" w:space="0" w:color="auto"/>
            </w:tcBorders>
            <w:noWrap/>
            <w:vAlign w:val="center"/>
          </w:tcPr>
          <w:p>
            <w:pPr>
              <w:pStyle w:val="15"/>
              <w:jc w:val="center"/>
              <w:rPr>
                <w:rFonts w:ascii="宋体" w:eastAsia="宋体"/>
                <w:sz w:val="24"/>
                <w:szCs w:val="24"/>
              </w:rPr>
            </w:pPr>
          </w:p>
        </w:tc>
        <w:tc>
          <w:tcPr>
            <w:tcW w:w="750" w:type="dxa"/>
            <w:tcBorders>
              <w:top w:val="single" w:sz="4" w:space="0" w:color="auto"/>
              <w:left w:val="single" w:sz="4" w:space="0" w:color="auto"/>
              <w:bottom w:val="single" w:sz="4" w:space="0" w:color="auto"/>
              <w:right w:val="single" w:sz="4" w:space="0" w:color="auto"/>
            </w:tcBorders>
            <w:noWrap/>
            <w:vAlign w:val="center"/>
          </w:tcPr>
          <w:p>
            <w:pPr>
              <w:pStyle w:val="15"/>
              <w:ind w:firstLineChars="0" w:firstLine="0"/>
              <w:jc w:val="center"/>
              <w:rPr>
                <w:rFonts w:ascii="宋体" w:eastAsia="宋体"/>
                <w:sz w:val="24"/>
                <w:szCs w:val="24"/>
              </w:rPr>
            </w:pPr>
            <w:r>
              <w:rPr>
                <w:rFonts w:ascii="宋体" w:eastAsia="宋体" w:hint="eastAsia"/>
                <w:sz w:val="24"/>
                <w:szCs w:val="24"/>
              </w:rPr>
              <w:t>1</w:t>
            </w:r>
          </w:p>
        </w:tc>
        <w:tc>
          <w:tcPr>
            <w:tcW w:w="750" w:type="dxa"/>
            <w:tcBorders>
              <w:top w:val="single" w:sz="4" w:space="0" w:color="auto"/>
              <w:left w:val="single" w:sz="4" w:space="0" w:color="auto"/>
              <w:bottom w:val="single" w:sz="4" w:space="0" w:color="auto"/>
              <w:right w:val="single" w:sz="4" w:space="0" w:color="auto"/>
            </w:tcBorders>
            <w:noWrap/>
            <w:vAlign w:val="center"/>
          </w:tcPr>
          <w:p>
            <w:pPr>
              <w:pStyle w:val="15"/>
              <w:ind w:firstLineChars="0" w:firstLine="0"/>
              <w:jc w:val="center"/>
              <w:rPr>
                <w:rFonts w:ascii="宋体" w:eastAsia="宋体"/>
                <w:sz w:val="24"/>
                <w:szCs w:val="24"/>
              </w:rPr>
            </w:pPr>
            <w:r>
              <w:rPr>
                <w:rFonts w:ascii="宋体" w:eastAsia="宋体" w:hint="eastAsia"/>
                <w:sz w:val="24"/>
                <w:szCs w:val="24"/>
              </w:rPr>
              <w:t>1</w:t>
            </w:r>
          </w:p>
        </w:tc>
        <w:tc>
          <w:tcPr>
            <w:tcW w:w="908" w:type="dxa"/>
            <w:tcBorders>
              <w:top w:val="single" w:sz="4" w:space="0" w:color="auto"/>
              <w:left w:val="single" w:sz="4" w:space="0" w:color="auto"/>
              <w:bottom w:val="single" w:sz="4" w:space="0" w:color="auto"/>
              <w:right w:val="single" w:sz="4" w:space="0" w:color="auto"/>
            </w:tcBorders>
            <w:noWrap/>
            <w:vAlign w:val="center"/>
          </w:tcPr>
          <w:p>
            <w:pPr>
              <w:pStyle w:val="15"/>
              <w:jc w:val="center"/>
              <w:rPr>
                <w:rFonts w:ascii="宋体" w:eastAsia="宋体"/>
                <w:sz w:val="24"/>
                <w:szCs w:val="24"/>
              </w:rPr>
            </w:pPr>
          </w:p>
        </w:tc>
      </w:tr>
    </w:tbl>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5.4.2 形成交流互鉴的视野拓展与能力迁移机制</w:t>
      </w:r>
    </w:p>
    <w:p>
      <w:pPr>
        <w:pStyle w:val="15"/>
        <w:widowControl w:val="0"/>
        <w:rPr>
          <w:rFonts w:ascii="仿宋_GB2312"/>
        </w:rPr>
      </w:pPr>
      <w:r>
        <w:rPr>
          <w:rFonts w:ascii="仿宋_GB2312" w:hint="eastAsia"/>
          <w:shd w:val="clear" w:color="auto" w:fill="FFFFFF"/>
        </w:rPr>
        <w:t>参与国际竞赛为师生提供了与国内外顶尖院校同台竞技、深度交流的宝贵机会。在这一过程中，师生不仅展示技能，更通过观察、学习和比较，深入理解国际产业技术发展趋势与多元文化背景下的工作规范。这种经历显著增强了师生的跨文化沟通能力、创新思维以及在压力环境下协同解决未知问题的实战能力。竞赛成果的取得，也激发了更多学生钻研技术、走向国际舞台的信心与雄心。各校正系统总结参赛经验，将获得的国际视野、先进方法论与团队协作模式，固化并迁移至更广泛的教学、科研与校企合作项目中，从而实现从“赛场上优异”到“普遍性卓越”的能力转化，全面提升人才队伍的国际竞争力。</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106" w:name="_Toc218688701"/>
            <w:r>
              <w:rPr>
                <w:rFonts w:ascii="仿宋_GB2312" w:cs="仿宋_GB2312" w:hint="eastAsia"/>
                <w:b/>
                <w:bCs/>
                <w:color w:val="FFFFFF"/>
                <w:sz w:val="32"/>
                <w:szCs w:val="32"/>
              </w:rPr>
              <w:t>案例</w:t>
            </w:r>
            <w:r>
              <w:rPr>
                <w:rFonts w:ascii="仿宋_GB2312" w:cs="仿宋_GB2312"/>
                <w:b/>
                <w:bCs/>
                <w:color w:val="FFFFFF"/>
                <w:sz w:val="32"/>
                <w:szCs w:val="32"/>
              </w:rPr>
              <w:t>5-3：</w:t>
            </w:r>
            <w:r>
              <w:rPr>
                <w:rFonts w:ascii="仿宋_GB2312" w:cs="仿宋_GB2312" w:hint="eastAsia"/>
                <w:b/>
                <w:bCs/>
                <w:color w:val="FFFFFF"/>
                <w:sz w:val="32"/>
                <w:szCs w:val="32"/>
              </w:rPr>
              <w:t>祁阳市职业中等专业学校师生同耀，赛显实力</w:t>
            </w:r>
            <w:bookmarkEnd w:id="106"/>
          </w:p>
        </w:tc>
      </w:tr>
      <w:tr>
        <w:tc>
          <w:tcPr>
            <w:tcW w:w="8296" w:type="dxa"/>
            <w:tcBorders>
              <w:top w:val="single" w:sz="4" w:space="0" w:color="auto"/>
              <w:left w:val="single" w:sz="4" w:space="0" w:color="auto"/>
              <w:bottom w:val="single" w:sz="4" w:space="0" w:color="auto"/>
              <w:right w:val="single" w:sz="4" w:space="0" w:color="auto"/>
            </w:tcBorders>
            <w:noWrap/>
          </w:tcPr>
          <w:p>
            <w:pPr>
              <w:pStyle w:val="23"/>
              <w:spacing w:line="480" w:lineRule="exact"/>
              <w:rPr>
                <w:rFonts w:ascii="宋体" w:eastAsia="宋体" w:cs="仿宋_GB2312"/>
                <w:color w:val="0F1115"/>
                <w:sz w:val="28"/>
                <w:szCs w:val="28"/>
              </w:rPr>
            </w:pPr>
            <w:r>
              <w:rPr>
                <w:rFonts w:ascii="宋体" w:eastAsia="宋体" w:cs="仿宋_GB2312"/>
                <w:color w:val="0F1115"/>
                <w:sz w:val="28"/>
                <w:szCs w:val="28"/>
              </w:rPr>
              <w:t>2025年，</w:t>
            </w:r>
            <w:r>
              <w:rPr>
                <w:rFonts w:ascii="宋体" w:eastAsia="宋体" w:cs="仿宋_GB2312" w:hint="eastAsia"/>
                <w:color w:val="0F1115"/>
                <w:sz w:val="28"/>
                <w:szCs w:val="28"/>
              </w:rPr>
              <w:t>祁阳市职业中等专业学校</w:t>
            </w:r>
            <w:r>
              <w:rPr>
                <w:rFonts w:ascii="宋体" w:eastAsia="宋体" w:cs="仿宋_GB2312"/>
                <w:color w:val="0F1115"/>
                <w:sz w:val="28"/>
                <w:szCs w:val="28"/>
              </w:rPr>
              <w:t>继续深化与“一带一路”沿线国家的职业教育交流与合作。在“2025一带一路暨金砖国家技能发展与技术创新大赛”中，学校教师谭敏斌在“业财数据应用与管理（产教融合方向）”赛项教师组比赛中荣获国家三等奖，展现了教师在专业发展与技术创新方面的扎实能力。同时，赖威、李昱果老师指导的学生团队在该赛项学生组中荣获国家二等奖，体现了“以赛促教、以赛促学”的育人成效。此外，刘梦丹、毛蓓蓓老师指导的学生团队在“第三届电子商务运营数据分析赛项全国选拔赛”中表现突出，荣获一等奖，彰显了学校在电子商务数据分析领域的</w:t>
            </w:r>
            <w:r>
              <w:rPr>
                <w:rFonts w:ascii="宋体" w:eastAsia="宋体" w:cs="仿宋_GB2312" w:hint="eastAsia"/>
                <w:color w:val="0F1115"/>
                <w:sz w:val="28"/>
                <w:szCs w:val="28"/>
              </w:rPr>
              <w:t>教学实力与学生培养质量，见图5-3。</w:t>
            </w:r>
          </w:p>
          <w:p>
            <w:pPr>
              <w:pStyle w:val="23"/>
              <w:spacing w:line="240" w:lineRule="auto"/>
              <w:ind w:firstLineChars="0" w:firstLine="0"/>
              <w:jc w:val="left"/>
              <w:rPr>
                <w:rFonts w:ascii="宋体" w:eastAsia="宋体" w:cs="仿宋_GB2312"/>
                <w:color w:val="0F1115"/>
                <w:sz w:val="28"/>
                <w:szCs w:val="28"/>
              </w:rPr>
            </w:pPr>
            <w:r>
              <w:drawing>
                <wp:inline distT="0" distB="0" distL="0" distR="0">
                  <wp:extent cx="5039995" cy="3208020"/>
                  <wp:effectExtent l="0" t="0" r="14" b="46"/>
                  <wp:docPr id="89" name="图片 126"/>
                  <wp:cNvGraphicFramePr>
                    <a:graphicFrameLocks noChangeAspect="1"/>
                  </wp:cNvGraphicFramePr>
                  <a:graphic>
                    <a:graphicData uri="http://schemas.openxmlformats.org/drawingml/2006/picture">
                      <pic:pic>
                        <pic:nvPicPr>
                          <pic:cNvPr id="91" name="图片 126 91"/>
                          <pic:cNvPicPr/>
                        </pic:nvPicPr>
                        <pic:blipFill>
                          <a:blip r:embed="rId37"/>
                          <a:srcRect b="15135"/>
                          <a:stretch>
                            <a:fillRect/>
                          </a:stretch>
                        </pic:blipFill>
                        <pic:spPr>
                          <a:xfrm rot="0">
                            <a:off x="0" y="0"/>
                            <a:ext cx="5039995" cy="3208020"/>
                          </a:xfrm>
                          <a:prstGeom prst="rect"/>
                          <a:noFill/>
                          <a:ln w="9525" cmpd="sng" cap="flat">
                            <a:noFill/>
                            <a:prstDash val="solid"/>
                            <a:round/>
                          </a:ln>
                        </pic:spPr>
                      </pic:pic>
                    </a:graphicData>
                  </a:graphic>
                </wp:inline>
              </w:drawing>
            </w:r>
          </w:p>
          <w:p>
            <w:pPr>
              <w:pStyle w:val="23"/>
              <w:widowControl/>
              <w:spacing w:afterLines="50" w:after="156" w:line="240" w:lineRule="auto"/>
              <w:ind w:firstLineChars="0" w:firstLine="0"/>
              <w:jc w:val="center"/>
              <w:outlineLvl w:val="2"/>
              <w:rPr>
                <w:rFonts w:ascii="宋体" w:eastAsia="宋体"/>
                <w:b/>
                <w:bCs/>
                <w:sz w:val="28"/>
                <w:szCs w:val="28"/>
              </w:rPr>
            </w:pPr>
            <w:bookmarkStart w:id="107" w:name="_Toc218688649"/>
            <w:r>
              <w:rPr>
                <w:rFonts w:ascii="宋体" w:eastAsia="宋体" w:hint="eastAsia"/>
                <w:b/>
                <w:bCs/>
              </w:rPr>
              <w:t>图5-</w:t>
            </w:r>
            <w:r>
              <w:rPr>
                <w:rFonts w:ascii="宋体" w:eastAsia="宋体"/>
                <w:b/>
                <w:bCs/>
              </w:rPr>
              <w:t xml:space="preserve">3 </w:t>
            </w:r>
            <w:r>
              <w:rPr>
                <w:rFonts w:ascii="宋体" w:eastAsia="宋体" w:hint="eastAsia"/>
                <w:b/>
                <w:bCs/>
              </w:rPr>
              <w:t>教师与学生在一带一路暨金砖国家赛事中获奖</w:t>
            </w:r>
            <w:bookmarkEnd w:id="107"/>
          </w:p>
        </w:tc>
      </w:tr>
    </w:tbl>
    <w:p>
      <w:pPr>
        <w:pStyle w:val="15"/>
        <w:widowControl w:val="0"/>
        <w:ind w:firstLineChars="0" w:firstLine="0"/>
        <w:rPr>
          <w:rFonts w:ascii="楷体_GB2312" w:eastAsia="楷体_GB2312" w:cs="楷体_GB2312"/>
          <w:b/>
          <w:bCs/>
          <w:color w:val="0F1115"/>
          <w:spacing w:val="0"/>
          <w:sz w:val="24"/>
          <w:szCs w:val="24"/>
          <w:shd w:val="clear" w:color="auto" w:fill="FFFFFF"/>
        </w:rPr>
      </w:pP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rPr>
          <w:trHeight w:hRule="exact" w:val="680"/>
        </w:trPr>
        <w:tc>
          <w:tcPr>
            <w:tcW w:w="8296" w:type="dxa"/>
            <w:tcBorders>
              <w:top w:val="single" w:sz="4" w:space="0" w:color="auto"/>
              <w:left w:val="single" w:sz="4" w:space="0" w:color="auto"/>
              <w:bottom w:val="single" w:sz="4" w:space="0" w:color="auto"/>
              <w:right w:val="single" w:sz="4" w:space="0" w:color="auto"/>
            </w:tcBorders>
            <w:shd w:val="clear" w:color="auto" w:fill="7C7264"/>
            <w:noWrap/>
            <w:vAlign w:val="center"/>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108" w:name="_Toc218688702"/>
            <w:r>
              <w:rPr>
                <w:rFonts w:ascii="仿宋_GB2312" w:cs="仿宋_GB2312" w:hint="eastAsia"/>
                <w:b/>
                <w:bCs/>
                <w:color w:val="FFFFFF"/>
                <w:sz w:val="32"/>
                <w:szCs w:val="32"/>
              </w:rPr>
              <w:t>案例</w:t>
            </w:r>
            <w:r>
              <w:rPr>
                <w:rFonts w:ascii="仿宋_GB2312" w:cs="仿宋_GB2312"/>
                <w:b/>
                <w:bCs/>
                <w:color w:val="FFFFFF"/>
                <w:sz w:val="32"/>
                <w:szCs w:val="32"/>
              </w:rPr>
              <w:t>5-4：</w:t>
            </w:r>
            <w:r>
              <w:rPr>
                <w:rFonts w:ascii="仿宋_GB2312" w:cs="仿宋_GB2312" w:hint="eastAsia"/>
                <w:b/>
                <w:bCs/>
                <w:color w:val="FFFFFF"/>
                <w:sz w:val="32"/>
                <w:szCs w:val="32"/>
              </w:rPr>
              <w:t>永州工贸学校技耀国际，载誉而归</w:t>
            </w:r>
            <w:bookmarkEnd w:id="108"/>
          </w:p>
        </w:tc>
      </w:tr>
      <w:tr>
        <w:tc>
          <w:tcPr>
            <w:tcW w:w="8296" w:type="dxa"/>
            <w:tcBorders>
              <w:top w:val="single" w:sz="4" w:space="0" w:color="auto"/>
              <w:left w:val="single" w:sz="4" w:space="0" w:color="auto"/>
              <w:bottom w:val="single" w:sz="4" w:space="0" w:color="auto"/>
              <w:right w:val="single" w:sz="4" w:space="0" w:color="auto"/>
            </w:tcBorders>
            <w:noWrap/>
          </w:tcPr>
          <w:p>
            <w:pPr>
              <w:pStyle w:val="23"/>
              <w:spacing w:line="480" w:lineRule="exact"/>
              <w:rPr>
                <w:rFonts w:ascii="宋体" w:eastAsia="宋体" w:cs="仿宋_GB2312"/>
                <w:color w:val="0F1115"/>
                <w:sz w:val="28"/>
                <w:szCs w:val="28"/>
              </w:rPr>
            </w:pPr>
            <w:r>
              <w:rPr>
                <w:rFonts w:ascii="宋体" w:eastAsia="宋体" w:cs="仿宋_GB2312" w:hint="eastAsia"/>
                <w:color w:val="0F1115"/>
                <w:sz w:val="28"/>
                <w:szCs w:val="28"/>
              </w:rPr>
              <w:t>永州市工业贸易中等专业学校</w:t>
            </w:r>
            <w:r>
              <w:rPr>
                <w:rFonts w:ascii="宋体" w:eastAsia="宋体" w:cs="仿宋_GB2312"/>
                <w:color w:val="0F1115"/>
                <w:sz w:val="28"/>
                <w:szCs w:val="28"/>
              </w:rPr>
              <w:t>--张开心、盘红香同学参加2025年“一带一路”暨金砖国家技能发展与技术创新大赛的智能制造设备应用赛项获三等奖，龚荣华、何可欣、陈栎杨、唐佳睿4位学生代表湖南队参加世界职业院校技能大赛的电子电器与集成电路赛道的争夺赛。学校积极联动2025“一带一路”暨金砖国家技能发展与技术创新大赛业财数据应用与管理（产教融合方向）赛项全国总决赛，蒋北玲、柏莉雯、程艺、马伊琴、柏景玉、程优、蒋敏、成小莲获团体优胜奖。</w:t>
            </w:r>
            <w:r>
              <w:rPr>
                <w:rFonts w:ascii="宋体" w:eastAsia="宋体" w:cs="仿宋_GB2312" w:hint="eastAsia"/>
                <w:color w:val="0F1115"/>
                <w:sz w:val="28"/>
                <w:szCs w:val="28"/>
              </w:rPr>
              <w:t>见图5-3。</w:t>
            </w:r>
          </w:p>
          <w:p>
            <w:pPr>
              <w:pStyle w:val="23"/>
              <w:spacing w:line="240" w:lineRule="auto"/>
              <w:ind w:firstLineChars="0" w:firstLine="0"/>
              <w:jc w:val="left"/>
              <w:rPr>
                <w:rFonts w:ascii="宋体" w:eastAsia="宋体" w:cs="仿宋_GB2312"/>
                <w:color w:val="0F1115"/>
                <w:sz w:val="28"/>
                <w:szCs w:val="28"/>
              </w:rPr>
            </w:pPr>
            <w:r>
              <w:rPr>
                <w:rFonts w:ascii="宋体" w:eastAsia="宋体" w:cs="仿宋_GB2312"/>
                <w:color w:val="0F1115"/>
                <w:sz w:val="28"/>
                <w:szCs w:val="28"/>
              </w:rPr>
              <w:drawing>
                <wp:inline distT="0" distB="0" distL="0" distR="0">
                  <wp:extent cx="5273040" cy="3590925"/>
                  <wp:effectExtent l="0" t="0" r="15" b="40"/>
                  <wp:docPr id="92" name="图片 2"/>
                  <wp:cNvGraphicFramePr>
                    <a:graphicFrameLocks noChangeAspect="1"/>
                  </wp:cNvGraphicFramePr>
                  <a:graphic>
                    <a:graphicData uri="http://schemas.openxmlformats.org/drawingml/2006/picture">
                      <pic:pic>
                        <pic:nvPicPr>
                          <pic:cNvPr id="94" name="图片 2 94"/>
                          <pic:cNvPicPr/>
                        </pic:nvPicPr>
                        <pic:blipFill>
                          <a:blip r:embed="rId38"/>
                          <a:srcRect b="48948"/>
                          <a:stretch>
                            <a:fillRect/>
                          </a:stretch>
                        </pic:blipFill>
                        <pic:spPr>
                          <a:xfrm rot="0">
                            <a:off x="0" y="0"/>
                            <a:ext cx="5273040" cy="3590925"/>
                          </a:xfrm>
                          <a:prstGeom prst="rect"/>
                          <a:noFill/>
                          <a:ln w="9525" cmpd="sng" cap="flat">
                            <a:noFill/>
                            <a:prstDash val="solid"/>
                            <a:round/>
                          </a:ln>
                        </pic:spPr>
                      </pic:pic>
                    </a:graphicData>
                  </a:graphic>
                </wp:inline>
              </w:drawing>
            </w:r>
          </w:p>
          <w:p>
            <w:pPr>
              <w:pStyle w:val="23"/>
              <w:widowControl/>
              <w:spacing w:afterLines="50" w:after="156" w:line="240" w:lineRule="auto"/>
              <w:ind w:firstLineChars="0" w:firstLine="0"/>
              <w:jc w:val="center"/>
              <w:outlineLvl w:val="2"/>
              <w:rPr>
                <w:rFonts w:ascii="宋体" w:eastAsia="宋体" w:cs="仿宋_GB2312"/>
                <w:b/>
                <w:bCs/>
                <w:color w:val="0F1115"/>
                <w:sz w:val="28"/>
                <w:szCs w:val="28"/>
              </w:rPr>
            </w:pPr>
            <w:bookmarkStart w:id="109" w:name="_Toc218688650"/>
            <w:r>
              <w:rPr>
                <w:rFonts w:ascii="宋体" w:eastAsia="宋体" w:hint="eastAsia"/>
                <w:b/>
                <w:bCs/>
              </w:rPr>
              <w:t>图5-3</w:t>
            </w:r>
            <w:r>
              <w:rPr>
                <w:rFonts w:ascii="宋体" w:eastAsia="宋体"/>
                <w:b/>
                <w:bCs/>
              </w:rPr>
              <w:t xml:space="preserve"> </w:t>
            </w:r>
            <w:r>
              <w:rPr>
                <w:rFonts w:ascii="宋体" w:eastAsia="宋体" w:hint="eastAsia"/>
                <w:b/>
                <w:bCs/>
              </w:rPr>
              <w:t>永州市工业贸易中等专业学校学子赛项获奖证书</w:t>
            </w:r>
            <w:bookmarkEnd w:id="109"/>
          </w:p>
        </w:tc>
      </w:tr>
    </w:tbl>
    <w:p>
      <w:pPr>
        <w:pStyle w:val="1"/>
        <w:spacing w:beforeLines="50" w:before="156" w:afterLines="50" w:after="156" w:line="520" w:lineRule="exact"/>
        <w:ind w:firstLineChars="200" w:firstLine="640"/>
        <w:rPr>
          <w:rFonts w:ascii="黑体" w:eastAsia="黑体"/>
          <w:b w:val="0"/>
          <w:bCs w:val="0"/>
          <w:sz w:val="32"/>
          <w:szCs w:val="32"/>
          <w:shd w:val="clear" w:color="auto" w:fill="FFFFFF"/>
        </w:rPr>
      </w:pPr>
      <w:bookmarkStart w:id="110" w:name="_Toc218617431"/>
      <w:bookmarkStart w:id="111" w:name="_Toc218688937"/>
      <w:r>
        <w:rPr>
          <w:rFonts w:ascii="黑体" w:eastAsia="黑体" w:hint="eastAsia"/>
          <w:b w:val="0"/>
          <w:bCs w:val="0"/>
          <w:sz w:val="32"/>
          <w:szCs w:val="32"/>
          <w:shd w:val="clear" w:color="auto" w:fill="FFFFFF"/>
        </w:rPr>
        <w:t>6</w:t>
      </w:r>
      <w:r>
        <w:rPr>
          <w:rFonts w:ascii="黑体" w:eastAsia="黑体"/>
          <w:b w:val="0"/>
          <w:bCs w:val="0"/>
          <w:sz w:val="32"/>
          <w:szCs w:val="32"/>
          <w:shd w:val="clear" w:color="auto" w:fill="FFFFFF"/>
        </w:rPr>
        <w:t xml:space="preserve">. </w:t>
      </w:r>
      <w:r>
        <w:rPr>
          <w:rFonts w:ascii="黑体" w:eastAsia="黑体" w:hint="eastAsia"/>
          <w:b w:val="0"/>
          <w:bCs w:val="0"/>
          <w:sz w:val="32"/>
          <w:szCs w:val="32"/>
          <w:shd w:val="clear" w:color="auto" w:fill="FFFFFF"/>
        </w:rPr>
        <w:t>产教融合</w:t>
      </w:r>
      <w:bookmarkEnd w:id="110"/>
      <w:bookmarkEnd w:id="111"/>
    </w:p>
    <w:p>
      <w:pPr>
        <w:spacing w:line="560" w:lineRule="exact"/>
        <w:ind w:firstLineChars="200" w:firstLine="640"/>
        <w:outlineLvl w:val="1"/>
        <w:rPr>
          <w:rFonts w:ascii="楷体_GB2312" w:eastAsia="楷体_GB2312" w:cs="楷体_GB2312"/>
          <w:b/>
          <w:bCs/>
          <w:sz w:val="32"/>
          <w:szCs w:val="32"/>
          <w:shd w:val="clear" w:color="auto" w:fill="FFFFFF"/>
        </w:rPr>
      </w:pPr>
      <w:bookmarkStart w:id="112" w:name="_Toc218688938"/>
      <w:r>
        <w:rPr>
          <w:rFonts w:ascii="楷体_GB2312" w:eastAsia="楷体_GB2312" w:cs="楷体_GB2312" w:hint="eastAsia"/>
          <w:b/>
          <w:bCs/>
          <w:sz w:val="32"/>
          <w:szCs w:val="32"/>
          <w:shd w:val="clear" w:color="auto" w:fill="FFFFFF"/>
        </w:rPr>
        <w:t>6.1 机制共筑：系统构建长效化制度保障体系</w:t>
      </w:r>
      <w:bookmarkEnd w:id="112"/>
    </w:p>
    <w:p>
      <w:pPr>
        <w:pStyle w:val="15"/>
        <w:rPr>
          <w:rFonts w:ascii="仿宋_GB2312"/>
        </w:rPr>
      </w:pPr>
      <w:r>
        <w:rPr>
          <w:rFonts w:ascii="仿宋_GB2312" w:hint="eastAsia"/>
        </w:rPr>
        <w:t>市级层面强化政策统筹与顶层设计，联合人社、工信等部门出台系列引导性文件，营造了有利于校企深度对接的政策环境。在此背景下，各中职学校主动探索、积极实践，普遍建立并完善了以</w:t>
      </w:r>
      <w:r>
        <w:rPr>
          <w:rFonts w:ascii="仿宋_GB2312"/>
        </w:rPr>
        <w:t> “一协议、一组织、一章程、一基金” 为核心要素的“四个一”制度化合作框架，为产教融合的深入发展提供了坚实的制度支撑和组织保障。</w:t>
      </w:r>
    </w:p>
    <w:p>
      <w:pPr>
        <w:pStyle w:val="15"/>
        <w:rPr>
          <w:rFonts w:ascii="仿宋_GB2312"/>
          <w:b/>
          <w:bCs/>
        </w:rPr>
      </w:pPr>
      <w:r>
        <w:rPr>
          <w:rFonts w:ascii="仿宋_GB2312" w:hint="eastAsia"/>
          <w:b/>
          <w:bCs/>
        </w:rPr>
        <w:t>6.1.1 以“协议”明确权责，奠定合作法治基础</w:t>
      </w:r>
    </w:p>
    <w:p>
      <w:pPr>
        <w:pStyle w:val="15"/>
        <w:rPr>
          <w:rFonts w:ascii="仿宋_GB2312"/>
        </w:rPr>
      </w:pPr>
      <w:r>
        <w:rPr>
          <w:rFonts w:ascii="仿宋_GB2312" w:hint="eastAsia"/>
        </w:rPr>
        <w:t>“一协议”即与区域龙头企业、骨干企业签订长期战略合作协议，取代过去零散的实习协议。这些协议明确了合作年限、合作范围等框架性内容，界定了校企双方在人才培养、资源投入、成果分享等方面的权利、义务与责任。</w:t>
      </w:r>
    </w:p>
    <w:p>
      <w:pPr>
        <w:pStyle w:val="23"/>
        <w:shd w:val="clear" w:color="auto" w:fill="FFFFFF"/>
        <w:rPr>
          <w:rFonts w:ascii="仿宋_GB2312" w:cs="仿宋_GB2312"/>
          <w:b/>
          <w:bCs/>
          <w:color w:val="0F1115"/>
          <w:sz w:val="32"/>
          <w:szCs w:val="32"/>
          <w:shd w:val="clear" w:color="auto" w:fill="FFFFFF"/>
        </w:rPr>
      </w:pPr>
      <w:r>
        <w:rPr>
          <w:rFonts w:ascii="仿宋_GB2312" w:cs="仿宋_GB2312" w:hint="eastAsia"/>
          <w:b/>
          <w:bCs/>
          <w:color w:val="0F1115"/>
          <w:sz w:val="32"/>
          <w:szCs w:val="32"/>
          <w:shd w:val="clear" w:color="auto" w:fill="FFFFFF"/>
        </w:rPr>
        <w:t>6.1.2 以“组织”实体运作，构建协同治理结构</w:t>
      </w:r>
    </w:p>
    <w:p>
      <w:pPr>
        <w:pStyle w:val="15"/>
        <w:rPr>
          <w:rFonts w:ascii="仿宋_GB2312"/>
        </w:rPr>
      </w:pPr>
      <w:r>
        <w:rPr>
          <w:rFonts w:ascii="仿宋_GB2312" w:hint="eastAsia"/>
        </w:rPr>
        <w:t>“一组织”即联合成立实体化运作的协同管理机构，确保合作有专门机构推进落实。各校普遍推动成立了“校企合作理事会”“产教融合指导委员会”“专业建设委员会”等组织。</w:t>
      </w:r>
    </w:p>
    <w:p>
      <w:pPr>
        <w:pStyle w:val="15"/>
        <w:rPr>
          <w:rFonts w:ascii="仿宋_GB2312"/>
          <w:b/>
          <w:bCs/>
        </w:rPr>
      </w:pPr>
      <w:r>
        <w:rPr>
          <w:rFonts w:ascii="仿宋_GB2312" w:hint="eastAsia"/>
          <w:b/>
          <w:bCs/>
        </w:rPr>
        <w:t>6.1.3 以“章程”规范流程，确保运行有章可循</w:t>
      </w:r>
    </w:p>
    <w:p>
      <w:pPr>
        <w:pStyle w:val="15"/>
        <w:rPr>
          <w:rFonts w:ascii="仿宋_GB2312"/>
        </w:rPr>
      </w:pPr>
      <w:r>
        <w:rPr>
          <w:rFonts w:ascii="仿宋_GB2312" w:hint="eastAsia"/>
        </w:rPr>
        <w:t>“一章程”即制定合作章程与配套管理办法，形成内部“基本法”。为保障合作组织的规范运行和合作项目的顺利实施，许多学校与合作企业共同制定了《产教融合合作章程》及一系列配套管理制度。</w:t>
      </w:r>
    </w:p>
    <w:p>
      <w:pPr>
        <w:pStyle w:val="15"/>
        <w:rPr>
          <w:rFonts w:ascii="仿宋_GB2312"/>
          <w:b/>
          <w:bCs/>
        </w:rPr>
      </w:pPr>
      <w:r>
        <w:rPr>
          <w:rFonts w:ascii="仿宋_GB2312" w:hint="eastAsia"/>
          <w:b/>
          <w:bCs/>
        </w:rPr>
        <w:t>6.1.4 以“基金”激励保障，激活双方内生动力</w:t>
      </w:r>
    </w:p>
    <w:p>
      <w:pPr>
        <w:pStyle w:val="15"/>
        <w:rPr>
          <w:rFonts w:ascii="仿宋_GB2312"/>
        </w:rPr>
      </w:pPr>
      <w:r>
        <w:rPr>
          <w:rFonts w:ascii="仿宋_GB2312" w:hint="eastAsia"/>
        </w:rPr>
        <w:t>“一基金”即探索设立产教融合专项基金，破解合作中的动力与成本难题。针对企业参与职业教育积极性不足、学校合作经费有限等现实问题，部分先行学校创新机制，联合合作企业共同发起设立产教融合专项基金。</w:t>
      </w:r>
    </w:p>
    <w:p>
      <w:pPr>
        <w:pStyle w:val="15"/>
        <w:rPr>
          <w:rFonts w:ascii="仿宋_GB2312"/>
        </w:rPr>
      </w:pPr>
      <w:r>
        <w:rPr>
          <w:rFonts w:ascii="仿宋_GB2312" w:hint="eastAsia"/>
        </w:rPr>
        <w:t>通过系统化构建“四个一”制度框架，全市职业教育产教融合实现了从“松散结合”到“紧密耦合”、从“短期项目”到“长效战略”的根本性转变。本年度，超过80%的中职学校已将校企合作深度融入学校治理和教育教学全过程。全市职业学校与行业企业共同修订人才培养方案累计超过200个。</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rPr>
          <w:trHeight w:hRule="exact" w:val="567"/>
        </w:trPr>
        <w:tc>
          <w:tcPr>
            <w:tcW w:w="8296" w:type="dxa"/>
            <w:tcBorders>
              <w:top w:val="single" w:sz="4" w:space="0" w:color="auto"/>
              <w:left w:val="single" w:sz="4" w:space="0" w:color="auto"/>
              <w:bottom w:val="single" w:sz="4" w:space="0" w:color="auto"/>
              <w:right w:val="single" w:sz="4" w:space="0" w:color="auto"/>
            </w:tcBorders>
            <w:shd w:val="clear" w:color="auto" w:fill="7C7264"/>
            <w:noWrap/>
            <w:vAlign w:val="center"/>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113" w:name="_Toc218688703"/>
            <w:r>
              <w:rPr>
                <w:rFonts w:ascii="仿宋_GB2312" w:cs="仿宋_GB2312" w:hint="eastAsia"/>
                <w:b/>
                <w:bCs/>
                <w:color w:val="FFFFFF"/>
                <w:sz w:val="32"/>
                <w:szCs w:val="32"/>
              </w:rPr>
              <w:t>案例6</w:t>
            </w:r>
            <w:r>
              <w:rPr>
                <w:rFonts w:ascii="仿宋_GB2312" w:cs="仿宋_GB2312"/>
                <w:b/>
                <w:bCs/>
                <w:color w:val="FFFFFF"/>
                <w:sz w:val="32"/>
                <w:szCs w:val="32"/>
              </w:rPr>
              <w:t>-1：</w:t>
            </w:r>
            <w:r>
              <w:rPr>
                <w:rFonts w:ascii="仿宋_GB2312" w:cs="仿宋_GB2312" w:hint="eastAsia"/>
                <w:b/>
                <w:bCs/>
                <w:color w:val="FFFFFF"/>
                <w:sz w:val="32"/>
                <w:szCs w:val="32"/>
              </w:rPr>
              <w:t>江永职中创新“政企校”协同订单培养模式</w:t>
            </w:r>
            <w:bookmarkEnd w:id="113"/>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面对县域企业长期存在的“招工难、留人难”与本土技能人才外流的双重困局，江永县职业中专学校在县委县政府的统筹规划与政策支持下，主动对接本地产业园区及重点企业，系统构建并深入实施了“政企校”深度协同的订单式人才培养新模式。</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该模式以“政府引导、园区搭台、企业主导、学校实施”为基本原则，通过签订三方协议，明确权责利关系，共同组建定向培养班级。在培养过程中，企业不再是旁观者，而是深度参与者与受益者：企业技术专家与学校教师共同组成教学团队，将真实生产项目、最新工艺标准和岗位能力要求系统性地融入课程体系与实训环节，实现“招生即招工、入校即入企、毕业即上岗”的无缝衔接。这一创新机制显著增强了职业教育对本地学子和家庭的吸引力，有效引导了优质生源留在本地接受职业教育并规划长期发展。</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2025年，相关订单班报考热度明显提升，毕业生因技能扎实、适应性强、本土认同度高，受到合作企业的广泛欢迎，实现了“学生得前途、企业得人才、学校得发展、地方产业得支撑”的共赢局面，为县域经济破解人才瓶颈、实现“产教融合、人才留乡”提供了极具示范性和可操作性的永州方案。</w:t>
            </w:r>
          </w:p>
          <w:p>
            <w:pPr>
              <w:pStyle w:val="23"/>
              <w:widowControl/>
              <w:spacing w:line="240" w:lineRule="auto"/>
              <w:ind w:firstLineChars="0" w:firstLine="0"/>
              <w:jc w:val="center"/>
              <w:rPr>
                <w:rFonts w:ascii="宋体" w:eastAsia="宋体" w:cs="仿宋_GB2312"/>
                <w:color w:val="0F1115"/>
                <w:sz w:val="28"/>
                <w:szCs w:val="28"/>
              </w:rPr>
            </w:pPr>
            <w:r>
              <w:rPr>
                <w:rFonts w:ascii="宋体" w:eastAsia="宋体" w:cs="仿宋_GB2312" w:hint="eastAsia"/>
                <w:color w:val="0F1115"/>
                <w:sz w:val="28"/>
                <w:szCs w:val="28"/>
              </w:rPr>
              <w:drawing>
                <wp:inline distT="0" distB="0" distL="114300" distR="114300">
                  <wp:extent cx="4930775" cy="3695700"/>
                  <wp:effectExtent l="0" t="0" r="43" b="39"/>
                  <wp:docPr id="95" name="Picture 1" descr="江永中专走访"/>
                  <wp:cNvGraphicFramePr>
                    <a:graphicFrameLocks noChangeAspect="1"/>
                  </wp:cNvGraphicFramePr>
                  <a:graphic>
                    <a:graphicData uri="http://schemas.openxmlformats.org/drawingml/2006/picture">
                      <pic:pic>
                        <pic:nvPicPr>
                          <pic:cNvPr id="97" name="Picture 1 97"/>
                          <pic:cNvPicPr/>
                        </pic:nvPicPr>
                        <pic:blipFill>
                          <a:blip r:embed="rId39"/>
                          <a:stretch>
                            <a:fillRect/>
                          </a:stretch>
                        </pic:blipFill>
                        <pic:spPr>
                          <a:xfrm rot="0">
                            <a:off x="0" y="0"/>
                            <a:ext cx="4930775" cy="3695700"/>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宋体" w:eastAsia="宋体" w:cs="仿宋_GB2312"/>
                <w:color w:val="0F1115"/>
                <w:sz w:val="28"/>
                <w:szCs w:val="28"/>
              </w:rPr>
            </w:pPr>
            <w:bookmarkStart w:id="114" w:name="_Toc218688651"/>
            <w:r>
              <w:rPr>
                <w:rFonts w:ascii="宋体" w:eastAsia="宋体" w:hint="eastAsia"/>
                <w:b/>
                <w:bCs/>
              </w:rPr>
              <w:t>图6</w:t>
            </w:r>
            <w:r>
              <w:rPr>
                <w:rFonts w:ascii="宋体" w:eastAsia="宋体"/>
                <w:b/>
                <w:bCs/>
              </w:rPr>
              <w:t xml:space="preserve">-1 </w:t>
            </w:r>
            <w:r>
              <w:rPr>
                <w:rFonts w:ascii="宋体" w:eastAsia="宋体" w:hint="eastAsia"/>
                <w:b/>
                <w:bCs/>
              </w:rPr>
              <w:t>江永职中考察“政校企”合作单位</w:t>
            </w:r>
            <w:bookmarkEnd w:id="114"/>
          </w:p>
        </w:tc>
      </w:tr>
    </w:tbl>
    <w:p>
      <w:pPr>
        <w:spacing w:line="560" w:lineRule="exact"/>
        <w:ind w:firstLineChars="200" w:firstLine="640"/>
        <w:outlineLvl w:val="1"/>
        <w:rPr>
          <w:rFonts w:ascii="楷体_GB2312" w:eastAsia="楷体_GB2312" w:cs="楷体_GB2312"/>
          <w:b/>
          <w:bCs/>
          <w:sz w:val="32"/>
          <w:szCs w:val="32"/>
          <w:shd w:val="clear" w:color="auto" w:fill="FFFFFF"/>
        </w:rPr>
      </w:pPr>
      <w:bookmarkStart w:id="115" w:name="_Toc218688939"/>
      <w:r>
        <w:rPr>
          <w:rFonts w:ascii="楷体_GB2312" w:eastAsia="楷体_GB2312" w:cs="楷体_GB2312" w:hint="eastAsia"/>
          <w:b/>
          <w:bCs/>
          <w:sz w:val="32"/>
          <w:szCs w:val="32"/>
          <w:shd w:val="clear" w:color="auto" w:fill="FFFFFF"/>
        </w:rPr>
        <w:t>6.2 资源共建：深度推进优势要素互补与共享</w:t>
      </w:r>
      <w:bookmarkEnd w:id="115"/>
    </w:p>
    <w:p>
      <w:pPr>
        <w:pStyle w:val="15"/>
        <w:rPr>
          <w:rFonts w:ascii="仿宋_GB2312"/>
        </w:rPr>
      </w:pPr>
      <w:r>
        <w:rPr>
          <w:rFonts w:ascii="仿宋_GB2312" w:hint="eastAsia"/>
        </w:rPr>
        <w:t>全市职业教育资源共建已初步超越初期单向的设备捐赠模式，迈入了涵盖“硬件设施、课程内容、数字资源、文化理念”的全要素、立体化、双向赋能融合新阶段。校企双方以互补共赢为原则，以共建共享为机制，推动产业先进元素深度融入教育教学全过程，实现了教育资源与产业资源的同步升级、有机融合。</w:t>
      </w:r>
    </w:p>
    <w:p>
      <w:pPr>
        <w:pStyle w:val="15"/>
        <w:rPr>
          <w:rFonts w:ascii="仿宋_GB2312"/>
          <w:b/>
          <w:bCs/>
        </w:rPr>
      </w:pPr>
      <w:r>
        <w:rPr>
          <w:rFonts w:ascii="仿宋_GB2312" w:hint="eastAsia"/>
          <w:b/>
          <w:bCs/>
        </w:rPr>
        <w:t>6.2.1 硬件资源共建：实现实训条件与产业技术同步迭代</w:t>
      </w:r>
    </w:p>
    <w:p>
      <w:pPr>
        <w:pStyle w:val="15"/>
        <w:rPr>
          <w:rFonts w:ascii="仿宋_GB2312"/>
        </w:rPr>
      </w:pPr>
      <w:r>
        <w:rPr>
          <w:rFonts w:ascii="仿宋_GB2312" w:hint="eastAsia"/>
        </w:rPr>
        <w:t>在硬件资源共建方面，形成了“引企入校”与“引校入企”双向驱动的生动局面。一方面，企业将先进的生产设备、技术平台引入校园，共建高水平的校内实训室。另一方面，学校将教学空间和设备嵌入企业生产园区，共建“厂中校”和生产性实训基地。</w:t>
      </w:r>
    </w:p>
    <w:p>
      <w:pPr>
        <w:pStyle w:val="15"/>
        <w:rPr>
          <w:rFonts w:ascii="仿宋_GB2312"/>
          <w:b/>
          <w:bCs/>
        </w:rPr>
      </w:pPr>
      <w:r>
        <w:rPr>
          <w:rFonts w:ascii="仿宋_GB2312" w:hint="eastAsia"/>
          <w:b/>
          <w:bCs/>
        </w:rPr>
        <w:t>6.2.2 课程与教学资源共建：推动教学内容与岗位标准无缝对接</w:t>
      </w:r>
    </w:p>
    <w:p>
      <w:pPr>
        <w:pStyle w:val="15"/>
        <w:rPr>
          <w:rFonts w:ascii="仿宋_GB2312"/>
        </w:rPr>
      </w:pPr>
      <w:r>
        <w:rPr>
          <w:rFonts w:ascii="仿宋_GB2312" w:hint="eastAsia"/>
        </w:rPr>
        <w:t>各学校紧密对接合作企业的岗位标准、技术规范和典型工作任务，与企业专家共同重构课程体系、开发教学资源。校企联合开发基于真实工作过程的项目化课程、模块化课程、活页式教材和工作手册。企业提供的真实生产案例、工艺流程视频、技术标准文档等，被系统地转化为课堂教学内容和实训项目，确保了学生所学即所用，教学与生产实现“零距离”。</w:t>
      </w:r>
    </w:p>
    <w:p>
      <w:pPr>
        <w:pStyle w:val="15"/>
        <w:rPr>
          <w:rFonts w:ascii="仿宋_GB2312"/>
          <w:b/>
          <w:bCs/>
        </w:rPr>
      </w:pPr>
      <w:r>
        <w:rPr>
          <w:rFonts w:ascii="仿宋_GB2312" w:hint="eastAsia"/>
          <w:b/>
          <w:bCs/>
        </w:rPr>
        <w:t>6.2.3 数字资源与平台共建：赋能教学模式创新与智慧管理</w:t>
      </w:r>
    </w:p>
    <w:p>
      <w:pPr>
        <w:pStyle w:val="15"/>
        <w:rPr>
          <w:rFonts w:ascii="仿宋_GB2312"/>
        </w:rPr>
      </w:pPr>
      <w:r>
        <w:rPr>
          <w:rFonts w:ascii="仿宋_GB2312" w:hint="eastAsia"/>
        </w:rPr>
        <w:t>顺应数字化转型趋势，校企在数字资源与智慧平台共建方面取得新进展。共同开发专业教学资源库、在线精品课程、虚拟仿真实训资源。同时，校企合作开发或引入了智慧教学管理平台、实习管理平台、技能考核平台等。这些数字资源和平台，打破了教学时空限制，实现了优质资源共享，支撑了混合式教学、个性化学习等模式改革，也提升了校企协同管理的精细化水平。</w:t>
      </w:r>
    </w:p>
    <w:p>
      <w:pPr>
        <w:pStyle w:val="15"/>
        <w:rPr>
          <w:rFonts w:ascii="仿宋_GB2312"/>
          <w:b/>
          <w:bCs/>
        </w:rPr>
      </w:pPr>
      <w:r>
        <w:rPr>
          <w:rFonts w:ascii="仿宋_GB2312" w:hint="eastAsia"/>
          <w:b/>
          <w:bCs/>
        </w:rPr>
        <w:t>6.2.4 文化理念互融共建：营造浸润式职业育人环境</w:t>
      </w:r>
    </w:p>
    <w:p>
      <w:pPr>
        <w:pStyle w:val="15"/>
        <w:rPr>
          <w:rFonts w:ascii="仿宋_GB2312"/>
        </w:rPr>
      </w:pPr>
      <w:r>
        <w:rPr>
          <w:rFonts w:ascii="仿宋_GB2312" w:hint="eastAsia"/>
        </w:rPr>
        <w:t>各校高度重视产业文化、企业文化、职业文化进校园，将其作为资源共建的“软实力”和“润合剂”。通过设立企业冠名班、聘请企业大师和劳模设立“大师工作室”、等方式，将企业的创新精神、工匠精神、安全规范等深度融入校园文化。</w:t>
      </w:r>
    </w:p>
    <w:p>
      <w:pPr>
        <w:pStyle w:val="15"/>
        <w:rPr>
          <w:rFonts w:ascii="仿宋_GB2312"/>
        </w:rPr>
      </w:pPr>
      <w:r>
        <w:rPr>
          <w:rFonts w:ascii="仿宋_GB2312" w:hint="eastAsia"/>
        </w:rPr>
        <w:t>通过多维度的资源共建，全市职业学校的办学条件得到历史性改善。2025年，企业向学校捐赠或投入的设施设备总价值超过1000万元，共建共享校内外实训基地超过100个，其中校内新建或升级改造的实训室达200余间，联合开发课程与教学资源包数300余个。</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仿宋_GB2312"/>
                <w:b/>
                <w:bCs/>
                <w:color w:val="FFFFFF"/>
                <w:sz w:val="32"/>
                <w:szCs w:val="32"/>
              </w:rPr>
            </w:pPr>
            <w:bookmarkStart w:id="116" w:name="_Toc218688704"/>
            <w:r>
              <w:rPr>
                <w:rFonts w:ascii="仿宋_GB2312" w:cs="仿宋_GB2312" w:hint="eastAsia"/>
                <w:b/>
                <w:bCs/>
                <w:color w:val="FFFFFF"/>
                <w:sz w:val="32"/>
                <w:szCs w:val="32"/>
              </w:rPr>
              <w:t>案例</w:t>
            </w:r>
            <w:r>
              <w:rPr>
                <w:rFonts w:ascii="仿宋_GB2312" w:cs="仿宋_GB2312"/>
                <w:b/>
                <w:bCs/>
                <w:color w:val="FFFFFF"/>
                <w:sz w:val="32"/>
                <w:szCs w:val="32"/>
              </w:rPr>
              <w:t>6-</w:t>
            </w:r>
            <w:r>
              <w:rPr>
                <w:rFonts w:ascii="仿宋_GB2312" w:cs="仿宋_GB2312" w:hint="eastAsia"/>
                <w:b/>
                <w:bCs/>
                <w:color w:val="FFFFFF"/>
                <w:sz w:val="32"/>
                <w:szCs w:val="32"/>
              </w:rPr>
              <w:t>2</w:t>
            </w:r>
            <w:r>
              <w:rPr>
                <w:rFonts w:ascii="仿宋_GB2312" w:cs="仿宋_GB2312"/>
                <w:b/>
                <w:bCs/>
                <w:color w:val="FFFFFF"/>
                <w:sz w:val="32"/>
                <w:szCs w:val="32"/>
              </w:rPr>
              <w:t>：</w:t>
            </w:r>
            <w:r>
              <w:rPr>
                <w:rFonts w:ascii="仿宋_GB2312" w:cs="仿宋_GB2312" w:hint="eastAsia"/>
                <w:b/>
                <w:bCs/>
                <w:color w:val="FFFFFF"/>
                <w:sz w:val="32"/>
                <w:szCs w:val="32"/>
              </w:rPr>
              <w:t>宁远职中“订单班引援，设备资源跨越升级”</w:t>
            </w:r>
            <w:bookmarkEnd w:id="116"/>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在学校整体搬迁至新校区的关键时期，数控技术应用专业面临实训设备老旧且数量不足的困境。该校与湖南湘迪科技有限公司深入洽谈，以共建“数控技术订单班”为核心合作内容。作为深度合作的诚意和对未来技能人才的提前投资，湘迪科技公司无偿向该校捐赠了四台当前行业中高端的数控铣床和两台配套的油冷机。这些设备并非淘汰品，而是适用于教学与企业初级生产的主流机型。该校则专门规划新建实训车间，用于安置这些设备，并将其全面融入订单班的课程体系和实训教学中，确保设备高效利用。</w:t>
            </w:r>
          </w:p>
          <w:p>
            <w:pPr>
              <w:pStyle w:val="23"/>
              <w:widowControl/>
              <w:spacing w:line="480" w:lineRule="exact"/>
              <w:jc w:val="left"/>
              <w:rPr>
                <w:rFonts w:ascii="宋体" w:eastAsia="宋体" w:cs="仿宋_GB2312"/>
                <w:color w:val="0F1115"/>
                <w:sz w:val="28"/>
                <w:szCs w:val="28"/>
              </w:rPr>
            </w:pPr>
            <w:r>
              <w:rPr>
                <w:rFonts w:ascii="宋体" w:eastAsia="宋体" w:cs="仿宋_GB2312" w:hint="eastAsia"/>
                <w:color w:val="0F1115"/>
                <w:sz w:val="28"/>
                <w:szCs w:val="28"/>
              </w:rPr>
              <w:t>此次捐赠一举解决了该校该专业核心实训设备的缺口问题，使校内实训硬件条件实现了质的飞跃。学生能够在在校期间就接触到与企业生产一线同步的先进设备，技能训练更加贴合实际。订单班的学生也因为能优先使用这些设备进行强化训练，技能水平显著高于普通班，实现了企业、学校、学生三方共赢，成为以资源投入深化校企捆绑的典范。</w:t>
            </w:r>
          </w:p>
        </w:tc>
      </w:tr>
    </w:tbl>
    <w:p>
      <w:pPr>
        <w:spacing w:line="560" w:lineRule="exact"/>
        <w:ind w:firstLineChars="200" w:firstLine="640"/>
        <w:outlineLvl w:val="1"/>
        <w:rPr>
          <w:rFonts w:ascii="楷体_GB2312" w:eastAsia="楷体_GB2312" w:cs="楷体_GB2312"/>
          <w:b/>
          <w:bCs/>
          <w:sz w:val="32"/>
          <w:szCs w:val="32"/>
          <w:shd w:val="clear" w:color="auto" w:fill="FFFFFF"/>
        </w:rPr>
      </w:pPr>
      <w:bookmarkStart w:id="117" w:name="_Toc218688940"/>
      <w:r>
        <w:rPr>
          <w:rFonts w:ascii="楷体_GB2312" w:eastAsia="楷体_GB2312" w:cs="楷体_GB2312" w:hint="eastAsia"/>
          <w:b/>
          <w:bCs/>
          <w:sz w:val="32"/>
          <w:szCs w:val="32"/>
          <w:shd w:val="clear" w:color="auto" w:fill="FFFFFF"/>
        </w:rPr>
        <w:t>6.3 双师共培：着力打造理实融通的复合型师资队伍</w:t>
      </w:r>
      <w:bookmarkEnd w:id="117"/>
    </w:p>
    <w:p>
      <w:pPr>
        <w:pStyle w:val="15"/>
        <w:rPr>
          <w:rFonts w:ascii="仿宋_GB2312"/>
        </w:rPr>
      </w:pPr>
      <w:r>
        <w:rPr>
          <w:rFonts w:ascii="仿宋_GB2312" w:hint="eastAsia"/>
        </w:rPr>
        <w:t>全市将“双师共培”置于战略高度，系统构建了“标准引领、双向流动、平台支撑、激励保障”四位一体的培养体系，全力破解教师队伍中存在的理论教学与实践能力脱节、产业经验不足等突出问题，致力于打造一支既精通理论教学、又具备高超实践技能，既能站稳三尺讲台、又能对接产业前沿的高素质专业化创新型教师队伍。</w:t>
      </w:r>
    </w:p>
    <w:p>
      <w:pPr>
        <w:pStyle w:val="15"/>
        <w:rPr>
          <w:rFonts w:ascii="仿宋_GB2312"/>
          <w:b/>
          <w:bCs/>
        </w:rPr>
      </w:pPr>
      <w:r>
        <w:rPr>
          <w:rFonts w:ascii="仿宋_GB2312" w:hint="eastAsia"/>
          <w:b/>
          <w:bCs/>
        </w:rPr>
        <w:t>6.3.1 健全标准体系，明确“双师”成长路径</w:t>
      </w:r>
    </w:p>
    <w:p>
      <w:pPr>
        <w:pStyle w:val="15"/>
        <w:rPr>
          <w:rFonts w:ascii="仿宋_GB2312"/>
        </w:rPr>
      </w:pPr>
      <w:r>
        <w:rPr>
          <w:rFonts w:ascii="仿宋_GB2312" w:hint="eastAsia"/>
        </w:rPr>
        <w:t>各学校以国家和省级标准为指引，普遍制定了校本化的“双师型”教师认定标准与中长期培养规划。标准不仅关注教师的学历、职称和教师资格，更强调其行业企业工作经历、职业资格证书获取情况、参与企业技术研发或工程实践项目成果、指导学生实习实训和技能大赛成绩等。培养规划则为每位专业教师制定了个性化的企业实践和技能提升计划，明确了“新教师-合格教师-骨干教师-专业带头人”的成长路径中必须积累的企业实践时长与成果要求。</w:t>
      </w:r>
    </w:p>
    <w:p>
      <w:pPr>
        <w:pStyle w:val="15"/>
        <w:rPr>
          <w:rFonts w:ascii="仿宋_GB2312"/>
          <w:b/>
          <w:bCs/>
        </w:rPr>
      </w:pPr>
      <w:r>
        <w:rPr>
          <w:rFonts w:ascii="仿宋_GB2312" w:hint="eastAsia"/>
          <w:b/>
          <w:bCs/>
        </w:rPr>
        <w:t>6.3.2 深化双向流动，促进理论与实践融合</w:t>
      </w:r>
    </w:p>
    <w:p>
      <w:pPr>
        <w:pStyle w:val="15"/>
        <w:rPr>
          <w:rFonts w:ascii="仿宋_GB2312"/>
        </w:rPr>
      </w:pPr>
      <w:r>
        <w:rPr>
          <w:rFonts w:ascii="仿宋_GB2312" w:hint="eastAsia"/>
          <w:b/>
          <w:bCs/>
        </w:rPr>
        <w:t>一方面，强力推进专业教师定期到企业实践锻炼。</w:t>
      </w:r>
      <w:r>
        <w:rPr>
          <w:rFonts w:ascii="仿宋_GB2312" w:hint="eastAsia"/>
        </w:rPr>
        <w:t>各校制定了详细的教师企业实践管理办法，要求专业教师每5年必须累计不少于6个月的企业实践经历。实践形式从早期的参观考察，全面升级为“访问工程师”“技术岗位顶岗”“参与项目研发”“技能研修”等深度融入式实践。教师在实践中了解新技术、新工艺、新规范，收集教学案例，甚至参与解决技术难题，反哺教学</w:t>
      </w:r>
      <w:r>
        <w:rPr>
          <w:rFonts w:ascii="仿宋_GB2312" w:hint="eastAsia"/>
          <w:b/>
          <w:bCs/>
        </w:rPr>
        <w:t>。另一方面，大力引聘企业高技能人才进校园。</w:t>
      </w:r>
      <w:r>
        <w:rPr>
          <w:rFonts w:ascii="仿宋_GB2312" w:hint="eastAsia"/>
        </w:rPr>
        <w:t>通过设立“兼职教师”“产业导师”“技能大师”等岗位，以柔性引进方式，聘请企业技术骨干、能工巧匠、管理精英到校兼职任教、指导实训、参与教研。</w:t>
      </w:r>
    </w:p>
    <w:p>
      <w:pPr>
        <w:pStyle w:val="15"/>
        <w:rPr>
          <w:rFonts w:ascii="仿宋_GB2312"/>
          <w:b/>
          <w:bCs/>
        </w:rPr>
      </w:pPr>
      <w:r>
        <w:rPr>
          <w:rFonts w:ascii="仿宋_GB2312" w:hint="eastAsia"/>
          <w:b/>
          <w:bCs/>
        </w:rPr>
        <w:t>6.3.3 共建培育平台，提供协同发展支撑</w:t>
      </w:r>
    </w:p>
    <w:p>
      <w:pPr>
        <w:pStyle w:val="15"/>
        <w:rPr>
          <w:rFonts w:ascii="仿宋_GB2312"/>
        </w:rPr>
      </w:pPr>
      <w:r>
        <w:rPr>
          <w:rFonts w:ascii="仿宋_GB2312" w:hint="eastAsia"/>
        </w:rPr>
        <w:t>为固化双向流动成果，提供持续发展平台，各校与合作企业共建了一批“双师工作室”、“教师企业实践基地”、“技术技能创新平台”。教师和企业工程师在这些平台上共同研究解决企业实际技术问题，共同开发教学资源和实训项目，将研发过程转化为教学过程，将技术成果转化为教学成果。</w:t>
      </w:r>
    </w:p>
    <w:p>
      <w:pPr>
        <w:pStyle w:val="15"/>
        <w:rPr>
          <w:rFonts w:ascii="仿宋_GB2312"/>
          <w:b/>
          <w:bCs/>
        </w:rPr>
      </w:pPr>
      <w:r>
        <w:rPr>
          <w:rFonts w:ascii="仿宋_GB2312" w:hint="eastAsia"/>
          <w:b/>
          <w:bCs/>
        </w:rPr>
        <w:t>6.3.4 强化激励保障，激发教师内生动力</w:t>
      </w:r>
    </w:p>
    <w:p>
      <w:pPr>
        <w:pStyle w:val="15"/>
        <w:rPr>
          <w:rFonts w:ascii="仿宋_GB2312"/>
        </w:rPr>
      </w:pPr>
      <w:r>
        <w:rPr>
          <w:rFonts w:ascii="仿宋_GB2312" w:hint="eastAsia"/>
        </w:rPr>
        <w:t>为激发教师参与企业实践、提升“双师”素质的积极性，各校在职称评审、岗位聘任、绩效考核、评优评先等制度中，将企业实践经历、取得的相关职业资格证书、参与技术服务的成果、带徒传艺的成效等作为重要依据，甚至设立优先条件或破格条件。同时，设立专项经费，对深入企业实践并取得显著成果的教师给予补贴和奖励；对聘请的企业兼职教师支付合理报酬，并授予荣誉。</w:t>
      </w:r>
    </w:p>
    <w:p>
      <w:pPr>
        <w:pStyle w:val="15"/>
        <w:rPr>
          <w:rFonts w:ascii="仿宋_GB2312"/>
        </w:rPr>
      </w:pPr>
      <w:r>
        <w:rPr>
          <w:rFonts w:ascii="仿宋_GB2312" w:hint="eastAsia"/>
        </w:rPr>
        <w:t>通过体系化推进“双师共培”，全市职业教育师资队伍结构显著优化，能力素质全面提升。截至2025年底，全市中等职业学校“双师型”教师占专业教师比例达到</w:t>
      </w:r>
      <w:r>
        <w:rPr>
          <w:rFonts w:ascii="仿宋_GB2312"/>
          <w:color w:val="FF0000"/>
        </w:rPr>
        <w:t>53.2</w:t>
      </w:r>
      <w:r>
        <w:rPr>
          <w:rFonts w:ascii="仿宋_GB2312" w:hint="eastAsia"/>
        </w:rPr>
        <w:t>%，较2024年（27.94%）大幅提升</w:t>
      </w:r>
      <w:r>
        <w:rPr>
          <w:rFonts w:ascii="仿宋_GB2312"/>
          <w:color w:val="FF0000"/>
        </w:rPr>
        <w:t>25.26</w:t>
      </w:r>
      <w:r>
        <w:rPr>
          <w:rFonts w:ascii="仿宋_GB2312" w:hint="eastAsia"/>
        </w:rPr>
        <w:t>个百分点。一支结构合理、技艺精湛、专兼结合、充满活力的“双师型”教师队伍正在加速成长壮大，成为推动永州市职业教育高质量发展的中坚力量。</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118" w:name="_Toc218688705"/>
            <w:r>
              <w:rPr>
                <w:rFonts w:ascii="仿宋_GB2312" w:cs="仿宋_GB2312" w:hint="eastAsia"/>
                <w:b/>
                <w:bCs/>
                <w:color w:val="FFFFFF"/>
                <w:sz w:val="32"/>
                <w:szCs w:val="32"/>
              </w:rPr>
              <w:t>案例</w:t>
            </w:r>
            <w:r>
              <w:rPr>
                <w:rFonts w:ascii="仿宋_GB2312" w:cs="仿宋_GB2312"/>
                <w:b/>
                <w:bCs/>
                <w:color w:val="FFFFFF"/>
                <w:sz w:val="32"/>
                <w:szCs w:val="32"/>
              </w:rPr>
              <w:t>6-</w:t>
            </w:r>
            <w:r>
              <w:rPr>
                <w:rFonts w:ascii="仿宋_GB2312" w:cs="仿宋_GB2312" w:hint="eastAsia"/>
                <w:b/>
                <w:bCs/>
                <w:color w:val="FFFFFF"/>
                <w:sz w:val="32"/>
                <w:szCs w:val="32"/>
              </w:rPr>
              <w:t>3</w:t>
            </w:r>
            <w:r>
              <w:rPr>
                <w:rFonts w:ascii="仿宋_GB2312" w:cs="仿宋_GB2312"/>
                <w:b/>
                <w:bCs/>
                <w:color w:val="FFFFFF"/>
                <w:sz w:val="32"/>
                <w:szCs w:val="32"/>
              </w:rPr>
              <w:t>：</w:t>
            </w:r>
            <w:r>
              <w:rPr>
                <w:rFonts w:ascii="仿宋_GB2312" w:cs="仿宋_GB2312" w:hint="eastAsia"/>
                <w:b/>
                <w:bCs/>
                <w:color w:val="FFFFFF"/>
                <w:sz w:val="32"/>
                <w:szCs w:val="32"/>
              </w:rPr>
              <w:t>新田职中：制度保障下的双向挂职与“双导师”团队建设</w:t>
            </w:r>
            <w:bookmarkEnd w:id="118"/>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该校为确保双师共培的规范与长效，专门制定了《湖南省新田县职业中专双导师管理办法》。该办法明确规定了学校专业教师下企业实践和企业技术骨干来校任教的选拔标准、职责权利、考核办法及激励措施。依据办法，</w:t>
            </w:r>
            <w:r>
              <w:rPr>
                <w:rFonts w:ascii="宋体" w:eastAsia="宋体" w:cs="仿宋_GB2312"/>
                <w:color w:val="0F1115"/>
                <w:sz w:val="28"/>
                <w:szCs w:val="28"/>
              </w:rPr>
              <w:t>2025年7月，该校系统组织了电子、电商、机加工等7个专业共计33名教师，分赴对口的合作企业进行为期不少于1个月的脱产实践锻炼，实践任务具体，考核目标明确。同期，该校依据办法规定的标准和程序，从深度合作企业永州市群翰科技有限公司正式聘请了3名经验丰富、表达能力强的一线技术骨干担任学校的“企业导师”，承担特定实训模块的</w:t>
            </w:r>
            <w:r>
              <w:rPr>
                <w:rFonts w:ascii="宋体" w:eastAsia="宋体" w:cs="仿宋_GB2312" w:hint="eastAsia"/>
                <w:color w:val="0F1115"/>
                <w:sz w:val="28"/>
                <w:szCs w:val="28"/>
              </w:rPr>
              <w:t>教学任务，并参与相关专业教研活动。</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管理办法》的出台，使双师互聘从临时性安排转变为常态化、制度化的工作。教师下企业实践有了“任务书”和“考核表”，目标明确，收获实在。企业导师的聘任规范、权责清晰，增强了他们的归属感和责任感。这种“制度</w:t>
            </w:r>
            <w:r>
              <w:rPr>
                <w:rFonts w:ascii="宋体" w:eastAsia="宋体" w:cs="仿宋_GB2312"/>
                <w:color w:val="0F1115"/>
                <w:sz w:val="28"/>
                <w:szCs w:val="28"/>
              </w:rPr>
              <w:t>+执行”的模式，快速打造出一支稳定的“双导师”教学团队，确保了理论与实践教学的有效结合，为学生提供了来自产业最前沿的“双视角”指导。</w:t>
            </w:r>
          </w:p>
        </w:tc>
      </w:tr>
    </w:tbl>
    <w:p>
      <w:pPr>
        <w:pStyle w:val="2"/>
        <w:spacing w:before="0" w:after="0" w:line="560" w:lineRule="exact"/>
        <w:ind w:firstLineChars="200" w:firstLine="640"/>
        <w:rPr>
          <w:rFonts w:ascii="楷体" w:eastAsia="楷体"/>
          <w:shd w:val="clear" w:color="auto" w:fill="FFFFFF"/>
        </w:rPr>
      </w:pPr>
      <w:bookmarkStart w:id="119" w:name="_Toc218688941"/>
      <w:r>
        <w:rPr>
          <w:rFonts w:ascii="楷体" w:eastAsia="楷体" w:hint="eastAsia"/>
          <w:shd w:val="clear" w:color="auto" w:fill="FFFFFF"/>
        </w:rPr>
        <w:t>6.4 集团化办学：积极探索资源共享与集约发展的有效路径</w:t>
      </w:r>
      <w:bookmarkEnd w:id="119"/>
    </w:p>
    <w:p>
      <w:pPr>
        <w:pStyle w:val="15"/>
        <w:rPr>
          <w:rFonts w:ascii="仿宋_GB2312"/>
        </w:rPr>
      </w:pPr>
      <w:r>
        <w:rPr>
          <w:rFonts w:ascii="仿宋_GB2312" w:hint="eastAsia"/>
        </w:rPr>
        <w:t>全市积极鼓励、引导和支持多元主体组建跨区域、跨行业、跨学校的职业教育集团（联盟），将集团化办学作为整合资源、集约发展、提升整体竞争力的战略性举措。通过多年的实践探索，目前已形成形态多样、各具特色、运转有效的集团化办学格局，有效打破了学校、企业、行业、区域之间的壁垒，实现了资源的优化配置与高效利用，放大了职业教育的整体效能。</w:t>
      </w:r>
    </w:p>
    <w:p>
      <w:pPr>
        <w:pStyle w:val="15"/>
        <w:rPr>
          <w:rFonts w:ascii="仿宋_GB2312"/>
          <w:b/>
          <w:bCs/>
        </w:rPr>
      </w:pPr>
      <w:r>
        <w:rPr>
          <w:rFonts w:ascii="仿宋_GB2312" w:hint="eastAsia"/>
          <w:b/>
          <w:bCs/>
        </w:rPr>
        <w:t>6.4.1 市域大型联盟：打造服务区域经济的“航母舰队”</w:t>
      </w:r>
    </w:p>
    <w:p>
      <w:pPr>
        <w:pStyle w:val="15"/>
        <w:rPr>
          <w:rFonts w:ascii="仿宋_GB2312"/>
        </w:rPr>
      </w:pPr>
      <w:r>
        <w:rPr>
          <w:rFonts w:ascii="仿宋_GB2312" w:hint="eastAsia"/>
        </w:rPr>
        <w:t>在市域层面，围绕全市产业发展战略，组建了由龙头职业院校牵头，联合相关职业院校、本科高校、行业协会、科研院所和大量骨干企业共同参与的实体化运作的职业教育集团。集团作为信息枢纽和资源平台，精准对接永州市经开区、零陵区产业园等重点园区的人才与技术需求，形成了服务地方经济的强大合力。</w:t>
      </w:r>
    </w:p>
    <w:p>
      <w:pPr>
        <w:pStyle w:val="15"/>
        <w:rPr>
          <w:rFonts w:ascii="仿宋_GB2312"/>
          <w:b/>
          <w:bCs/>
        </w:rPr>
      </w:pPr>
      <w:r>
        <w:rPr>
          <w:rFonts w:ascii="仿宋_GB2312" w:hint="eastAsia"/>
          <w:b/>
          <w:bCs/>
        </w:rPr>
        <w:t>6.4.2 县域校际联合体：促进区域内中职学校“抱团发展”</w:t>
      </w:r>
    </w:p>
    <w:p>
      <w:pPr>
        <w:pStyle w:val="15"/>
        <w:rPr>
          <w:rFonts w:ascii="仿宋_GB2312"/>
        </w:rPr>
      </w:pPr>
      <w:r>
        <w:rPr>
          <w:rFonts w:ascii="仿宋_GB2312" w:hint="eastAsia"/>
        </w:rPr>
        <w:t>在县域层面，针对县级中职学校普遍存在的规模小、资源少、师资弱等问题，形成了以一所优质中职学校为核心，联合本县或邻近县多所中职学校组建的“校际联合体”。宁远县职业中专牵头，联合永州工贸、江华职中、蓝山职中等5所学校成立的“六校联合体”是典型代表。联合体不改变各校的隶属关系和产权，以“资源共享、优势互补、协同发展”为原则，主要在教学领域开展深度合作，有效促进了县域内中职学校教学质量的整体提升和均衡发展，避免了低水平重复建设和恶性生源竞争，实现了“1+1&gt;2”的聚合效应。</w:t>
      </w:r>
    </w:p>
    <w:p>
      <w:pPr>
        <w:pStyle w:val="15"/>
        <w:rPr>
          <w:rFonts w:ascii="仿宋_GB2312"/>
          <w:b/>
          <w:bCs/>
        </w:rPr>
      </w:pPr>
      <w:r>
        <w:rPr>
          <w:rFonts w:ascii="仿宋_GB2312" w:hint="eastAsia"/>
          <w:b/>
          <w:bCs/>
        </w:rPr>
        <w:t>6.4.3 特色专业集群：实现产业链与专业链精准对接</w:t>
      </w:r>
    </w:p>
    <w:p>
      <w:pPr>
        <w:pStyle w:val="15"/>
        <w:rPr>
          <w:rFonts w:ascii="仿宋_GB2312"/>
        </w:rPr>
      </w:pPr>
      <w:r>
        <w:rPr>
          <w:rFonts w:ascii="仿宋_GB2312" w:hint="eastAsia"/>
        </w:rPr>
        <w:t>围绕区域特色优势产业或战略性新兴产业集群，由开设相关专业的职业院校联合产业链上的龙头企业、相关行业协会，组建“特色专业集群”或产教融合共同体。这些专业集群的特点是将人才培养与特定的产业板块深度绑定，实现了“专业群”与“产业链”的高度契合，人才培养的针对性和有效性极强，毕业生能够快速在集群内企业实现高质量就业，有力地支撑了特色产业集群的发展。</w:t>
      </w:r>
    </w:p>
    <w:p>
      <w:pPr>
        <w:pStyle w:val="15"/>
        <w:rPr>
          <w:rFonts w:ascii="仿宋_GB2312"/>
          <w:b/>
          <w:bCs/>
        </w:rPr>
      </w:pPr>
      <w:r>
        <w:rPr>
          <w:rFonts w:ascii="仿宋_GB2312" w:hint="eastAsia"/>
          <w:b/>
          <w:bCs/>
        </w:rPr>
        <w:t>6.4.4 跨区域行业联盟：链接优质资源拓展发展空间</w:t>
      </w:r>
    </w:p>
    <w:p>
      <w:pPr>
        <w:pStyle w:val="15"/>
        <w:rPr>
          <w:rFonts w:ascii="仿宋_GB2312"/>
        </w:rPr>
      </w:pPr>
      <w:r>
        <w:rPr>
          <w:rFonts w:ascii="仿宋_GB2312" w:hint="eastAsia"/>
        </w:rPr>
        <w:t>部分学校积极加入全国性或区域性的行业性职教集团或产教融合联盟，以获取更前沿的行业信息、技术标准和优质资源。通过参与这些高层次联盟，学校能够链接全国范围内的龙头企业、标杆院校和科研机构，引入先进的办学理念、课程资源和认证体系，开展师资交流和学生交换，提升了学校的办学视野和影响力。这种“走出去”的联盟参与，打破了地域限制，为本地职业教育注入了新的活力和发展动能。</w:t>
      </w:r>
    </w:p>
    <w:p>
      <w:pPr>
        <w:pStyle w:val="15"/>
        <w:rPr>
          <w:rFonts w:ascii="仿宋_GB2312"/>
        </w:rPr>
      </w:pPr>
      <w:r>
        <w:rPr>
          <w:rFonts w:ascii="仿宋_GB2312" w:hint="eastAsia"/>
        </w:rPr>
        <w:t>据统计，2025年，通过共建共享机制，各中职学校开展跨校教学研讨活动100余场，统一核心课程标准20余门，共建共享实训基地30余个，协同开展社会培训年均超2万人次。</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120" w:name="_Toc218688706"/>
            <w:r>
              <w:rPr>
                <w:rFonts w:ascii="仿宋_GB2312" w:cs="仿宋_GB2312" w:hint="eastAsia"/>
                <w:b/>
                <w:bCs/>
                <w:color w:val="FFFFFF"/>
                <w:sz w:val="32"/>
                <w:szCs w:val="32"/>
              </w:rPr>
              <w:t>案例</w:t>
            </w:r>
            <w:r>
              <w:rPr>
                <w:rFonts w:ascii="仿宋_GB2312" w:cs="仿宋_GB2312"/>
                <w:b/>
                <w:bCs/>
                <w:color w:val="FFFFFF"/>
                <w:sz w:val="32"/>
                <w:szCs w:val="32"/>
              </w:rPr>
              <w:t>6-</w:t>
            </w:r>
            <w:r>
              <w:rPr>
                <w:rFonts w:ascii="仿宋_GB2312" w:cs="仿宋_GB2312" w:hint="eastAsia"/>
                <w:b/>
                <w:bCs/>
                <w:color w:val="FFFFFF"/>
                <w:sz w:val="32"/>
                <w:szCs w:val="32"/>
              </w:rPr>
              <w:t>4</w:t>
            </w:r>
            <w:r>
              <w:rPr>
                <w:rFonts w:ascii="仿宋_GB2312" w:cs="仿宋_GB2312"/>
                <w:b/>
                <w:bCs/>
                <w:color w:val="FFFFFF"/>
                <w:sz w:val="32"/>
                <w:szCs w:val="32"/>
              </w:rPr>
              <w:t>：</w:t>
            </w:r>
            <w:r>
              <w:rPr>
                <w:rFonts w:ascii="仿宋_GB2312" w:cs="仿宋_GB2312" w:hint="eastAsia"/>
                <w:b/>
                <w:bCs/>
                <w:color w:val="FFFFFF"/>
                <w:sz w:val="32"/>
                <w:szCs w:val="32"/>
              </w:rPr>
              <w:t>永州打造市域产教融合资源集聚与服务平台</w:t>
            </w:r>
            <w:bookmarkEnd w:id="120"/>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在市政府及教育主管部门统筹下，以永州职业技术学院为龙头，联合潇湘技师学院、永州市工商职业中专等优质院校，以及</w:t>
            </w:r>
            <w:r>
              <w:rPr>
                <w:rFonts w:ascii="宋体" w:eastAsia="宋体" w:cs="仿宋_GB2312"/>
                <w:color w:val="0F1115"/>
                <w:sz w:val="28"/>
                <w:szCs w:val="28"/>
              </w:rPr>
              <w:t>30余家区域内大中型骨干企业、科研院所、行业协会，共同组建实体化运作的“永州市职业教育集团”。集团设立秘书处负责日常协调，并下设“人才培养工作委员会”、“技术创新服务委员会”等分支。集团的核心功能是搭建平台：一是“信息对接平台”，定期发布企业人才需求与学校资源供给信息；二是“资源共建平台”，统筹协调成员单位共建共享大型实训基地、培训中心；三是“项目协作平台”，组织学校联合为企业提供技术培训、员工技能提</w:t>
            </w:r>
            <w:r>
              <w:rPr>
                <w:rFonts w:ascii="宋体" w:eastAsia="宋体" w:cs="仿宋_GB2312" w:hint="eastAsia"/>
                <w:color w:val="0F1115"/>
                <w:sz w:val="28"/>
                <w:szCs w:val="28"/>
              </w:rPr>
              <w:t>升等服务。例如，集团秘书处根据永州经开区、零陵区产业园的用工需求，统一组织成员学校开展“订单式”技能培训。</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集团有效整合了分散的职教资源，形成了服务地方经济的“拳头”力量。</w:t>
            </w:r>
            <w:r>
              <w:rPr>
                <w:rFonts w:ascii="宋体" w:eastAsia="宋体" w:cs="仿宋_GB2312"/>
                <w:color w:val="0F1115"/>
                <w:sz w:val="28"/>
                <w:szCs w:val="28"/>
              </w:rPr>
              <w:t>2025年，集团累计为两大重点产业园区开展各类员工技能培训超过3000人次，有效提升了企业员工的整体素质。成员学校通过集团平台，获得了更稳定的企业合作渠道和更丰富的实践教学资源。该集团已成为连接地方产业与职业教育的主枢纽，彰显了集群化、组织化办学的巨大优势。</w:t>
            </w:r>
          </w:p>
        </w:tc>
      </w:tr>
    </w:tbl>
    <w:p>
      <w:pPr>
        <w:pStyle w:val="2"/>
        <w:spacing w:before="0" w:after="0" w:line="560" w:lineRule="exact"/>
        <w:ind w:firstLineChars="200" w:firstLine="640"/>
        <w:rPr>
          <w:rFonts w:ascii="楷体" w:eastAsia="楷体"/>
          <w:shd w:val="clear" w:color="auto" w:fill="FFFFFF"/>
        </w:rPr>
      </w:pPr>
      <w:bookmarkStart w:id="121" w:name="_Toc218688942"/>
      <w:r>
        <w:rPr>
          <w:rFonts w:ascii="楷体" w:eastAsia="楷体" w:hint="eastAsia"/>
          <w:shd w:val="clear" w:color="auto" w:fill="FFFFFF"/>
        </w:rPr>
        <w:t>6.5 校企订单培养：精准对接市场需求实现定向输送</w:t>
      </w:r>
      <w:bookmarkEnd w:id="121"/>
    </w:p>
    <w:p>
      <w:pPr>
        <w:pStyle w:val="15"/>
        <w:rPr>
          <w:rFonts w:ascii="仿宋_GB2312"/>
        </w:rPr>
      </w:pPr>
      <w:r>
        <w:rPr>
          <w:rFonts w:ascii="仿宋_GB2312" w:hint="eastAsia"/>
        </w:rPr>
        <w:t>订单培养是产教融合中最直接、最深入、最富成效的合作形式之一，是全市职业教育实现人才精准供给、高质量就业和稳定服务地方产业的“金字招牌”。该模式以企业具体岗位需求为出发点，以学校人才培养能力为基础，通过签订定向协议，共同开设“冠名班”，为企业“量身定制”高素质技术技能人才，实现了“招生即招工、入校即入企、毕业即上岗”的无缝衔接，有效破解了企业“用工难”与学生“就业难”的结构性矛盾。</w:t>
      </w:r>
    </w:p>
    <w:p>
      <w:pPr>
        <w:pStyle w:val="15"/>
        <w:rPr>
          <w:rFonts w:ascii="仿宋_GB2312"/>
          <w:b/>
          <w:bCs/>
        </w:rPr>
      </w:pPr>
      <w:r>
        <w:rPr>
          <w:rFonts w:ascii="仿宋_GB2312" w:hint="eastAsia"/>
          <w:b/>
          <w:bCs/>
        </w:rPr>
        <w:t>6.5.1 精准需求对接，定制个性化培养方案</w:t>
      </w:r>
    </w:p>
    <w:p>
      <w:pPr>
        <w:pStyle w:val="15"/>
        <w:rPr>
          <w:rFonts w:ascii="仿宋_GB2312"/>
        </w:rPr>
      </w:pPr>
      <w:r>
        <w:rPr>
          <w:rFonts w:ascii="仿宋_GB2312" w:hint="eastAsia"/>
        </w:rPr>
        <w:t>学校与合作企业的人力资源部门、生产部门、技术部门深入对接，共同分析目标岗位（群）所需的知识、技能和素养要求，共同确定订单班的培养目标、规格和规模。在此基础上，校企双方组建联合教研室，共同研制个性化的人才培养方案</w:t>
      </w:r>
    </w:p>
    <w:p>
      <w:pPr>
        <w:pStyle w:val="15"/>
        <w:rPr>
          <w:rFonts w:ascii="仿宋_GB2312"/>
          <w:b/>
          <w:bCs/>
        </w:rPr>
      </w:pPr>
      <w:r>
        <w:rPr>
          <w:rFonts w:ascii="仿宋_GB2312" w:hint="eastAsia"/>
          <w:b/>
          <w:bCs/>
        </w:rPr>
        <w:t>6.5.2 双主体协同教学，企业深度参与全过程</w:t>
      </w:r>
    </w:p>
    <w:p>
      <w:pPr>
        <w:pStyle w:val="15"/>
        <w:rPr>
          <w:rFonts w:ascii="仿宋_GB2312"/>
        </w:rPr>
      </w:pPr>
      <w:r>
        <w:rPr>
          <w:rFonts w:ascii="仿宋_GB2312" w:hint="eastAsia"/>
          <w:b/>
          <w:bCs/>
        </w:rPr>
        <w:t>在教学中，</w:t>
      </w:r>
      <w:r>
        <w:rPr>
          <w:rFonts w:ascii="仿宋_GB2312" w:hint="eastAsia"/>
        </w:rPr>
        <w:t>企业派遣技术骨干、管理精英组建“企业导师团”，承担相当比例的专业核心课程和全部综合实训课程的教学任务。企业导师将最新的技术、真实的案例、企业的文化带进课堂。</w:t>
      </w:r>
      <w:r>
        <w:rPr>
          <w:rFonts w:ascii="仿宋_GB2312" w:hint="eastAsia"/>
          <w:b/>
          <w:bCs/>
        </w:rPr>
        <w:t>在管理中，</w:t>
      </w:r>
      <w:r>
        <w:rPr>
          <w:rFonts w:ascii="仿宋_GB2312" w:hint="eastAsia"/>
        </w:rPr>
        <w:t>企业参与订单班学生的选拔、过程性考核与综合评价。</w:t>
      </w:r>
      <w:r>
        <w:rPr>
          <w:rFonts w:ascii="仿宋_GB2312" w:hint="eastAsia"/>
          <w:b/>
          <w:bCs/>
        </w:rPr>
        <w:t>在资源上，</w:t>
      </w:r>
      <w:r>
        <w:rPr>
          <w:rFonts w:ascii="仿宋_GB2312" w:hint="eastAsia"/>
        </w:rPr>
        <w:t>企业开放生产车间、研发中心作为订单班的校外教学基地，提供真实的工作场景和项目任务。</w:t>
      </w:r>
    </w:p>
    <w:p>
      <w:pPr>
        <w:pStyle w:val="15"/>
        <w:rPr>
          <w:rFonts w:ascii="仿宋_GB2312"/>
          <w:b/>
          <w:bCs/>
        </w:rPr>
      </w:pPr>
      <w:r>
        <w:rPr>
          <w:rFonts w:ascii="仿宋_GB2312" w:hint="eastAsia"/>
          <w:b/>
          <w:bCs/>
        </w:rPr>
        <w:t>6.5.3 过程共管与评价，保障人才培养质量</w:t>
      </w:r>
    </w:p>
    <w:p>
      <w:pPr>
        <w:pStyle w:val="15"/>
        <w:rPr>
          <w:rFonts w:ascii="仿宋_GB2312"/>
        </w:rPr>
      </w:pPr>
      <w:r>
        <w:rPr>
          <w:rFonts w:ascii="仿宋_GB2312" w:hint="eastAsia"/>
        </w:rPr>
        <w:t>校企双方共同制定学生的学习评价标准，将企业的岗位绩效考核理念引入学业评价。评价不仅关注理论考试成绩，更重视项目完成质量、技能操作水平、职业行为规范和企业实习表现。实行“过程性考核”与“终结性考核”相结合，企业导师的评价权重占重要比例。学生在企业实习期间，校企双方指导教师共同填写《实习周志》和《考核表》，共同评定实习成绩</w:t>
      </w:r>
    </w:p>
    <w:p>
      <w:pPr>
        <w:pStyle w:val="15"/>
        <w:rPr>
          <w:rFonts w:ascii="仿宋_GB2312"/>
          <w:b/>
          <w:bCs/>
        </w:rPr>
      </w:pPr>
      <w:r>
        <w:rPr>
          <w:rFonts w:ascii="仿宋_GB2312" w:hint="eastAsia"/>
          <w:b/>
          <w:bCs/>
        </w:rPr>
        <w:t>6.5.4 就业保障与跟踪，实现三方共赢闭环</w:t>
      </w:r>
    </w:p>
    <w:p>
      <w:pPr>
        <w:pStyle w:val="15"/>
        <w:rPr>
          <w:rFonts w:ascii="仿宋_GB2312"/>
        </w:rPr>
      </w:pPr>
      <w:r>
        <w:rPr>
          <w:rFonts w:ascii="仿宋_GB2312" w:hint="eastAsia"/>
        </w:rPr>
        <w:t>订单培养的最终环节是畅通的就业保障。协议明确约定，订单班学生完成学业并经校企双方考核合格后，将直接进入协议企业就业，通常免去试用期或缩短试用期。这种“定向输送”极大提高了就业的稳定性和满意度。</w:t>
      </w:r>
    </w:p>
    <w:p>
      <w:pPr>
        <w:pStyle w:val="15"/>
        <w:rPr>
          <w:rFonts w:ascii="仿宋_GB2312"/>
        </w:rPr>
      </w:pPr>
      <w:r>
        <w:rPr>
          <w:rFonts w:ascii="仿宋_GB2312" w:hint="eastAsia"/>
        </w:rPr>
        <w:t>据统计，2025年，全市中职学校开设的各类订单班、冠名班总数超过110个，覆盖在校生近5500人。订单培养学生年度就业率与专业对口率接近100%，用人单位满意度超97%。</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122" w:name="_Toc218688707"/>
            <w:r>
              <w:rPr>
                <w:rFonts w:ascii="仿宋_GB2312" w:cs="仿宋_GB2312" w:hint="eastAsia"/>
                <w:b/>
                <w:bCs/>
                <w:color w:val="FFFFFF"/>
                <w:sz w:val="32"/>
                <w:szCs w:val="32"/>
              </w:rPr>
              <w:t>案例</w:t>
            </w:r>
            <w:r>
              <w:rPr>
                <w:rFonts w:ascii="仿宋_GB2312" w:cs="仿宋_GB2312"/>
                <w:b/>
                <w:bCs/>
                <w:color w:val="FFFFFF"/>
                <w:sz w:val="32"/>
                <w:szCs w:val="32"/>
              </w:rPr>
              <w:t>6-</w:t>
            </w:r>
            <w:r>
              <w:rPr>
                <w:rFonts w:ascii="仿宋_GB2312" w:cs="仿宋_GB2312" w:hint="eastAsia"/>
                <w:b/>
                <w:bCs/>
                <w:color w:val="FFFFFF"/>
                <w:sz w:val="32"/>
                <w:szCs w:val="32"/>
              </w:rPr>
              <w:t>5</w:t>
            </w:r>
            <w:r>
              <w:rPr>
                <w:rFonts w:ascii="仿宋_GB2312" w:cs="仿宋_GB2312"/>
                <w:b/>
                <w:bCs/>
                <w:color w:val="FFFFFF"/>
                <w:sz w:val="32"/>
                <w:szCs w:val="32"/>
              </w:rPr>
              <w:t>：</w:t>
            </w:r>
            <w:r>
              <w:rPr>
                <w:rFonts w:ascii="仿宋_GB2312" w:cs="仿宋_GB2312" w:hint="eastAsia"/>
                <w:b/>
                <w:bCs/>
                <w:color w:val="FFFFFF"/>
                <w:sz w:val="32"/>
                <w:szCs w:val="32"/>
              </w:rPr>
              <w:t>永州工商职中“东兆班”深度定制化培养</w:t>
            </w:r>
            <w:bookmarkEnd w:id="122"/>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永州工商职中与湖南东兆电子科技有限公司共建“东兆班”，合作不限于冠名。首先，双方成立联合教研室，基于企业</w:t>
            </w:r>
            <w:r>
              <w:rPr>
                <w:rFonts w:ascii="宋体" w:eastAsia="宋体" w:cs="仿宋_GB2312"/>
                <w:color w:val="0F1115"/>
                <w:sz w:val="28"/>
                <w:szCs w:val="28"/>
              </w:rPr>
              <w:t>SMT、智能检测等核心岗位的能力模型，重构了电子信息类专业课程体系，将企业技术标准、生产工艺、质量管理规范直接编入校本教材。其次，企业派遣3-5名资深工程师组成“驻校导师团”，常驻学校，不仅讲授专业核心课，更全程负责该班学生的项目实训指导。再次，教学采用“工学交替”模式，学生每学期安排不少于2周时间进入东兆公司生产一线，在真实岗位上轮岗实践。最后，企业全程参与学生的过程性考核，考核合格者毕业时直接录用为技术员。</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东兆班”实现了人才培养的“全流程企业化”。学生从入学起就清晰认知未来职业路径，学习目标明确，动力十足。企业的深度介入确保了学生技能与岗位要求的“零差距”。该班毕业生因“上手快、适应性强、技术扎实”，备受企业好评，已成为公司基层技术骨干的主要来源。这种深度定制的订单班，已成为该校吸引优质生源、企业储备核心人才的成功范式。</w:t>
            </w:r>
          </w:p>
        </w:tc>
      </w:tr>
    </w:tbl>
    <w:p>
      <w:pPr>
        <w:pStyle w:val="2"/>
        <w:spacing w:before="0" w:after="0" w:line="560" w:lineRule="exact"/>
        <w:ind w:firstLineChars="200" w:firstLine="640"/>
        <w:rPr>
          <w:rFonts w:ascii="楷体" w:eastAsia="楷体"/>
          <w:shd w:val="clear" w:color="auto" w:fill="FFFFFF"/>
        </w:rPr>
      </w:pPr>
      <w:bookmarkStart w:id="123" w:name="_Toc218688943"/>
      <w:r>
        <w:rPr>
          <w:rFonts w:ascii="楷体" w:eastAsia="楷体" w:hint="eastAsia"/>
          <w:shd w:val="clear" w:color="auto" w:fill="FFFFFF"/>
        </w:rPr>
        <w:t>6.6 校企协同育人：全面深化教育教学过程融合</w:t>
      </w:r>
      <w:bookmarkEnd w:id="123"/>
    </w:p>
    <w:p>
      <w:pPr>
        <w:pStyle w:val="15"/>
        <w:rPr>
          <w:rFonts w:ascii="仿宋_GB2312"/>
        </w:rPr>
      </w:pPr>
      <w:r>
        <w:rPr>
          <w:rFonts w:ascii="仿宋_GB2312" w:hint="eastAsia"/>
        </w:rPr>
        <w:t>全市以国家大力推行的现代学徒制和企业新型学徒制为主要抓手和实现形式，全面推动企业深度融入人才培养的肌体与血脉，构建了“双重身份、双元场所、双导师制、双标准评价”的协同育人新模式，彻底打破了传统学校教育与工作世界之间的壁垒，使人才培养过程与真实生产流程实现有机统一。</w:t>
      </w:r>
    </w:p>
    <w:p>
      <w:pPr>
        <w:pStyle w:val="15"/>
        <w:rPr>
          <w:rFonts w:ascii="仿宋_GB2312"/>
          <w:b/>
          <w:bCs/>
        </w:rPr>
      </w:pPr>
      <w:r>
        <w:rPr>
          <w:rFonts w:ascii="仿宋_GB2312" w:hint="eastAsia"/>
          <w:b/>
          <w:bCs/>
        </w:rPr>
        <w:t>6.6.1 身份与场所双元：构建工学交替的学习生态</w:t>
      </w:r>
    </w:p>
    <w:p>
      <w:pPr>
        <w:pStyle w:val="15"/>
        <w:rPr>
          <w:rFonts w:ascii="仿宋_GB2312"/>
        </w:rPr>
      </w:pPr>
      <w:r>
        <w:rPr>
          <w:rFonts w:ascii="仿宋_GB2312" w:hint="eastAsia"/>
        </w:rPr>
        <w:t>学生入学或进入特定培养阶段后，即与企业、学校签订三方协议，明确学徒权益与责任。与之相应，学习场所也在“学校”与“企业”之间规律性交替。不再是传统的“2.5+0.5”模式，而是根据专业特点和岗位成长规律，灵活设计“1.5+0.5+1”、“1+1+1”等多种工学交替方案。</w:t>
      </w:r>
    </w:p>
    <w:p>
      <w:pPr>
        <w:pStyle w:val="15"/>
        <w:rPr>
          <w:rFonts w:ascii="仿宋_GB2312"/>
          <w:b/>
          <w:bCs/>
        </w:rPr>
      </w:pPr>
      <w:r>
        <w:rPr>
          <w:rFonts w:ascii="仿宋_GB2312" w:hint="eastAsia"/>
          <w:b/>
          <w:bCs/>
        </w:rPr>
        <w:t>6.6.2 教学与导师双元：推行校企双导师全程指导</w:t>
      </w:r>
    </w:p>
    <w:p>
      <w:pPr>
        <w:pStyle w:val="15"/>
        <w:rPr>
          <w:rFonts w:ascii="仿宋_GB2312"/>
        </w:rPr>
      </w:pPr>
      <w:r>
        <w:rPr>
          <w:rFonts w:ascii="仿宋_GB2312" w:hint="eastAsia"/>
        </w:rPr>
        <w:t>学校选派经验丰富的专业教师担任学生的理论导师和学业导师，负责基础理论、专业知识的系统教学，并关注学生的全面发展。企业选拔技艺精湛、善于表达的技术骨干或能工巧匠担任学生的技能导师和职业导师，负责岗位技能传授、操作规程讲解、职业素养培育。双导师并非各自为政，而是需要密切配合，共同制定每个学徒的个性化培养计划，共同设计教学项目，共同组织考核评价。</w:t>
      </w:r>
    </w:p>
    <w:p>
      <w:pPr>
        <w:pStyle w:val="15"/>
        <w:rPr>
          <w:rFonts w:ascii="仿宋_GB2312"/>
          <w:b/>
          <w:bCs/>
        </w:rPr>
      </w:pPr>
      <w:r>
        <w:rPr>
          <w:rFonts w:ascii="仿宋_GB2312" w:hint="eastAsia"/>
          <w:b/>
          <w:bCs/>
        </w:rPr>
        <w:t>6.6.3 内容与项目双元：实现教学内容生产化</w:t>
      </w:r>
    </w:p>
    <w:p>
      <w:pPr>
        <w:pStyle w:val="15"/>
        <w:rPr>
          <w:rFonts w:ascii="仿宋_GB2312"/>
        </w:rPr>
      </w:pPr>
      <w:r>
        <w:rPr>
          <w:rFonts w:ascii="仿宋_GB2312" w:hint="eastAsia"/>
        </w:rPr>
        <w:t>各校与合作企业共同将企业真实要素进行教学化改造，转化为一系列循序渐进的教学模块和实训项目。教学广泛采用项目教学法、案例教学法、情境教学法。</w:t>
      </w:r>
    </w:p>
    <w:p>
      <w:pPr>
        <w:pStyle w:val="15"/>
        <w:rPr>
          <w:rFonts w:ascii="仿宋_GB2312"/>
          <w:b/>
          <w:bCs/>
        </w:rPr>
      </w:pPr>
      <w:r>
        <w:rPr>
          <w:rFonts w:ascii="仿宋_GB2312" w:hint="eastAsia"/>
          <w:b/>
          <w:bCs/>
        </w:rPr>
        <w:t>6.6.4 文化与素养双元：贯穿职业精神培育</w:t>
      </w:r>
    </w:p>
    <w:p>
      <w:pPr>
        <w:pStyle w:val="15"/>
        <w:rPr>
          <w:rFonts w:ascii="仿宋_GB2312"/>
        </w:rPr>
      </w:pPr>
      <w:r>
        <w:rPr>
          <w:rFonts w:ascii="仿宋_GB2312" w:hint="eastAsia"/>
        </w:rPr>
        <w:t>各校与合作企业协同将企业文化、安全生产规范、质量意识、创新精神、工匠精神、团队合作理念等，作为重要的育人内容，贯穿于教学、实训、管理的各个环节。企业师傅的言传身教、生产现场的严格管理、企业文化的浸润熏陶，使学生潜移默化地养成严谨、负责、专注、创新的职业态度和行为习惯。许多合作企业还定期为学生举办职业发展规划讲座、优秀员工事迹报告会、企业文化活动等。这种深度的文化融合，使学生提前实现从“学生角色”到“职业人角色”的心理转换和社会化过程，缩短了就业后的适应期，提升了职业稳定性和发展潜力。</w:t>
      </w:r>
    </w:p>
    <w:p>
      <w:pPr>
        <w:pStyle w:val="15"/>
        <w:rPr>
          <w:rFonts w:ascii="仿宋_GB2312"/>
        </w:rPr>
      </w:pPr>
      <w:r>
        <w:rPr>
          <w:rFonts w:ascii="仿宋_GB2312" w:hint="eastAsia"/>
        </w:rPr>
        <w:t>2025年，全市开展现代学徒制试点的专业点达80个，覆盖学生5000余人。企业累计提供实习岗位1.2万余个，选派企业导师200余名参与教学。校企共同开发实训项目300余个，其中80%来源于企业真实生产任务，应届毕业生及用人单位满意度均超94%。</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124" w:name="_Toc218688708"/>
            <w:r>
              <w:rPr>
                <w:rFonts w:ascii="仿宋_GB2312" w:cs="仿宋_GB2312" w:hint="eastAsia"/>
                <w:b/>
                <w:bCs/>
                <w:color w:val="FFFFFF"/>
                <w:sz w:val="32"/>
                <w:szCs w:val="32"/>
              </w:rPr>
              <w:t>案例</w:t>
            </w:r>
            <w:r>
              <w:rPr>
                <w:rFonts w:ascii="仿宋_GB2312" w:cs="仿宋_GB2312"/>
                <w:b/>
                <w:bCs/>
                <w:color w:val="FFFFFF"/>
                <w:sz w:val="32"/>
                <w:szCs w:val="32"/>
              </w:rPr>
              <w:t>6-</w:t>
            </w:r>
            <w:r>
              <w:rPr>
                <w:rFonts w:ascii="仿宋_GB2312" w:cs="仿宋_GB2312" w:hint="eastAsia"/>
                <w:b/>
                <w:bCs/>
                <w:color w:val="FFFFFF"/>
                <w:sz w:val="32"/>
                <w:szCs w:val="32"/>
              </w:rPr>
              <w:t>6</w:t>
            </w:r>
            <w:r>
              <w:rPr>
                <w:rFonts w:ascii="仿宋_GB2312" w:cs="仿宋_GB2312"/>
                <w:b/>
                <w:bCs/>
                <w:color w:val="FFFFFF"/>
                <w:sz w:val="32"/>
                <w:szCs w:val="32"/>
              </w:rPr>
              <w:t>：</w:t>
            </w:r>
            <w:r>
              <w:rPr>
                <w:rFonts w:ascii="仿宋_GB2312" w:cs="仿宋_GB2312" w:hint="eastAsia"/>
                <w:b/>
                <w:bCs/>
                <w:color w:val="FFFFFF"/>
                <w:sz w:val="32"/>
                <w:szCs w:val="32"/>
              </w:rPr>
              <w:t>祁阳职中“现代学徒制”双导师跟岗实践，实现“教学零距离”</w:t>
            </w:r>
            <w:bookmarkEnd w:id="124"/>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祁阳职中与湖南稳羿电子科技有限公司合作开设“稳羿数控精密制造现代学徒制班”。学生入学后即与企业、学校签订三方协议，明确学徒身份。人才培养方案由校企共同制定，采用“</w:t>
            </w:r>
            <w:r>
              <w:rPr>
                <w:rFonts w:ascii="宋体" w:eastAsia="宋体" w:cs="仿宋_GB2312"/>
                <w:color w:val="0F1115"/>
                <w:sz w:val="28"/>
                <w:szCs w:val="28"/>
              </w:rPr>
              <w:t>1.5+1+0.5”的模式：前一年半在校学习通识课和专业基础课；随后一年进入企业，实行“企业专家集中授课+校企业双导师跟岗带教”，学习核心岗位技能；最后半年在企业进行岗位实习。企业为每位学徒指定一名经验丰富的老师傅作为“企业导师”，与学校的“专业导师”结对，共同负责学徒的技能传授、日常管理和考核评价。教学围绕企业真实的精密零部件生产订单展开，学徒在导师</w:t>
            </w:r>
            <w:r>
              <w:rPr>
                <w:rFonts w:ascii="宋体" w:eastAsia="宋体" w:cs="仿宋_GB2312" w:hint="eastAsia"/>
                <w:color w:val="0F1115"/>
                <w:sz w:val="28"/>
                <w:szCs w:val="28"/>
              </w:rPr>
              <w:t>指导下，逐步参与从看图、编程到操作、质检的全流程。</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该模式彻底打破了理论教学与实践教学的壁垒。学生在“做中学、学中做”，技能成长迅速，对生产工艺、质量标准的理解远超传统教学模式。企业导师的言传身教，使学生不仅学到了技术，更传承了工匠精神。该班学徒在省级技能大赛中屡获佳绩，毕业时已成为企业“准员工”，实现了学校教育与企业需求的高度契合，被行业誉为“教学与生产零距离对接”的典范。</w:t>
            </w:r>
          </w:p>
          <w:p>
            <w:pPr>
              <w:pStyle w:val="23"/>
              <w:widowControl/>
              <w:spacing w:line="240" w:lineRule="auto"/>
              <w:ind w:firstLineChars="0" w:firstLine="0"/>
              <w:jc w:val="center"/>
              <w:rPr>
                <w:rFonts w:ascii="宋体" w:eastAsia="宋体" w:cs="仿宋_GB2312"/>
                <w:color w:val="0F1115"/>
                <w:sz w:val="28"/>
                <w:szCs w:val="28"/>
              </w:rPr>
            </w:pPr>
            <w:r>
              <w:rPr>
                <w:rFonts w:ascii="宋体" w:eastAsia="宋体" w:cs="仿宋_GB2312" w:hint="eastAsia"/>
                <w:color w:val="0F1115"/>
                <w:sz w:val="28"/>
                <w:szCs w:val="28"/>
              </w:rPr>
              <w:drawing>
                <wp:inline distT="0" distB="0" distL="114300" distR="114300">
                  <wp:extent cx="4565650" cy="2781300"/>
                  <wp:effectExtent l="0" t="0" r="7" b="43"/>
                  <wp:docPr id="98" name="Picture 2" descr="IMG_1053"/>
                  <wp:cNvGraphicFramePr>
                    <a:graphicFrameLocks noChangeAspect="1"/>
                  </wp:cNvGraphicFramePr>
                  <a:graphic>
                    <a:graphicData uri="http://schemas.openxmlformats.org/drawingml/2006/picture">
                      <pic:pic>
                        <pic:nvPicPr>
                          <pic:cNvPr id="100" name="Picture 2 100"/>
                          <pic:cNvPicPr/>
                        </pic:nvPicPr>
                        <pic:blipFill>
                          <a:blip r:embed="rId40"/>
                          <a:srcRect t="10569" b="8214"/>
                          <a:stretch>
                            <a:fillRect/>
                          </a:stretch>
                        </pic:blipFill>
                        <pic:spPr>
                          <a:xfrm rot="0">
                            <a:off x="0" y="0"/>
                            <a:ext cx="4565650" cy="2781300"/>
                          </a:xfrm>
                          <a:prstGeom prst="rect"/>
                          <a:noFill/>
                          <a:ln w="9525" cmpd="sng" cap="flat">
                            <a:noFill/>
                            <a:prstDash val="solid"/>
                            <a:round/>
                          </a:ln>
                        </pic:spPr>
                      </pic:pic>
                    </a:graphicData>
                  </a:graphic>
                </wp:inline>
              </w:drawing>
            </w:r>
          </w:p>
          <w:p>
            <w:pPr>
              <w:pStyle w:val="23"/>
              <w:widowControl/>
              <w:spacing w:afterLines="50" w:after="156" w:line="240" w:lineRule="auto"/>
              <w:ind w:firstLineChars="0" w:firstLine="0"/>
              <w:jc w:val="center"/>
              <w:outlineLvl w:val="2"/>
              <w:rPr>
                <w:rFonts w:ascii="宋体" w:eastAsia="宋体" w:cs="仿宋_GB2312"/>
                <w:color w:val="0F1115"/>
                <w:sz w:val="28"/>
                <w:szCs w:val="28"/>
              </w:rPr>
            </w:pPr>
            <w:bookmarkStart w:id="125" w:name="_Toc218688652"/>
            <w:r>
              <w:rPr>
                <w:rFonts w:ascii="宋体" w:eastAsia="宋体" w:hint="eastAsia"/>
                <w:b/>
                <w:bCs/>
              </w:rPr>
              <w:t>图6</w:t>
            </w:r>
            <w:r>
              <w:rPr>
                <w:rFonts w:ascii="宋体" w:eastAsia="宋体"/>
                <w:b/>
                <w:bCs/>
              </w:rPr>
              <w:t>-2</w:t>
            </w:r>
            <w:r>
              <w:rPr>
                <w:rFonts w:ascii="宋体" w:eastAsia="宋体" w:hint="eastAsia"/>
                <w:b/>
                <w:bCs/>
              </w:rPr>
              <w:t xml:space="preserve"> 祁阳职中“现代学徒制班”学生在生产性实训基地实训</w:t>
            </w:r>
            <w:bookmarkEnd w:id="125"/>
          </w:p>
        </w:tc>
      </w:tr>
    </w:tbl>
    <w:p>
      <w:pPr>
        <w:pStyle w:val="2"/>
        <w:spacing w:before="0" w:after="0" w:line="560" w:lineRule="exact"/>
        <w:ind w:firstLineChars="200" w:firstLine="640"/>
        <w:rPr>
          <w:rFonts w:ascii="楷体" w:eastAsia="楷体"/>
          <w:shd w:val="clear" w:color="auto" w:fill="FFFFFF"/>
        </w:rPr>
      </w:pPr>
      <w:bookmarkStart w:id="126" w:name="_Toc218688944"/>
      <w:r>
        <w:rPr>
          <w:rFonts w:ascii="楷体" w:eastAsia="楷体" w:hint="eastAsia"/>
          <w:shd w:val="clear" w:color="auto" w:fill="FFFFFF"/>
        </w:rPr>
        <w:t>6.7 生产性实训基地建设：聚力打造“教学做创”一体化平台</w:t>
      </w:r>
      <w:bookmarkEnd w:id="126"/>
    </w:p>
    <w:p>
      <w:pPr>
        <w:pStyle w:val="15"/>
        <w:rPr>
          <w:rFonts w:ascii="仿宋_GB2312"/>
        </w:rPr>
      </w:pPr>
      <w:r>
        <w:rPr>
          <w:rFonts w:ascii="仿宋_GB2312" w:hint="eastAsia"/>
        </w:rPr>
        <w:t>全市将建设兼具教学实训功能和真实生产服务能力的“校中厂”、“厂中校”作为重中之重，推动职业教育实训教学从“模拟仿真”向“真刀真枪”的革命性转变。</w:t>
      </w:r>
    </w:p>
    <w:p>
      <w:pPr>
        <w:pStyle w:val="15"/>
        <w:rPr>
          <w:rFonts w:ascii="仿宋_GB2312"/>
          <w:b/>
          <w:bCs/>
        </w:rPr>
      </w:pPr>
      <w:r>
        <w:rPr>
          <w:rFonts w:ascii="仿宋_GB2312" w:hint="eastAsia"/>
          <w:b/>
          <w:bCs/>
        </w:rPr>
        <w:t>6.7.1 高标准建设：匹配产业先进水平</w:t>
      </w:r>
    </w:p>
    <w:p>
      <w:pPr>
        <w:pStyle w:val="15"/>
        <w:rPr>
          <w:rFonts w:ascii="仿宋_GB2312"/>
        </w:rPr>
      </w:pPr>
      <w:r>
        <w:rPr>
          <w:rFonts w:ascii="仿宋_GB2312" w:hint="eastAsia"/>
        </w:rPr>
        <w:t>全市生产性实训基地建设坚持“设备先进、环境真实、管理规范”的高标准。</w:t>
      </w:r>
      <w:r>
        <w:rPr>
          <w:rFonts w:ascii="仿宋_GB2312" w:hint="eastAsia"/>
          <w:b/>
          <w:bCs/>
        </w:rPr>
        <w:t>设备配置上</w:t>
      </w:r>
      <w:r>
        <w:rPr>
          <w:rFonts w:ascii="仿宋_GB2312" w:hint="eastAsia"/>
        </w:rPr>
        <w:t>，力求与合作企业的主流生产线、主流技术同步甚至适度超前。</w:t>
      </w:r>
      <w:r>
        <w:rPr>
          <w:rFonts w:ascii="仿宋_GB2312" w:hint="eastAsia"/>
          <w:b/>
          <w:bCs/>
        </w:rPr>
        <w:t>环境营造上</w:t>
      </w:r>
      <w:r>
        <w:rPr>
          <w:rFonts w:ascii="仿宋_GB2312" w:hint="eastAsia"/>
        </w:rPr>
        <w:t>，完全按照企业真实的生产车间、服务门店进行布局和氛围营造，引入企业的“6S”管理、生产看板、安全标识、质量检测体系等。</w:t>
      </w:r>
      <w:r>
        <w:rPr>
          <w:rFonts w:ascii="仿宋_GB2312" w:hint="eastAsia"/>
          <w:b/>
          <w:bCs/>
        </w:rPr>
        <w:t>管理上，</w:t>
      </w:r>
      <w:r>
        <w:rPr>
          <w:rFonts w:ascii="仿宋_GB2312" w:hint="eastAsia"/>
        </w:rPr>
        <w:t>建立校企共管的组织架构和运行制度，企业派员参与日常管理，将生产计划与教学计划统筹安排。</w:t>
      </w:r>
    </w:p>
    <w:p>
      <w:pPr>
        <w:pStyle w:val="15"/>
        <w:rPr>
          <w:rFonts w:ascii="仿宋_GB2312"/>
          <w:b/>
          <w:bCs/>
        </w:rPr>
      </w:pPr>
      <w:r>
        <w:rPr>
          <w:rFonts w:ascii="仿宋_GB2312" w:hint="eastAsia"/>
          <w:b/>
          <w:bCs/>
        </w:rPr>
        <w:t>6.7.2 真环境教学：推动教学过程与生产过程统一</w:t>
      </w:r>
    </w:p>
    <w:p>
      <w:pPr>
        <w:pStyle w:val="15"/>
        <w:rPr>
          <w:rFonts w:ascii="仿宋_GB2312"/>
        </w:rPr>
      </w:pPr>
      <w:r>
        <w:rPr>
          <w:rFonts w:ascii="仿宋_GB2312" w:hint="eastAsia"/>
        </w:rPr>
        <w:t>在生产性实训基地，教学的核心特征是“基于真实生产任务的学习”。学生的实训课题直接来源于企业当前承接的订单、研发的项目或需要解决的技术问题。教学组织形式也进行了相应改革，广泛采用“项目小组”、“工作班组”等形式，学生在“企业师傅”和“学校教师”双重指导下，完整经历“接受任务-制定方案-实施操作-质量检验-交付总结”的全工作流程</w:t>
      </w:r>
    </w:p>
    <w:p>
      <w:pPr>
        <w:pStyle w:val="15"/>
        <w:rPr>
          <w:rFonts w:ascii="仿宋_GB2312"/>
          <w:b/>
          <w:bCs/>
        </w:rPr>
      </w:pPr>
      <w:r>
        <w:rPr>
          <w:rFonts w:ascii="仿宋_GB2312" w:hint="eastAsia"/>
          <w:b/>
          <w:bCs/>
        </w:rPr>
        <w:t>6.7.3 多功能拓展：提升基地综合服务效能</w:t>
      </w:r>
    </w:p>
    <w:p>
      <w:pPr>
        <w:pStyle w:val="15"/>
        <w:rPr>
          <w:rFonts w:ascii="仿宋_GB2312"/>
        </w:rPr>
      </w:pPr>
      <w:r>
        <w:rPr>
          <w:rFonts w:ascii="仿宋_GB2312" w:hint="eastAsia"/>
        </w:rPr>
        <w:t>各校生产性实训基地向多元化的社会服务功能拓展。</w:t>
      </w:r>
      <w:r>
        <w:rPr>
          <w:rFonts w:ascii="仿宋_GB2312" w:hint="eastAsia"/>
          <w:b/>
          <w:bCs/>
        </w:rPr>
        <w:t>一是技能培训与鉴定功能</w:t>
      </w:r>
      <w:r>
        <w:rPr>
          <w:rFonts w:ascii="仿宋_GB2312" w:hint="eastAsia"/>
        </w:rPr>
        <w:t>：基地面向企业员工、社会人员、农村转移劳动力等开展技能提升培训和职业技能等级认定。</w:t>
      </w:r>
      <w:r>
        <w:rPr>
          <w:rFonts w:ascii="仿宋_GB2312" w:hint="eastAsia"/>
          <w:b/>
          <w:bCs/>
        </w:rPr>
        <w:t>二是技术研发与创新功能</w:t>
      </w:r>
      <w:r>
        <w:rPr>
          <w:rFonts w:ascii="仿宋_GB2312" w:hint="eastAsia"/>
        </w:rPr>
        <w:t>：基地成为校企联合技术攻关、工艺改进、产品研发的公共平台。</w:t>
      </w:r>
      <w:r>
        <w:rPr>
          <w:rFonts w:ascii="仿宋_GB2312" w:hint="eastAsia"/>
          <w:b/>
          <w:bCs/>
        </w:rPr>
        <w:t>三是创新创业孵化功能</w:t>
      </w:r>
      <w:r>
        <w:rPr>
          <w:rFonts w:ascii="仿宋_GB2312" w:hint="eastAsia"/>
        </w:rPr>
        <w:t>：许多基地内设立了创客空间、创新工作室，支持学生基于所学技术和市场洞察开展创新创业实践，孵化小微项目。</w:t>
      </w:r>
      <w:r>
        <w:rPr>
          <w:rFonts w:ascii="仿宋_GB2312" w:hint="eastAsia"/>
          <w:b/>
          <w:bCs/>
        </w:rPr>
        <w:t>四是社会服务与文化交流功能</w:t>
      </w:r>
      <w:r>
        <w:rPr>
          <w:rFonts w:ascii="仿宋_GB2312" w:hint="eastAsia"/>
        </w:rPr>
        <w:t>：各校利用基地开展非遗传承培训，传播特色文化。</w:t>
      </w:r>
    </w:p>
    <w:p>
      <w:pPr>
        <w:pStyle w:val="15"/>
        <w:rPr>
          <w:rFonts w:ascii="仿宋_GB2312"/>
          <w:b/>
          <w:bCs/>
        </w:rPr>
      </w:pPr>
      <w:r>
        <w:rPr>
          <w:rFonts w:ascii="仿宋_GB2312" w:hint="eastAsia"/>
          <w:b/>
          <w:bCs/>
        </w:rPr>
        <w:t>6.7.4 成果与价值共创：形成可持续发展良性循环</w:t>
      </w:r>
    </w:p>
    <w:p>
      <w:pPr>
        <w:pStyle w:val="15"/>
        <w:rPr>
          <w:rFonts w:ascii="仿宋_GB2312"/>
        </w:rPr>
      </w:pPr>
      <w:r>
        <w:rPr>
          <w:rFonts w:ascii="仿宋_GB2312" w:hint="eastAsia"/>
        </w:rPr>
        <w:t>生产性实训基地的建设与运行，催生了丰硕的成果，创造了包含经济价值、人才价值、文化价值及社会价值等多元价值，形成了可持续发展的良性循环。</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127" w:name="_Toc218688709"/>
            <w:r>
              <w:rPr>
                <w:rFonts w:ascii="仿宋_GB2312" w:cs="仿宋_GB2312" w:hint="eastAsia"/>
                <w:b/>
                <w:bCs/>
                <w:color w:val="FFFFFF"/>
                <w:sz w:val="32"/>
                <w:szCs w:val="32"/>
              </w:rPr>
              <w:t>案例</w:t>
            </w:r>
            <w:r>
              <w:rPr>
                <w:rFonts w:ascii="仿宋_GB2312" w:cs="仿宋_GB2312"/>
                <w:b/>
                <w:bCs/>
                <w:color w:val="FFFFFF"/>
                <w:sz w:val="32"/>
                <w:szCs w:val="32"/>
              </w:rPr>
              <w:t>6-</w:t>
            </w:r>
            <w:r>
              <w:rPr>
                <w:rFonts w:ascii="仿宋_GB2312" w:cs="仿宋_GB2312" w:hint="eastAsia"/>
                <w:b/>
                <w:bCs/>
                <w:color w:val="FFFFFF"/>
                <w:sz w:val="32"/>
                <w:szCs w:val="32"/>
              </w:rPr>
              <w:t>7</w:t>
            </w:r>
            <w:r>
              <w:rPr>
                <w:rFonts w:ascii="仿宋_GB2312" w:cs="仿宋_GB2312"/>
                <w:b/>
                <w:bCs/>
                <w:color w:val="FFFFFF"/>
                <w:sz w:val="32"/>
                <w:szCs w:val="32"/>
              </w:rPr>
              <w:t>：</w:t>
            </w:r>
            <w:r>
              <w:rPr>
                <w:rFonts w:ascii="仿宋_GB2312" w:cs="仿宋_GB2312" w:hint="eastAsia"/>
                <w:b/>
                <w:bCs/>
                <w:color w:val="FFFFFF"/>
                <w:sz w:val="32"/>
                <w:szCs w:val="32"/>
              </w:rPr>
              <w:t>江华职中瑶服基地“非遗传承</w:t>
            </w:r>
            <w:r>
              <w:rPr>
                <w:rFonts w:ascii="仿宋_GB2312" w:cs="仿宋_GB2312"/>
                <w:b/>
                <w:bCs/>
                <w:color w:val="FFFFFF"/>
                <w:sz w:val="32"/>
                <w:szCs w:val="32"/>
              </w:rPr>
              <w:t>+产业振兴”双赋能</w:t>
            </w:r>
            <w:bookmarkEnd w:id="127"/>
          </w:p>
        </w:tc>
      </w:tr>
      <w:tr>
        <w:tc>
          <w:tcPr>
            <w:tcW w:w="8296" w:type="dxa"/>
            <w:tcBorders>
              <w:top w:val="single" w:sz="4" w:space="0" w:color="auto"/>
              <w:left w:val="single" w:sz="4" w:space="0" w:color="auto"/>
              <w:bottom w:val="single" w:sz="4" w:space="0" w:color="auto"/>
              <w:right w:val="single" w:sz="4" w:space="0" w:color="auto"/>
            </w:tcBorders>
            <w:noWrap/>
          </w:tcPr>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江华职中服装专业依托瑶族非遗资源，与江华鸿卓民族服饰有限公司共建近</w:t>
            </w:r>
            <w:r>
              <w:rPr>
                <w:rFonts w:ascii="宋体" w:eastAsia="宋体" w:cs="仿宋_GB2312"/>
                <w:color w:val="0F1115"/>
                <w:sz w:val="28"/>
                <w:szCs w:val="28"/>
              </w:rPr>
              <w:t>900平方米的瑶族服装生产性实训基地。基地完全按照企业化车间标准建设，划分设计、裁剪、织锦、绣制、成衣等6个功能区域，并引入企业生产管理系统。合作遵循“共建共管、资源共享、人才共育”原则：企业投入50余万元设备与启动订单，并派遣拥有10年以上经验的瑶服制作手艺人常驻基地；该校教师负责现代服装设计理论与企业管理教学。教学以真实订单项目驱动，围绕瑶族节日盛装、文创产品、工装等订单，学生学习从纹样设计、面料选择、手工织锦绣制到成品质检的全套技艺。</w:t>
            </w:r>
          </w:p>
          <w:p>
            <w:pPr>
              <w:pStyle w:val="23"/>
              <w:widowControl/>
              <w:spacing w:line="480" w:lineRule="exact"/>
              <w:rPr>
                <w:rFonts w:ascii="宋体" w:eastAsia="宋体" w:cs="仿宋_GB2312"/>
                <w:color w:val="0F1115"/>
                <w:sz w:val="28"/>
                <w:szCs w:val="28"/>
              </w:rPr>
            </w:pPr>
            <w:r>
              <w:rPr>
                <w:rFonts w:ascii="宋体" w:eastAsia="宋体" w:cs="仿宋_GB2312" w:hint="eastAsia"/>
                <w:color w:val="0F1115"/>
                <w:sz w:val="28"/>
                <w:szCs w:val="28"/>
              </w:rPr>
              <w:t>基地超越了传统实训室的功能，成为“非遗活态传承的作坊、技能人才培养的课堂、文创产品研发的工场、村民技能培训的基地”。近一年，学生参与完成了</w:t>
            </w:r>
            <w:r>
              <w:rPr>
                <w:rFonts w:ascii="宋体" w:eastAsia="宋体" w:cs="仿宋_GB2312"/>
                <w:color w:val="0F1115"/>
                <w:sz w:val="28"/>
                <w:szCs w:val="28"/>
              </w:rPr>
              <w:t>1200余件瑶服订单，联合开发的3款瑶元素工装成为企业爆款产品。学生在创造经济价值的过程中，深刻理解并传承了民族文化，就业竞争力极强，2024届毕业生留企率达68%。基地还面向当地村民开展织锦、衍纸等免费培训，累计超200人次，直接助力乡村振兴。该基地成功探索出了一条通过生产性实训实现文化传承、人才培养、产业振兴、社区服务“四维共赢”的特色发展道路。</w:t>
            </w:r>
          </w:p>
          <w:p>
            <w:pPr>
              <w:pStyle w:val="23"/>
              <w:widowControl/>
              <w:spacing w:line="240" w:lineRule="auto"/>
              <w:ind w:firstLineChars="0" w:firstLine="0"/>
              <w:jc w:val="center"/>
              <w:rPr>
                <w:rFonts w:ascii="方正仿宋_GB2312" w:eastAsia="方正仿宋_GB2312" w:cs="方正仿宋_GB2312"/>
                <w:b/>
                <w:bCs/>
                <w:sz w:val="32"/>
                <w:szCs w:val="32"/>
              </w:rPr>
            </w:pPr>
            <w:r>
              <w:rPr>
                <w:rFonts w:ascii="方正仿宋_GB2312" w:eastAsia="方正仿宋_GB2312" w:cs="方正仿宋_GB2312" w:hint="eastAsia"/>
                <w:b/>
                <w:bCs/>
                <w:sz w:val="32"/>
                <w:szCs w:val="32"/>
              </w:rPr>
              <w:drawing>
                <wp:inline distT="0" distB="0" distL="114300" distR="114300">
                  <wp:extent cx="5072380" cy="3371850"/>
                  <wp:effectExtent l="0" t="0" r="14" b="43"/>
                  <wp:docPr id="101" name="图片 40" descr="11ca6a4126489123411f1a82f912bfd1"/>
                  <wp:cNvGraphicFramePr>
                    <a:graphicFrameLocks noChangeAspect="0"/>
                  </wp:cNvGraphicFramePr>
                  <a:graphic>
                    <a:graphicData uri="http://schemas.openxmlformats.org/drawingml/2006/picture">
                      <pic:pic>
                        <pic:nvPicPr>
                          <pic:cNvPr id="103" name="图片 40 103"/>
                          <pic:cNvPicPr/>
                        </pic:nvPicPr>
                        <pic:blipFill>
                          <a:blip r:embed="rId41"/>
                          <a:stretch>
                            <a:fillRect/>
                          </a:stretch>
                        </pic:blipFill>
                        <pic:spPr>
                          <a:xfrm rot="0">
                            <a:off x="0" y="0"/>
                            <a:ext cx="5072380" cy="3371850"/>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方正仿宋_GB2312" w:eastAsia="方正仿宋_GB2312" w:cs="方正仿宋_GB2312"/>
                <w:b/>
                <w:bCs/>
                <w:sz w:val="32"/>
                <w:szCs w:val="32"/>
              </w:rPr>
            </w:pPr>
            <w:bookmarkStart w:id="128" w:name="_Toc218688653"/>
            <w:r>
              <w:rPr>
                <w:rFonts w:ascii="宋体" w:eastAsia="宋体" w:hint="eastAsia"/>
                <w:b/>
                <w:bCs/>
              </w:rPr>
              <w:t>图6</w:t>
            </w:r>
            <w:r>
              <w:rPr>
                <w:rFonts w:ascii="宋体" w:eastAsia="宋体"/>
                <w:b/>
                <w:bCs/>
              </w:rPr>
              <w:t>-</w:t>
            </w:r>
            <w:r>
              <w:rPr>
                <w:rFonts w:ascii="宋体" w:eastAsia="宋体" w:hint="eastAsia"/>
                <w:b/>
                <w:bCs/>
              </w:rPr>
              <w:t>3 江华职中学生在</w:t>
            </w:r>
            <w:r>
              <w:rPr>
                <w:rFonts w:ascii="宋体" w:eastAsia="宋体"/>
                <w:b/>
                <w:bCs/>
              </w:rPr>
              <w:t>瑶服生产性实训基地</w:t>
            </w:r>
            <w:r>
              <w:rPr>
                <w:rFonts w:ascii="宋体" w:eastAsia="宋体" w:hint="eastAsia"/>
                <w:b/>
                <w:bCs/>
              </w:rPr>
              <w:t>实训</w:t>
            </w:r>
            <w:bookmarkEnd w:id="128"/>
          </w:p>
        </w:tc>
      </w:tr>
    </w:tbl>
    <w:p>
      <w:pPr>
        <w:pStyle w:val="1"/>
        <w:spacing w:beforeLines="50" w:before="156" w:afterLines="50" w:after="156" w:line="520" w:lineRule="exact"/>
        <w:ind w:firstLineChars="200" w:firstLine="640"/>
        <w:rPr>
          <w:rFonts w:ascii="黑体" w:eastAsia="黑体"/>
          <w:b w:val="0"/>
          <w:bCs w:val="0"/>
          <w:sz w:val="32"/>
          <w:szCs w:val="32"/>
          <w:shd w:val="clear" w:color="auto" w:fill="FFFFFF"/>
        </w:rPr>
      </w:pPr>
      <w:bookmarkStart w:id="129" w:name="_Toc218617432"/>
      <w:bookmarkStart w:id="130" w:name="_Toc218688945"/>
      <w:r>
        <w:rPr>
          <w:rFonts w:ascii="黑体" w:eastAsia="黑体" w:hint="eastAsia"/>
          <w:b w:val="0"/>
          <w:bCs w:val="0"/>
          <w:sz w:val="32"/>
          <w:szCs w:val="32"/>
          <w:shd w:val="clear" w:color="auto" w:fill="FFFFFF"/>
        </w:rPr>
        <w:t>7</w:t>
      </w:r>
      <w:r>
        <w:rPr>
          <w:rFonts w:ascii="黑体" w:eastAsia="黑体"/>
          <w:b w:val="0"/>
          <w:bCs w:val="0"/>
          <w:sz w:val="32"/>
          <w:szCs w:val="32"/>
          <w:shd w:val="clear" w:color="auto" w:fill="FFFFFF"/>
        </w:rPr>
        <w:t xml:space="preserve">. </w:t>
      </w:r>
      <w:r>
        <w:rPr>
          <w:rFonts w:ascii="黑体" w:eastAsia="黑体" w:hint="eastAsia"/>
          <w:b w:val="0"/>
          <w:bCs w:val="0"/>
          <w:sz w:val="32"/>
          <w:szCs w:val="32"/>
          <w:shd w:val="clear" w:color="auto" w:fill="FFFFFF"/>
        </w:rPr>
        <w:t>发展保障</w:t>
      </w:r>
      <w:bookmarkEnd w:id="129"/>
      <w:bookmarkEnd w:id="130"/>
    </w:p>
    <w:p>
      <w:pPr>
        <w:pStyle w:val="15"/>
        <w:rPr>
          <w:rFonts w:ascii="仿宋_GB2312"/>
        </w:rPr>
      </w:pPr>
      <w:r>
        <w:rPr>
          <w:rFonts w:ascii="仿宋_GB2312" w:hint="eastAsia"/>
        </w:rPr>
        <w:t>发展保障是职业教育高质量发展的核心支撑。2025年，永州市中职学校紧扣湖南省“楚怡”职教品牌复兴、产教融合赋能提升行动等特色政策导向，深度结合永州“三区两城”发展布局、县域产业特质与瑶族文化资源，从政策落地、经费投入、师资建设、条件改善、质量监控、安全管理六大维度构建全方位保障体系，既彰显湖南职教“楚怡引领、产教深耕”的时代特色，又凸显永州“县域联动、文旅赋能、安全筑基”的地域亮点，为职业教育现代化提供了坚实支撑。</w:t>
      </w:r>
    </w:p>
    <w:p>
      <w:pPr>
        <w:pStyle w:val="2"/>
        <w:spacing w:before="0" w:after="0" w:line="560" w:lineRule="exact"/>
        <w:ind w:firstLineChars="200" w:firstLine="640"/>
        <w:rPr>
          <w:rFonts w:ascii="楷体" w:eastAsia="楷体"/>
          <w:shd w:val="clear" w:color="auto" w:fill="FFFFFF"/>
        </w:rPr>
      </w:pPr>
      <w:bookmarkStart w:id="131" w:name="_Toc218688946"/>
      <w:r>
        <w:rPr>
          <w:rFonts w:ascii="楷体" w:eastAsia="楷体" w:hint="eastAsia"/>
          <w:shd w:val="clear" w:color="auto" w:fill="FFFFFF"/>
        </w:rPr>
        <w:t>7.1政策落实</w:t>
      </w:r>
      <w:bookmarkEnd w:id="131"/>
    </w:p>
    <w:p>
      <w:pPr>
        <w:pStyle w:val="15"/>
        <w:rPr>
          <w:rFonts w:ascii="仿宋_GB2312"/>
          <w:b/>
          <w:bCs/>
        </w:rPr>
      </w:pPr>
      <w:r>
        <w:rPr>
          <w:rFonts w:ascii="仿宋_GB2312" w:hint="eastAsia"/>
          <w:b/>
          <w:bCs/>
        </w:rPr>
        <w:t>7.1.1省级政策落地见效</w:t>
      </w:r>
    </w:p>
    <w:p>
      <w:pPr>
        <w:pStyle w:val="15"/>
        <w:rPr>
          <w:rFonts w:ascii="仿宋_GB2312"/>
        </w:rPr>
      </w:pPr>
      <w:r>
        <w:rPr>
          <w:rFonts w:ascii="仿宋_GB2312" w:hint="eastAsia"/>
        </w:rPr>
        <w:t>全面落实《教育部 湖南省人民政府关于整省推进职业教育现代化服务三高四新战略的意见》，聚焦楚怡优质专业群、双优计划等湖南标志性政策，全市11所公办中职学校中有8所获批省级楚怡优质专业群。蓝山职中的机电技术应用、皮革工艺专业群，永州工商职中的机械制造、电子信息专业群均为A档建设单位；宁远职中的智能制造、汽车运用与维修专业群跻身A类，形成楚怡品牌集群效应。严格执行中职生均拨款制度，2025年全市中职学校年生均拨款均达1万元以上，免学费、国家助学金等资助政策惠及学生超3万人次，精准覆盖脱贫家庭等困难学生，体现了政策兜底保障功能，见图7</w:t>
      </w:r>
      <w:r>
        <w:rPr>
          <w:rFonts w:ascii="仿宋_GB2312"/>
        </w:rPr>
        <w:t>-1</w:t>
      </w:r>
      <w:r>
        <w:rPr>
          <w:rFonts w:ascii="仿宋_GB2312" w:hint="eastAsia"/>
        </w:rPr>
        <w:t>。</w:t>
      </w:r>
    </w:p>
    <w:p>
      <w:r>
        <w:rPr>
          <w:rFonts w:ascii="仿宋" w:eastAsia="仿宋" w:cs="仿宋"/>
          <w:snapToGrid w:val="0"/>
          <w:color w:val="000000"/>
          <w:spacing w:val="2"/>
          <w:kern w:val="0"/>
          <w:sz w:val="31"/>
          <w:szCs w:val="31"/>
        </w:rPr>
        <w:drawing>
          <wp:inline distT="0" distB="0" distL="0" distR="0">
            <wp:extent cx="5271770" cy="3237229"/>
            <wp:effectExtent l="0" t="0" r="46" b="17"/>
            <wp:docPr id="104" name="图片 32"/>
            <wp:cNvGraphicFramePr>
              <a:graphicFrameLocks noChangeAspect="1"/>
            </wp:cNvGraphicFramePr>
            <a:graphic>
              <a:graphicData uri="http://schemas.openxmlformats.org/drawingml/2006/picture">
                <pic:pic>
                  <pic:nvPicPr>
                    <pic:cNvPr id="106" name="图片 32 106"/>
                    <pic:cNvPicPr/>
                  </pic:nvPicPr>
                  <pic:blipFill>
                    <a:blip r:embed="rId42"/>
                    <a:srcRect t="16671"/>
                    <a:stretch>
                      <a:fillRect/>
                    </a:stretch>
                  </pic:blipFill>
                  <pic:spPr>
                    <a:xfrm rot="0">
                      <a:off x="0" y="0"/>
                      <a:ext cx="5271770" cy="3237229"/>
                    </a:xfrm>
                    <a:prstGeom prst="rect"/>
                    <a:noFill/>
                    <a:ln w="9525" cmpd="sng" cap="flat">
                      <a:noFill/>
                      <a:prstDash val="solid"/>
                      <a:round/>
                    </a:ln>
                  </pic:spPr>
                </pic:pic>
              </a:graphicData>
            </a:graphic>
          </wp:inline>
        </w:drawing>
      </w:r>
    </w:p>
    <w:p>
      <w:pPr>
        <w:pStyle w:val="23"/>
        <w:widowControl/>
        <w:spacing w:afterLines="50" w:after="156" w:line="240" w:lineRule="auto"/>
        <w:ind w:firstLineChars="0" w:firstLine="0"/>
        <w:jc w:val="center"/>
        <w:outlineLvl w:val="2"/>
        <w:rPr>
          <w:rFonts w:ascii="宋体" w:eastAsia="宋体"/>
          <w:b/>
          <w:bCs/>
          <w:kern w:val="0"/>
          <w:sz w:val="28"/>
          <w:szCs w:val="28"/>
        </w:rPr>
      </w:pPr>
      <w:bookmarkStart w:id="132" w:name="_Toc218688654"/>
      <w:r>
        <w:rPr>
          <w:rFonts w:ascii="宋体" w:eastAsia="宋体" w:hint="eastAsia"/>
          <w:b/>
          <w:bCs/>
          <w:kern w:val="0"/>
        </w:rPr>
        <w:t>图7</w:t>
      </w:r>
      <w:r>
        <w:rPr>
          <w:rFonts w:ascii="宋体" w:eastAsia="宋体"/>
          <w:b/>
          <w:bCs/>
          <w:kern w:val="0"/>
        </w:rPr>
        <w:t xml:space="preserve">-1 </w:t>
      </w:r>
      <w:r>
        <w:rPr>
          <w:rFonts w:ascii="宋体" w:eastAsia="宋体" w:hint="eastAsia"/>
          <w:b/>
          <w:bCs/>
          <w:kern w:val="0"/>
        </w:rPr>
        <w:t>永州工商职中奖学金发放现场</w:t>
      </w:r>
      <w:bookmarkEnd w:id="132"/>
    </w:p>
    <w:p>
      <w:pPr>
        <w:pStyle w:val="15"/>
        <w:rPr>
          <w:rFonts w:ascii="仿宋_GB2312"/>
          <w:b/>
          <w:bCs/>
        </w:rPr>
      </w:pPr>
      <w:r>
        <w:rPr>
          <w:rFonts w:ascii="仿宋_GB2312" w:hint="eastAsia"/>
          <w:b/>
          <w:bCs/>
        </w:rPr>
        <w:t>7.1.2地方政策精准赋能</w:t>
      </w:r>
    </w:p>
    <w:p>
      <w:pPr>
        <w:pStyle w:val="15"/>
        <w:rPr>
          <w:rFonts w:ascii="仿宋_GB2312"/>
        </w:rPr>
      </w:pPr>
      <w:r>
        <w:rPr>
          <w:rFonts w:ascii="仿宋_GB2312" w:hint="eastAsia"/>
        </w:rPr>
        <w:t>对接永州“一核两轴三圈”区域经济布局，落实《永州市推进中等职业学校标准化建设工程实施方案》，推动专业与县域产业深度绑定。东安职中成为永州唯一公办综合性高中试点，构建“文化基础+职业技能”双轨培养模式；江华职中紧扣瑶族文化开发瑶服瑶锦、瑶药康养特色专业，其“职业教育助力非遗瑶族织锦乡村产业经济腾飞”案例获国家级推介；祁阳职中对接本地轻纺制鞋、电子信息等4大支柱产业，淘汰落后专业10个，集中打造3大核心专业群，电子与信息技术应用专业获评省级示范性特色专业；江永职中引入女书传人开展非遗技艺教学，将女书刺绣融入服装专业实践，突出地域文化特色，见图7</w:t>
      </w:r>
      <w:r>
        <w:rPr>
          <w:rFonts w:ascii="仿宋_GB2312"/>
        </w:rPr>
        <w:t>-2</w:t>
      </w:r>
      <w:r>
        <w:rPr>
          <w:rFonts w:ascii="仿宋_GB2312" w:hint="eastAsia"/>
        </w:rPr>
        <w:t>。</w:t>
      </w:r>
    </w:p>
    <w:p>
      <w:pPr>
        <w:jc w:val="center"/>
        <w:rPr>
          <w:rFonts w:ascii="仿宋_GB2312" w:eastAsia="仿宋_GB2312" w:cs="仿宋_GB2312"/>
          <w:sz w:val="30"/>
          <w:szCs w:val="30"/>
        </w:rPr>
      </w:pPr>
      <w:r>
        <w:rPr>
          <w:rFonts w:ascii="仿宋_GB2312" w:eastAsia="仿宋_GB2312" w:cs="仿宋_GB2312" w:hint="eastAsia"/>
          <w:sz w:val="30"/>
          <w:szCs w:val="30"/>
        </w:rPr>
        <w:drawing>
          <wp:inline distT="0" distB="0" distL="0" distR="0">
            <wp:extent cx="4968875" cy="3276600"/>
            <wp:effectExtent l="0" t="0" r="44" b="45"/>
            <wp:docPr id="107" name="图片 2"/>
            <wp:cNvGraphicFramePr>
              <a:graphicFrameLocks noChangeAspect="1"/>
            </wp:cNvGraphicFramePr>
            <a:graphic>
              <a:graphicData uri="http://schemas.openxmlformats.org/drawingml/2006/picture">
                <pic:pic>
                  <pic:nvPicPr>
                    <pic:cNvPr id="109" name="图片 2 109"/>
                    <pic:cNvPicPr/>
                  </pic:nvPicPr>
                  <pic:blipFill>
                    <a:blip r:embed="rId43"/>
                    <a:srcRect l="8170" r="8170"/>
                    <a:stretch>
                      <a:fillRect/>
                    </a:stretch>
                  </pic:blipFill>
                  <pic:spPr>
                    <a:xfrm rot="0">
                      <a:off x="0" y="0"/>
                      <a:ext cx="4968875" cy="3276600"/>
                    </a:xfrm>
                    <a:prstGeom prst="rect"/>
                    <a:noFill/>
                    <a:ln w="9525" cmpd="sng" cap="flat">
                      <a:noFill/>
                      <a:prstDash val="solid"/>
                      <a:round/>
                    </a:ln>
                  </pic:spPr>
                </pic:pic>
              </a:graphicData>
            </a:graphic>
          </wp:inline>
        </w:drawing>
      </w:r>
    </w:p>
    <w:p>
      <w:pPr>
        <w:pStyle w:val="23"/>
        <w:widowControl/>
        <w:spacing w:afterLines="50" w:after="156" w:line="240" w:lineRule="auto"/>
        <w:ind w:firstLineChars="0" w:firstLine="0"/>
        <w:jc w:val="center"/>
        <w:outlineLvl w:val="2"/>
        <w:rPr>
          <w:rFonts w:ascii="宋体" w:eastAsia="宋体"/>
          <w:b/>
          <w:bCs/>
          <w:kern w:val="0"/>
          <w:sz w:val="28"/>
          <w:szCs w:val="28"/>
        </w:rPr>
      </w:pPr>
      <w:bookmarkStart w:id="133" w:name="_Toc218688655"/>
      <w:r>
        <w:rPr>
          <w:rFonts w:ascii="宋体" w:eastAsia="宋体" w:hint="eastAsia"/>
          <w:b/>
          <w:bCs/>
          <w:kern w:val="0"/>
        </w:rPr>
        <w:t>图7</w:t>
      </w:r>
      <w:r>
        <w:rPr>
          <w:rFonts w:ascii="宋体" w:eastAsia="宋体"/>
          <w:b/>
          <w:bCs/>
          <w:kern w:val="0"/>
        </w:rPr>
        <w:t xml:space="preserve">-2 </w:t>
      </w:r>
      <w:r>
        <w:rPr>
          <w:rFonts w:ascii="宋体" w:eastAsia="宋体" w:hint="eastAsia"/>
          <w:b/>
          <w:bCs/>
          <w:kern w:val="0"/>
        </w:rPr>
        <w:t>江华职中瑶服瑶锦实训教学</w:t>
      </w:r>
      <w:bookmarkEnd w:id="133"/>
    </w:p>
    <w:p>
      <w:pPr>
        <w:pStyle w:val="2"/>
        <w:spacing w:before="0" w:after="0" w:line="560" w:lineRule="exact"/>
        <w:ind w:firstLineChars="200" w:firstLine="640"/>
        <w:rPr>
          <w:rFonts w:ascii="楷体" w:eastAsia="楷体"/>
          <w:shd w:val="clear" w:color="auto" w:fill="FFFFFF"/>
        </w:rPr>
      </w:pPr>
      <w:bookmarkStart w:id="134" w:name="_Toc218688947"/>
      <w:r>
        <w:rPr>
          <w:rFonts w:ascii="楷体" w:eastAsia="楷体" w:hint="eastAsia"/>
          <w:shd w:val="clear" w:color="auto" w:fill="FFFFFF"/>
        </w:rPr>
        <w:t>7.2经费保障</w:t>
      </w:r>
      <w:bookmarkEnd w:id="134"/>
    </w:p>
    <w:p>
      <w:pPr>
        <w:pStyle w:val="15"/>
        <w:rPr>
          <w:rFonts w:ascii="仿宋_GB2312"/>
        </w:rPr>
      </w:pPr>
      <w:r>
        <w:rPr>
          <w:rFonts w:ascii="仿宋_GB2312" w:hint="eastAsia"/>
        </w:rPr>
        <w:t>建立“省级专项+地方财政+债券资金”多元投入机制，持续加大职业教育经费保障力度。2025年，全市中职学校年生均财政拨款水平提高至5983.8元，较2024年（5178.89 元）增长约15.5%，财政经常性拨款实现稳步增长。同年，财政专项经费大幅提升，达到42594.45万元，较上年的23692.41万元增长显著，体现各级财政对职业教育重点项目的有力支持。此外，教育费附加30%专项用于职业教育已成为刚性要求，进一步夯实了职业教育高质量发展的经费基础。如江华职中新校区建设纳入省重点项目，争取地方债券资金5.47亿元；永州工商职中获省财政改善办学条件专项拨款525万元，重点升级实训设备；永州综职财政经常性拨款达3767.11万元，专项投入348万元用于校门改造及基础设施维修。</w:t>
      </w:r>
    </w:p>
    <w:p>
      <w:pPr>
        <w:pStyle w:val="2"/>
        <w:spacing w:before="0" w:after="0" w:line="560" w:lineRule="exact"/>
        <w:ind w:firstLineChars="200" w:firstLine="640"/>
        <w:rPr>
          <w:rFonts w:ascii="楷体" w:eastAsia="楷体"/>
          <w:shd w:val="clear" w:color="auto" w:fill="FFFFFF"/>
        </w:rPr>
      </w:pPr>
      <w:bookmarkStart w:id="135" w:name="_Toc218688948"/>
      <w:r>
        <w:rPr>
          <w:rFonts w:ascii="楷体" w:eastAsia="楷体" w:hint="eastAsia"/>
          <w:shd w:val="clear" w:color="auto" w:fill="FFFFFF"/>
        </w:rPr>
        <w:t>7.3师资保障</w:t>
      </w:r>
      <w:bookmarkEnd w:id="135"/>
    </w:p>
    <w:p>
      <w:pPr>
        <w:pStyle w:val="15"/>
        <w:rPr>
          <w:rFonts w:ascii="仿宋_GB2312"/>
          <w:b/>
          <w:bCs/>
        </w:rPr>
      </w:pPr>
      <w:r>
        <w:rPr>
          <w:rFonts w:ascii="仿宋_GB2312" w:hint="eastAsia"/>
          <w:b/>
          <w:bCs/>
        </w:rPr>
        <w:t>7.3.1“双师型”队伍建设提质</w:t>
      </w:r>
    </w:p>
    <w:p>
      <w:pPr>
        <w:pStyle w:val="15"/>
        <w:rPr>
          <w:rFonts w:ascii="仿宋_GB2312"/>
        </w:rPr>
      </w:pPr>
      <w:r>
        <w:rPr>
          <w:rFonts w:ascii="仿宋_GB2312" w:hint="eastAsia"/>
        </w:rPr>
        <w:t>落实湖南省“双师型”教师认定标准，全市中职“双师型” 教师占比持续提升。如永州工商职中双师型教师127人，占专业课教师比47.21%；永州工贸学校双师型教师</w:t>
      </w:r>
      <w:r>
        <w:rPr>
          <w:rFonts w:ascii="仿宋_GB2312"/>
        </w:rPr>
        <w:t>166人</w:t>
      </w:r>
      <w:r>
        <w:rPr>
          <w:rFonts w:ascii="仿宋_GB2312" w:hint="eastAsia"/>
        </w:rPr>
        <w:t>，占专业课教师比50%；祁阳职中双师型教师353人，占专任教师60.5%。构建“五维能力体系”培育模式；蓝山职中引入国家级培训项目，以“精准送培到校”模式开展10天集中培训，邀请岳阳职业技术学院专家现场指导，见图7</w:t>
      </w:r>
      <w:r>
        <w:rPr>
          <w:rFonts w:ascii="仿宋_GB2312"/>
        </w:rPr>
        <w:t>-3</w:t>
      </w:r>
      <w:r>
        <w:rPr>
          <w:rFonts w:ascii="仿宋_GB2312" w:hint="eastAsia"/>
        </w:rPr>
        <w:t>；祁阳职中建立“学校教师下企业、企业人才进校园”双向聘用机制，每年设立不少于100万元外聘教师专项经费，累计培训专业教师530余人次；永州工贸学校实施“名师领航工程”，培养省级专业带头人3名，市级骨干教师12名，组建“农产品电商教学创新团队”。</w:t>
      </w:r>
    </w:p>
    <w:p>
      <w:pPr>
        <w:jc w:val="center"/>
        <w:rPr>
          <w:rFonts w:ascii="仿宋_GB2312" w:eastAsia="仿宋_GB2312" w:cs="仿宋_GB2312"/>
          <w:b/>
          <w:bCs/>
          <w:sz w:val="30"/>
          <w:szCs w:val="30"/>
        </w:rPr>
      </w:pPr>
      <w:r>
        <w:rPr>
          <w:rFonts w:hint="eastAsia"/>
        </w:rPr>
        <w:drawing>
          <wp:inline distT="0" distB="0" distL="0" distR="0">
            <wp:extent cx="4867910" cy="2599055"/>
            <wp:effectExtent l="0" t="0" r="43" b="8"/>
            <wp:docPr id="110" name="图片 1"/>
            <wp:cNvGraphicFramePr>
              <a:graphicFrameLocks noChangeAspect="1"/>
            </wp:cNvGraphicFramePr>
            <a:graphic>
              <a:graphicData uri="http://schemas.openxmlformats.org/drawingml/2006/picture">
                <pic:pic>
                  <pic:nvPicPr>
                    <pic:cNvPr id="112" name="图片 1 112"/>
                    <pic:cNvPicPr/>
                  </pic:nvPicPr>
                  <pic:blipFill>
                    <a:blip r:embed="rId44"/>
                    <a:srcRect t="9884" b="9884"/>
                    <a:stretch>
                      <a:fillRect/>
                    </a:stretch>
                  </pic:blipFill>
                  <pic:spPr>
                    <a:xfrm rot="0">
                      <a:off x="0" y="0"/>
                      <a:ext cx="4867910" cy="2599055"/>
                    </a:xfrm>
                    <a:prstGeom prst="rect"/>
                    <a:noFill/>
                    <a:ln w="9525" cmpd="sng" cap="flat">
                      <a:noFill/>
                      <a:prstDash val="solid"/>
                      <a:round/>
                    </a:ln>
                  </pic:spPr>
                </pic:pic>
              </a:graphicData>
            </a:graphic>
          </wp:inline>
        </w:drawing>
      </w:r>
    </w:p>
    <w:p>
      <w:pPr>
        <w:pStyle w:val="23"/>
        <w:widowControl/>
        <w:spacing w:afterLines="50" w:after="156" w:line="240" w:lineRule="auto"/>
        <w:ind w:firstLineChars="0" w:firstLine="0"/>
        <w:jc w:val="center"/>
        <w:outlineLvl w:val="2"/>
        <w:rPr>
          <w:rFonts w:ascii="宋体" w:eastAsia="宋体"/>
          <w:b/>
          <w:bCs/>
          <w:kern w:val="0"/>
          <w:sz w:val="28"/>
          <w:szCs w:val="28"/>
        </w:rPr>
      </w:pPr>
      <w:bookmarkStart w:id="136" w:name="_Toc218688656"/>
      <w:r>
        <w:rPr>
          <w:rFonts w:ascii="宋体" w:eastAsia="宋体" w:hint="eastAsia"/>
          <w:b/>
          <w:bCs/>
          <w:kern w:val="0"/>
        </w:rPr>
        <w:t>图7</w:t>
      </w:r>
      <w:r>
        <w:rPr>
          <w:rFonts w:ascii="宋体" w:eastAsia="宋体"/>
          <w:b/>
          <w:bCs/>
          <w:kern w:val="0"/>
        </w:rPr>
        <w:t xml:space="preserve">-3 </w:t>
      </w:r>
      <w:r>
        <w:rPr>
          <w:rFonts w:ascii="宋体" w:eastAsia="宋体" w:hint="eastAsia"/>
          <w:b/>
          <w:bCs/>
          <w:kern w:val="0"/>
        </w:rPr>
        <w:t>蓝山职中“精准送培到校”开班仪式</w:t>
      </w:r>
      <w:bookmarkEnd w:id="136"/>
    </w:p>
    <w:p>
      <w:pPr>
        <w:pStyle w:val="15"/>
        <w:rPr>
          <w:rFonts w:ascii="仿宋_GB2312"/>
          <w:b/>
          <w:bCs/>
        </w:rPr>
      </w:pPr>
      <w:r>
        <w:rPr>
          <w:rFonts w:ascii="仿宋_GB2312" w:hint="eastAsia"/>
          <w:b/>
          <w:bCs/>
        </w:rPr>
        <w:t>7.3.2特色师资培育赋能</w:t>
      </w:r>
    </w:p>
    <w:p>
      <w:pPr>
        <w:pStyle w:val="15"/>
        <w:rPr>
          <w:rFonts w:ascii="仿宋_GB2312"/>
        </w:rPr>
      </w:pPr>
      <w:r>
        <w:rPr>
          <w:rFonts w:ascii="仿宋_GB2312" w:hint="eastAsia"/>
        </w:rPr>
        <w:t>依托湖南“楚怡”名师工作室、青蓝工程，全市建成省级“楚怡”名师工作室4个、教学创新团队9个。蓝山职中推行“青蓝工程”师徒结对；江华职中邀请瑶族织锦非遗传承人黎柳娥驻校授课（见图7</w:t>
      </w:r>
      <w:r>
        <w:rPr>
          <w:rFonts w:ascii="仿宋_GB2312"/>
        </w:rPr>
        <w:t>-5</w:t>
      </w:r>
      <w:r>
        <w:rPr>
          <w:rFonts w:ascii="仿宋_GB2312" w:hint="eastAsia"/>
        </w:rPr>
        <w:t>），32名专业教师赴企业顶岗实践，10名行业技师担任兼职教师；江永职中引入女书传人胡诗婷开展女书文化进课堂，构建“专业教师+非遗传承人”双师队伍。</w:t>
      </w:r>
    </w:p>
    <w:p>
      <w:pPr>
        <w:pStyle w:val="23"/>
        <w:widowControl/>
        <w:spacing w:afterLines="50" w:after="156" w:line="240" w:lineRule="auto"/>
        <w:ind w:firstLineChars="0" w:firstLine="0"/>
        <w:jc w:val="center"/>
        <w:rPr>
          <w:rFonts w:ascii="宋体" w:eastAsia="宋体"/>
          <w:b/>
          <w:bCs/>
        </w:rPr>
      </w:pPr>
      <w:r>
        <w:rPr>
          <w:rFonts w:ascii="宋体" w:eastAsia="宋体" w:hint="eastAsia"/>
          <w:b/>
          <w:bCs/>
          <w:kern w:val="0"/>
        </w:rPr>
        <w:drawing>
          <wp:inline distT="0" distB="0" distL="0" distR="0">
            <wp:extent cx="4783455" cy="2885440"/>
            <wp:effectExtent l="0" t="0" r="23" b="19"/>
            <wp:docPr id="113" name="图片 4"/>
            <wp:cNvGraphicFramePr>
              <a:graphicFrameLocks noChangeAspect="1"/>
            </wp:cNvGraphicFramePr>
            <a:graphic>
              <a:graphicData uri="http://schemas.openxmlformats.org/drawingml/2006/picture">
                <pic:pic>
                  <pic:nvPicPr>
                    <pic:cNvPr id="115" name="图片 4 115"/>
                    <pic:cNvPicPr/>
                  </pic:nvPicPr>
                  <pic:blipFill>
                    <a:blip r:embed="rId45"/>
                    <a:srcRect t="9544" b="9544"/>
                    <a:stretch>
                      <a:fillRect/>
                    </a:stretch>
                  </pic:blipFill>
                  <pic:spPr>
                    <a:xfrm rot="0">
                      <a:off x="0" y="0"/>
                      <a:ext cx="4783455" cy="2885440"/>
                    </a:xfrm>
                    <a:prstGeom prst="rect"/>
                    <a:noFill/>
                    <a:ln w="9525" cmpd="sng" cap="flat">
                      <a:noFill/>
                      <a:prstDash val="solid"/>
                      <a:round/>
                    </a:ln>
                  </pic:spPr>
                </pic:pic>
              </a:graphicData>
            </a:graphic>
          </wp:inline>
        </w:drawing>
      </w:r>
    </w:p>
    <w:p>
      <w:pPr>
        <w:pStyle w:val="23"/>
        <w:widowControl/>
        <w:spacing w:afterLines="50" w:after="156" w:line="240" w:lineRule="auto"/>
        <w:ind w:firstLineChars="0" w:firstLine="0"/>
        <w:jc w:val="center"/>
        <w:outlineLvl w:val="2"/>
        <w:rPr>
          <w:rFonts w:ascii="宋体" w:eastAsia="宋体"/>
          <w:b/>
          <w:bCs/>
          <w:kern w:val="0"/>
          <w:sz w:val="28"/>
          <w:szCs w:val="28"/>
        </w:rPr>
      </w:pPr>
      <w:bookmarkStart w:id="137" w:name="_Toc218688657"/>
      <w:r>
        <w:rPr>
          <w:rFonts w:ascii="宋体" w:eastAsia="宋体" w:hint="eastAsia"/>
          <w:b/>
          <w:bCs/>
          <w:kern w:val="0"/>
        </w:rPr>
        <w:t>图7</w:t>
      </w:r>
      <w:r>
        <w:rPr>
          <w:rFonts w:ascii="宋体" w:eastAsia="宋体"/>
          <w:b/>
          <w:bCs/>
          <w:kern w:val="0"/>
        </w:rPr>
        <w:t xml:space="preserve">-4 </w:t>
      </w:r>
      <w:r>
        <w:rPr>
          <w:rFonts w:ascii="宋体" w:eastAsia="宋体" w:hint="eastAsia"/>
          <w:b/>
          <w:bCs/>
          <w:kern w:val="0"/>
        </w:rPr>
        <w:t>江永职中引入女书传人胡诗婷开展女书文化进课堂</w:t>
      </w:r>
      <w:bookmarkEnd w:id="137"/>
    </w:p>
    <w:p>
      <w:pPr>
        <w:pStyle w:val="2"/>
        <w:spacing w:before="0" w:after="0" w:line="560" w:lineRule="exact"/>
        <w:ind w:firstLineChars="200" w:firstLine="640"/>
        <w:rPr>
          <w:rFonts w:ascii="楷体" w:eastAsia="楷体"/>
          <w:shd w:val="clear" w:color="auto" w:fill="FFFFFF"/>
        </w:rPr>
      </w:pPr>
      <w:bookmarkStart w:id="138" w:name="_Toc218688949"/>
      <w:r>
        <w:rPr>
          <w:rFonts w:ascii="楷体" w:eastAsia="楷体" w:hint="eastAsia"/>
          <w:shd w:val="clear" w:color="auto" w:fill="FFFFFF"/>
        </w:rPr>
        <w:t>7.4教学条件改善</w:t>
      </w:r>
      <w:bookmarkEnd w:id="138"/>
    </w:p>
    <w:p>
      <w:pPr>
        <w:pStyle w:val="15"/>
        <w:rPr>
          <w:rFonts w:ascii="仿宋_GB2312"/>
          <w:b/>
          <w:bCs/>
        </w:rPr>
      </w:pPr>
      <w:r>
        <w:rPr>
          <w:rFonts w:ascii="仿宋_GB2312" w:hint="eastAsia"/>
          <w:b/>
          <w:bCs/>
        </w:rPr>
        <w:t>7.4.1实训基地差异化建设</w:t>
      </w:r>
    </w:p>
    <w:p>
      <w:pPr>
        <w:pStyle w:val="15"/>
        <w:rPr>
          <w:rFonts w:ascii="仿宋_GB2312"/>
        </w:rPr>
      </w:pPr>
      <w:r>
        <w:rPr>
          <w:rFonts w:ascii="仿宋_GB2312" w:hint="eastAsia"/>
        </w:rPr>
        <w:t>围绕湖南“4×4”现代化产业体系，全市建成省级产教融合示范基地3个、生产性实训基地42个，形成“一校一特色实训平台”格局。祁阳职中建成省级建筑工程施工示范性实训基地，配备 BIM 虚拟仿真系统和装配式建筑实训模块；东安职中建成省级东安鸡传承培训基地，与雄雉食品有限公司共建生产性实训基地；永州工商职中投入9000万元建设产教融合实训基地，打造汽修、电商直播、工业机器人等现代化实训车间；蓝山职中建设“1+X”数控车铣、皮具箱包实训基地，生均实训工位数达0.51个；江华职中打造瑶服瑶锦、智慧康养特色实训中心，校企共建生产性实训基地设备总值达187.82万元。</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rPr>
          <w:trHeight w:hRule="exact" w:val="680"/>
        </w:trPr>
        <w:tc>
          <w:tcPr>
            <w:tcW w:w="8296" w:type="dxa"/>
            <w:tcBorders>
              <w:top w:val="single" w:sz="4" w:space="0" w:color="auto"/>
              <w:left w:val="single" w:sz="4" w:space="0" w:color="auto"/>
              <w:bottom w:val="single" w:sz="4" w:space="0" w:color="auto"/>
              <w:right w:val="single" w:sz="4" w:space="0" w:color="auto"/>
            </w:tcBorders>
            <w:shd w:val="clear" w:color="auto" w:fill="7C7264"/>
            <w:noWrap/>
            <w:vAlign w:val="center"/>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139" w:name="_Toc218688710"/>
            <w:r>
              <w:rPr>
                <w:rFonts w:ascii="仿宋_GB2312" w:cs="仿宋_GB2312" w:hint="eastAsia"/>
                <w:b/>
                <w:bCs/>
                <w:color w:val="FFFFFF"/>
                <w:sz w:val="32"/>
                <w:szCs w:val="32"/>
              </w:rPr>
              <w:t>案例7-1：东安职中非遗技艺进课堂，产教融合育匠才</w:t>
            </w:r>
            <w:bookmarkEnd w:id="139"/>
          </w:p>
        </w:tc>
      </w:tr>
      <w:tr>
        <w:trPr>
          <w:trHeight w:val="90"/>
        </w:trPr>
        <w:tc>
          <w:tcPr>
            <w:tcW w:w="8296" w:type="dxa"/>
            <w:tcBorders>
              <w:top w:val="single" w:sz="4" w:space="0" w:color="auto"/>
              <w:left w:val="single" w:sz="4" w:space="0" w:color="auto"/>
              <w:bottom w:val="single" w:sz="4" w:space="0" w:color="auto"/>
              <w:right w:val="single" w:sz="4" w:space="0" w:color="auto"/>
            </w:tcBorders>
            <w:noWrap/>
          </w:tcPr>
          <w:p>
            <w:pPr>
              <w:widowControl/>
              <w:spacing w:line="440" w:lineRule="exact"/>
              <w:ind w:firstLineChars="200" w:firstLine="560"/>
              <w:rPr>
                <w:sz w:val="28"/>
                <w:szCs w:val="28"/>
              </w:rPr>
            </w:pPr>
            <w:r>
              <w:rPr>
                <w:rFonts w:ascii="宋体" w:cs="宋体" w:hAnsi="宋体"/>
                <w:sz w:val="28"/>
                <w:szCs w:val="28"/>
              </w:rPr>
              <w:t>为破解中餐烹饪专业实践教学与产业脱节难题，推动地方非遗技艺传承，东安县</w:t>
            </w:r>
            <w:r>
              <w:rPr>
                <w:rFonts w:ascii="宋体" w:cs="宋体" w:hAnsi="宋体" w:hint="eastAsia"/>
                <w:sz w:val="28"/>
                <w:szCs w:val="28"/>
              </w:rPr>
              <w:t>职中</w:t>
            </w:r>
            <w:r>
              <w:rPr>
                <w:rFonts w:ascii="宋体" w:cs="宋体" w:hAnsi="宋体"/>
                <w:sz w:val="28"/>
                <w:szCs w:val="28"/>
              </w:rPr>
              <w:t>主动对接本地特色产业，与在东安鸡养殖、加工及非遗技艺传承领域具有深厚积淀的东安县雄雉食品有限公司达成战略合作。双方共建“东安鸡实训基地”，依托企业完整产业链与真实生产环境，打造集教学、实训、研发于一体的产教融合平台，探索校企协同育人新路径。</w:t>
            </w:r>
          </w:p>
          <w:p>
            <w:pPr>
              <w:widowControl/>
              <w:spacing w:line="440" w:lineRule="exact"/>
              <w:ind w:firstLineChars="200" w:firstLine="560"/>
              <w:rPr>
                <w:sz w:val="28"/>
                <w:szCs w:val="28"/>
              </w:rPr>
            </w:pPr>
            <w:r>
              <w:rPr>
                <w:rFonts w:ascii="宋体" w:cs="宋体" w:hAnsi="宋体"/>
                <w:sz w:val="28"/>
                <w:szCs w:val="28"/>
              </w:rPr>
              <w:t>学校以“共建、共管、共育”为原则，构建深度融合机制。实训基地直接设于企业生产一线，使学生沉浸于真实工作场景。校企共同开发模块化课程，将东安鸡非遗制作技艺、标准化加工流程等融入教学体系；企业派驻非遗传承人、资深厨师担任实训导师，传授核心技艺；学校负责学员选拔、理论教学与质量管理，形成“课堂与车间对接、教师与师傅协同、教学与生产联动”的育人模式。</w:t>
            </w:r>
          </w:p>
          <w:p>
            <w:pPr>
              <w:widowControl/>
              <w:spacing w:line="440" w:lineRule="exact"/>
              <w:rPr>
                <w:sz w:val="28"/>
                <w:szCs w:val="28"/>
              </w:rPr>
            </w:pPr>
            <w:r>
              <w:rPr>
                <w:rFonts w:ascii="宋体" w:cs="宋体" w:hAnsi="宋体"/>
                <w:sz w:val="28"/>
                <w:szCs w:val="28"/>
              </w:rPr>
              <w:t>​</w:t>
            </w:r>
            <w:r>
              <w:rPr>
                <w:rFonts w:ascii="宋体" w:cs="宋体" w:hAnsi="宋体" w:hint="eastAsia"/>
                <w:sz w:val="28"/>
                <w:szCs w:val="28"/>
              </w:rPr>
              <w:t xml:space="preserve"> </w:t>
            </w:r>
            <w:r>
              <w:rPr>
                <w:rFonts w:ascii="宋体" w:cs="宋体" w:hAnsi="宋体"/>
                <w:sz w:val="28"/>
                <w:szCs w:val="28"/>
              </w:rPr>
              <w:t>学生专业技能与职业素养显著提升，对口就业率与就业质量明显改善。企业获得高素质技能人才支撑，生产工艺传承与创新基础更加扎实。学校“双师型”教师队伍得以强化，教学内容持续更新，人才培养针对性增强。该模式有效促进了东安鸡非遗技艺在年轻群体中的活态传承，实现了学生、企业、学校与文化的多方共赢。​</w:t>
            </w:r>
          </w:p>
          <w:p>
            <w:pPr>
              <w:widowControl/>
              <w:spacing w:line="440" w:lineRule="exact"/>
              <w:ind w:firstLineChars="200" w:firstLine="560"/>
              <w:rPr>
                <w:sz w:val="28"/>
                <w:szCs w:val="28"/>
              </w:rPr>
            </w:pPr>
            <w:r>
              <w:rPr>
                <w:rFonts w:ascii="宋体" w:cs="宋体" w:hAnsi="宋体"/>
                <w:sz w:val="28"/>
                <w:szCs w:val="28"/>
              </w:rPr>
              <w:t>东安职中的实践表明，产教融合成功需精准对接地方特色产业与非遗项目，构建权责清晰、资源互通、过程协同的长效机制。关键在于让学生进入“真环境”、操作“真项目”、受教于“真师傅”，在解决实际生产问题中锤炼本领。这一模式为职业教育服务区域产业发展与文化传承提供了可复制的经验。</w:t>
            </w:r>
          </w:p>
          <w:p>
            <w:pPr>
              <w:pStyle w:val="23"/>
              <w:widowControl/>
              <w:spacing w:line="240" w:lineRule="auto"/>
              <w:ind w:firstLineChars="0" w:firstLine="0"/>
              <w:jc w:val="center"/>
              <w:rPr>
                <w:rFonts w:ascii="宋体" w:eastAsia="宋体" w:cs="仿宋_GB2312"/>
                <w:color w:val="0F1115"/>
                <w:sz w:val="28"/>
                <w:szCs w:val="28"/>
              </w:rPr>
            </w:pPr>
            <w:r>
              <w:rPr>
                <w:rFonts w:ascii="宋体" w:eastAsia="宋体" w:hint="eastAsia"/>
                <w:b/>
                <w:bCs/>
                <w:sz w:val="28"/>
                <w:szCs w:val="28"/>
              </w:rPr>
              <w:drawing>
                <wp:inline distT="0" distB="0" distL="0" distR="0">
                  <wp:extent cx="5262880" cy="3945255"/>
                  <wp:effectExtent l="0" t="0" r="17" b="35"/>
                  <wp:docPr id="116" name="图片 24" descr="3384454f9f4d0afa92a301a4ed067b03"/>
                  <wp:cNvGraphicFramePr>
                    <a:graphicFrameLocks noChangeAspect="1"/>
                  </wp:cNvGraphicFramePr>
                  <a:graphic>
                    <a:graphicData uri="http://schemas.openxmlformats.org/drawingml/2006/picture">
                      <pic:pic>
                        <pic:nvPicPr>
                          <pic:cNvPr id="118" name="图片 24 118"/>
                          <pic:cNvPicPr/>
                        </pic:nvPicPr>
                        <pic:blipFill>
                          <a:blip r:embed="rId46"/>
                          <a:stretch>
                            <a:fillRect/>
                          </a:stretch>
                        </pic:blipFill>
                        <pic:spPr>
                          <a:xfrm rot="0">
                            <a:off x="0" y="0"/>
                            <a:ext cx="5262880" cy="3945255"/>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宋体" w:eastAsia="宋体" w:cs="仿宋_GB2312"/>
                <w:color w:val="0F1115"/>
                <w:sz w:val="28"/>
                <w:szCs w:val="28"/>
              </w:rPr>
            </w:pPr>
            <w:bookmarkStart w:id="140" w:name="_Toc218688658"/>
            <w:r>
              <w:rPr>
                <w:rFonts w:ascii="宋体" w:eastAsia="宋体" w:hint="eastAsia"/>
                <w:b/>
                <w:bCs/>
              </w:rPr>
              <w:t>图7</w:t>
            </w:r>
            <w:r>
              <w:rPr>
                <w:rFonts w:ascii="宋体" w:eastAsia="宋体"/>
                <w:b/>
                <w:bCs/>
              </w:rPr>
              <w:t xml:space="preserve">-5 </w:t>
            </w:r>
            <w:r>
              <w:rPr>
                <w:rFonts w:ascii="宋体" w:eastAsia="宋体" w:hint="eastAsia"/>
                <w:b/>
                <w:bCs/>
              </w:rPr>
              <w:t>东安职中2025年与东安县雄雉食品有限公司打造东安鸡实训基地</w:t>
            </w:r>
            <w:bookmarkEnd w:id="140"/>
          </w:p>
        </w:tc>
      </w:tr>
    </w:tbl>
    <w:p>
      <w:pPr>
        <w:pStyle w:val="15"/>
        <w:rPr>
          <w:rFonts w:ascii="仿宋_GB2312"/>
          <w:b/>
          <w:bCs/>
        </w:rPr>
      </w:pPr>
      <w:r>
        <w:rPr>
          <w:rFonts w:ascii="仿宋_GB2312" w:hint="eastAsia"/>
          <w:b/>
          <w:bCs/>
        </w:rPr>
        <w:t>7.4.2数字化与智能化升级</w:t>
      </w:r>
    </w:p>
    <w:p>
      <w:pPr>
        <w:pStyle w:val="15"/>
        <w:rPr>
          <w:rFonts w:ascii="仿宋_GB2312"/>
        </w:rPr>
      </w:pPr>
      <w:r>
        <w:rPr>
          <w:rFonts w:ascii="仿宋_GB2312" w:hint="eastAsia"/>
        </w:rPr>
        <w:t>落实湖南教育数字化转型要求，全市中职学校实现教室电子白板、智慧黑板全覆盖。永州工商职中数字化教学资源达106GB，音视频时长超400小时；蓝山职中、永州综职建成希沃易课堂、超星学习通等数字化教学平台；永州综职搭建Seafile资源共享平台，整合精品课程、普测题库等数字化资源；祁阳职中引入虚拟仿真教学系统，实现建筑工程施工精准化教学。</w:t>
      </w:r>
    </w:p>
    <w:p>
      <w:pPr>
        <w:pStyle w:val="2"/>
        <w:spacing w:before="0" w:after="0" w:line="560" w:lineRule="exact"/>
        <w:ind w:firstLineChars="200" w:firstLine="640"/>
        <w:rPr>
          <w:rFonts w:ascii="楷体" w:eastAsia="楷体"/>
          <w:shd w:val="clear" w:color="auto" w:fill="FFFFFF"/>
        </w:rPr>
      </w:pPr>
      <w:bookmarkStart w:id="141" w:name="_Toc218688950"/>
      <w:r>
        <w:rPr>
          <w:rFonts w:ascii="楷体" w:eastAsia="楷体" w:hint="eastAsia"/>
          <w:shd w:val="clear" w:color="auto" w:fill="FFFFFF"/>
        </w:rPr>
        <w:t>7.5质量监控</w:t>
      </w:r>
      <w:bookmarkEnd w:id="141"/>
    </w:p>
    <w:p>
      <w:pPr>
        <w:pStyle w:val="15"/>
        <w:rPr>
          <w:rFonts w:ascii="仿宋_GB2312"/>
          <w:b/>
          <w:bCs/>
        </w:rPr>
      </w:pPr>
      <w:r>
        <w:rPr>
          <w:rFonts w:ascii="仿宋_GB2312" w:hint="eastAsia"/>
          <w:b/>
          <w:bCs/>
        </w:rPr>
        <w:t>7.5.1教学质量动态管控</w:t>
      </w:r>
    </w:p>
    <w:p>
      <w:pPr>
        <w:pStyle w:val="15"/>
        <w:rPr>
          <w:rFonts w:ascii="仿宋_GB2312"/>
        </w:rPr>
      </w:pPr>
      <w:r>
        <w:rPr>
          <w:rFonts w:ascii="仿宋_GB2312" w:hint="eastAsia"/>
        </w:rPr>
        <w:t>落实湖南省职业教育教学诊断与改进制度，全市中职学校均建立“校长办公会+教务处+督导室”三级督查机制，推行推门听课、每周抽查、每月通报制度。蓝山职中实施“四定、五统、六备”集体备课制度；永州综职构建“过程+结果+增值”多元评价体系；双牌职中完善“三全育人考核体系”，将德育成效纳入教学评价；祁阳职中将企业生产项目转化为教学项目220余个，实现教学与生产过程精准对接。</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rPr>
          <w:trHeight w:hRule="exact" w:val="680"/>
        </w:trPr>
        <w:tc>
          <w:tcPr>
            <w:tcW w:w="8296" w:type="dxa"/>
            <w:tcBorders>
              <w:top w:val="single" w:sz="4" w:space="0" w:color="auto"/>
              <w:left w:val="single" w:sz="4" w:space="0" w:color="auto"/>
              <w:bottom w:val="single" w:sz="4" w:space="0" w:color="auto"/>
              <w:right w:val="single" w:sz="4" w:space="0" w:color="auto"/>
            </w:tcBorders>
            <w:shd w:val="clear" w:color="auto" w:fill="7C7264"/>
            <w:noWrap/>
            <w:vAlign w:val="center"/>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142" w:name="_Toc218688711"/>
            <w:r>
              <w:rPr>
                <w:rFonts w:ascii="仿宋_GB2312" w:cs="仿宋_GB2312" w:hint="eastAsia"/>
                <w:b/>
                <w:bCs/>
                <w:color w:val="FFFFFF"/>
                <w:sz w:val="32"/>
                <w:szCs w:val="32"/>
              </w:rPr>
              <w:t>案例7</w:t>
            </w:r>
            <w:r>
              <w:rPr>
                <w:rFonts w:ascii="仿宋_GB2312" w:cs="仿宋_GB2312"/>
                <w:b/>
                <w:bCs/>
                <w:color w:val="FFFFFF"/>
                <w:sz w:val="32"/>
                <w:szCs w:val="32"/>
              </w:rPr>
              <w:t>-</w:t>
            </w:r>
            <w:r>
              <w:rPr>
                <w:rFonts w:ascii="仿宋_GB2312" w:cs="仿宋_GB2312" w:hint="eastAsia"/>
                <w:b/>
                <w:bCs/>
                <w:color w:val="FFFFFF"/>
                <w:sz w:val="32"/>
                <w:szCs w:val="32"/>
              </w:rPr>
              <w:t>2</w:t>
            </w:r>
            <w:r>
              <w:rPr>
                <w:rFonts w:ascii="仿宋_GB2312" w:cs="仿宋_GB2312"/>
                <w:b/>
                <w:bCs/>
                <w:color w:val="FFFFFF"/>
                <w:sz w:val="32"/>
                <w:szCs w:val="32"/>
              </w:rPr>
              <w:t>：</w:t>
            </w:r>
            <w:r>
              <w:rPr>
                <w:rFonts w:ascii="仿宋_GB2312" w:cs="仿宋_GB2312" w:hint="eastAsia"/>
                <w:b/>
                <w:bCs/>
                <w:color w:val="FFFFFF"/>
                <w:sz w:val="32"/>
                <w:szCs w:val="32"/>
              </w:rPr>
              <w:t>祁阳职中青春助农正当时</w:t>
            </w:r>
            <w:bookmarkEnd w:id="142"/>
          </w:p>
        </w:tc>
      </w:tr>
      <w:tr>
        <w:trPr>
          <w:trHeight w:val="90"/>
        </w:trPr>
        <w:tc>
          <w:tcPr>
            <w:tcW w:w="8296" w:type="dxa"/>
            <w:tcBorders>
              <w:top w:val="single" w:sz="4" w:space="0" w:color="auto"/>
              <w:left w:val="single" w:sz="4" w:space="0" w:color="auto"/>
              <w:bottom w:val="single" w:sz="4" w:space="0" w:color="auto"/>
              <w:right w:val="single" w:sz="4" w:space="0" w:color="auto"/>
            </w:tcBorders>
            <w:noWrap/>
          </w:tcPr>
          <w:p>
            <w:pPr>
              <w:spacing w:line="480" w:lineRule="exact"/>
              <w:ind w:firstLineChars="200" w:firstLine="560"/>
              <w:rPr>
                <w:rFonts w:ascii="宋体" w:cs="宋体" w:hAnsi="宋体"/>
                <w:bCs/>
                <w:sz w:val="28"/>
                <w:szCs w:val="28"/>
              </w:rPr>
            </w:pPr>
            <w:r>
              <w:rPr>
                <w:rFonts w:ascii="宋体" w:cs="宋体" w:hAnsi="宋体" w:hint="eastAsia"/>
                <w:bCs/>
                <w:sz w:val="28"/>
                <w:szCs w:val="28"/>
              </w:rPr>
              <w:t>3月15日，祁阳市大村甸镇的千亩油菜花海随风轻摆，金色浪花与青山绿水交织，共同绘就了一幅乡村振兴的壮丽图景。在这个充满希望的季节，祁阳职中的公益助农小分队带着专业技能与青春热情，走进了2025年大村甸油菜花文化旅游节。油菜花节现场热闹非凡，祁阳职中电子商务专业学生犹如一颗颗耀眼的星辰。他们运用专业技能，为当地百姓搭建起通向外界的桥梁。通过现场直播、生动的视频及详尽的文字介绍，大村甸的农副产品焕发出了新的光芒。不仅积极参与，还亲自上阵直播带货，将大村甸的农产品推向更广阔的市场。他们的热情与专业赢得了当地百姓的赞誉，也让更多人看到了电商助农的无限潜力。</w:t>
            </w:r>
          </w:p>
          <w:p>
            <w:pPr>
              <w:spacing w:line="480" w:lineRule="exact"/>
              <w:ind w:firstLineChars="200" w:firstLine="560"/>
              <w:rPr>
                <w:rFonts w:ascii="宋体" w:cs="宋体" w:hAnsi="宋体"/>
                <w:sz w:val="28"/>
                <w:szCs w:val="28"/>
              </w:rPr>
            </w:pPr>
            <w:r>
              <w:rPr>
                <w:rFonts w:ascii="宋体" w:cs="宋体" w:hAnsi="宋体" w:hint="eastAsia"/>
                <w:bCs/>
                <w:sz w:val="28"/>
                <w:szCs w:val="28"/>
              </w:rPr>
              <w:t>此次活动中，祁阳职中公益助农小分队不仅展现了专业素养与公益精神，还积极寻求与当地百姓的农产品合作机会。他们深知，只有携手合作，才能共创乡村振兴的美好未来。展望未来，祁阳职中将继续发挥专业优势，与更多乡村地区开展合作，共同探索农产品电商发展的新路径。他们坚信，电商的力量定能让更多农产品走出大山，走向全国乃至全球。在这片绚烂的油菜花海中，祁阳职中公益助农小分队的身影成为了一道亮丽的风景线。他们用实际行动践行了“服务地方经济，助力乡村振兴”的初心与使命，也为青年学子树立了榜样。让我们共同期待，祁阳职中在未来携手更多乡村地区，共同书写乡村振兴的新篇章，让电商成为乡村振兴的新潮流！</w:t>
            </w:r>
          </w:p>
          <w:p>
            <w:pPr>
              <w:jc w:val="center"/>
              <w:rPr>
                <w:rFonts w:ascii="宋体" w:cs="宋体" w:hAnsi="宋体"/>
                <w:sz w:val="28"/>
                <w:szCs w:val="28"/>
              </w:rPr>
            </w:pPr>
            <w:r>
              <w:rPr>
                <w:rFonts w:ascii="宋体" w:cs="宋体" w:hAnsi="宋体" w:hint="eastAsia"/>
                <w:sz w:val="28"/>
                <w:szCs w:val="28"/>
              </w:rPr>
              <w:drawing>
                <wp:inline distT="0" distB="0" distL="114300" distR="114300">
                  <wp:extent cx="5039995" cy="3159760"/>
                  <wp:effectExtent l="0" t="0" r="14" b="15"/>
                  <wp:docPr id="119" name="图片 2051542966" descr="IMG_7749"/>
                  <wp:cNvGraphicFramePr>
                    <a:graphicFrameLocks noChangeAspect="1"/>
                  </wp:cNvGraphicFramePr>
                  <a:graphic>
                    <a:graphicData uri="http://schemas.openxmlformats.org/drawingml/2006/picture">
                      <pic:pic>
                        <pic:nvPicPr>
                          <pic:cNvPr id="121" name="图片 2051542966 121"/>
                          <pic:cNvPicPr/>
                        </pic:nvPicPr>
                        <pic:blipFill>
                          <a:blip r:embed="rId47"/>
                          <a:srcRect t="14204" r="10670"/>
                          <a:stretch>
                            <a:fillRect/>
                          </a:stretch>
                        </pic:blipFill>
                        <pic:spPr>
                          <a:xfrm rot="0">
                            <a:off x="0" y="0"/>
                            <a:ext cx="5039995" cy="3159760"/>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宋体" w:eastAsia="宋体"/>
                <w:b/>
                <w:bCs/>
              </w:rPr>
            </w:pPr>
            <w:bookmarkStart w:id="143" w:name="_Toc14074"/>
            <w:bookmarkStart w:id="144" w:name="_Toc13475"/>
            <w:bookmarkStart w:id="145" w:name="_Toc7588"/>
            <w:bookmarkStart w:id="146" w:name="_Toc32331"/>
            <w:bookmarkStart w:id="147" w:name="_Toc24684"/>
            <w:bookmarkStart w:id="148" w:name="_Toc12928"/>
            <w:bookmarkStart w:id="149" w:name="_Toc24572"/>
            <w:bookmarkStart w:id="150" w:name="_Toc28910"/>
            <w:bookmarkStart w:id="151" w:name="_Toc218688659"/>
            <w:r>
              <w:rPr>
                <w:rFonts w:ascii="宋体" w:eastAsia="宋体" w:hint="eastAsia"/>
                <w:b/>
                <w:bCs/>
              </w:rPr>
              <w:t>图7-</w:t>
            </w:r>
            <w:bookmarkEnd w:id="143"/>
            <w:bookmarkEnd w:id="144"/>
            <w:bookmarkEnd w:id="145"/>
            <w:bookmarkEnd w:id="146"/>
            <w:bookmarkEnd w:id="147"/>
            <w:bookmarkEnd w:id="148"/>
            <w:bookmarkEnd w:id="149"/>
            <w:bookmarkEnd w:id="150"/>
            <w:r>
              <w:rPr>
                <w:rFonts w:ascii="宋体" w:eastAsia="宋体"/>
                <w:b/>
                <w:bCs/>
              </w:rPr>
              <w:t xml:space="preserve">6 </w:t>
            </w:r>
            <w:r>
              <w:rPr>
                <w:rFonts w:ascii="宋体" w:eastAsia="宋体" w:hint="eastAsia"/>
                <w:b/>
                <w:bCs/>
              </w:rPr>
              <w:t>祁阳职中电商学生助力油菜花节现场</w:t>
            </w:r>
            <w:bookmarkEnd w:id="151"/>
          </w:p>
          <w:p>
            <w:pPr>
              <w:spacing w:line="480" w:lineRule="exact"/>
              <w:ind w:firstLineChars="200" w:firstLine="560"/>
              <w:rPr>
                <w:rFonts w:ascii="宋体" w:cs="仿宋_GB2312" w:hAnsi="宋体"/>
                <w:color w:val="0F1115"/>
                <w:sz w:val="28"/>
                <w:szCs w:val="28"/>
              </w:rPr>
            </w:pPr>
            <w:r>
              <w:rPr>
                <w:rFonts w:ascii="宋体" w:cs="宋体" w:hAnsi="宋体" w:hint="eastAsia"/>
                <w:bCs/>
                <w:sz w:val="28"/>
                <w:szCs w:val="28"/>
              </w:rPr>
              <w:t>以红色文化为魂，培育新时代湖湘工匠。为深入贯彻习近平总书记关于传承和弘扬雷锋精神的重要指示，培育和践行社会主义核心价值观，在校园中形成“人人学雷锋、天天学雷锋、时时有雷锋”的良好氛围。学校将雷锋精神与湖湘文化深入融合，打造“雷锋月”特色育人品牌。通过“绿满校园”“技能服务进乡村”“电商助农直播周”“爱老，敬老”等实践活动，让学生成为有爱的新时代的湖湘工匠。</w:t>
            </w:r>
          </w:p>
        </w:tc>
      </w:tr>
    </w:tbl>
    <w:p>
      <w:pPr>
        <w:pStyle w:val="15"/>
        <w:rPr>
          <w:rFonts w:ascii="仿宋_GB2312"/>
          <w:b/>
          <w:bCs/>
        </w:rPr>
      </w:pPr>
      <w:r>
        <w:rPr>
          <w:rFonts w:ascii="仿宋_GB2312" w:hint="eastAsia"/>
          <w:b/>
          <w:bCs/>
        </w:rPr>
        <w:t>7.5.2育人质量多维评估</w:t>
      </w:r>
    </w:p>
    <w:p>
      <w:pPr>
        <w:pStyle w:val="15"/>
        <w:rPr>
          <w:rFonts w:ascii="仿宋_GB2312"/>
        </w:rPr>
      </w:pPr>
      <w:r>
        <w:rPr>
          <w:rFonts w:ascii="仿宋_GB2312" w:hint="eastAsia"/>
        </w:rPr>
        <w:t>以“岗课赛证”融合为核心，建立“技能竞赛+职业认证+企业评价”三维质量监测。2025年全市中职学生职业技能等级证书通过率平均达89%，永州工商职中、宁远职中在楚怡杯省级技能竞赛中获奖数同比增长25%，宁远职中学子斩获网络建设与运维、电梯保养与维护等赛项省级三等奖；永州工贸学校连续举办校园招聘宣讲会，企业对毕业生职业素养满意度达94.6%；江华职中将三美一强（环境美、心灵美、形体美、技能强）纳入学生综合素质评价。</w:t>
      </w:r>
    </w:p>
    <w:p>
      <w:pPr>
        <w:jc w:val="center"/>
        <w:rPr>
          <w:rFonts w:ascii="仿宋_GB2312" w:eastAsia="仿宋_GB2312" w:cs="仿宋_GB2312"/>
          <w:sz w:val="32"/>
          <w:szCs w:val="32"/>
        </w:rPr>
      </w:pPr>
      <w:r>
        <w:rPr>
          <w:rFonts w:ascii="仿宋_GB2312" w:eastAsia="仿宋_GB2312" w:cs="仿宋_GB2312" w:hint="eastAsia"/>
          <w:sz w:val="32"/>
          <w:szCs w:val="32"/>
        </w:rPr>
        <w:drawing>
          <wp:inline distT="0" distB="0" distL="114300" distR="114300">
            <wp:extent cx="5266690" cy="3511550"/>
            <wp:effectExtent l="0" t="0" r="17" b="22"/>
            <wp:docPr id="122" name="图片 34" descr="d827b99cf234ada219da8b7a166fe2bd"/>
            <wp:cNvGraphicFramePr>
              <a:graphicFrameLocks noChangeAspect="1"/>
            </wp:cNvGraphicFramePr>
            <a:graphic>
              <a:graphicData uri="http://schemas.openxmlformats.org/drawingml/2006/picture">
                <pic:pic>
                  <pic:nvPicPr>
                    <pic:cNvPr id="124" name="图片 34 124"/>
                    <pic:cNvPicPr/>
                  </pic:nvPicPr>
                  <pic:blipFill>
                    <a:blip r:embed="rId48"/>
                    <a:stretch>
                      <a:fillRect/>
                    </a:stretch>
                  </pic:blipFill>
                  <pic:spPr>
                    <a:xfrm rot="0">
                      <a:off x="0" y="0"/>
                      <a:ext cx="5266690" cy="3511550"/>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宋体" w:eastAsia="宋体"/>
          <w:b/>
          <w:bCs/>
          <w:kern w:val="0"/>
          <w:sz w:val="28"/>
          <w:szCs w:val="28"/>
        </w:rPr>
      </w:pPr>
      <w:bookmarkStart w:id="152" w:name="_Toc218688660"/>
      <w:r>
        <w:rPr>
          <w:rFonts w:ascii="宋体" w:eastAsia="宋体" w:hint="eastAsia"/>
          <w:b/>
          <w:bCs/>
          <w:kern w:val="0"/>
        </w:rPr>
        <w:t>图7</w:t>
      </w:r>
      <w:r>
        <w:rPr>
          <w:rFonts w:ascii="宋体" w:eastAsia="宋体"/>
          <w:b/>
          <w:bCs/>
          <w:kern w:val="0"/>
        </w:rPr>
        <w:t xml:space="preserve">-7 </w:t>
      </w:r>
      <w:r>
        <w:rPr>
          <w:rFonts w:ascii="宋体" w:eastAsia="宋体" w:hint="eastAsia"/>
          <w:b/>
          <w:bCs/>
          <w:kern w:val="0"/>
        </w:rPr>
        <w:t>永州工贸学校2025年校园招聘会现场</w:t>
      </w:r>
      <w:bookmarkEnd w:id="152"/>
    </w:p>
    <w:p>
      <w:pPr>
        <w:pStyle w:val="2"/>
        <w:spacing w:before="0" w:after="0" w:line="560" w:lineRule="exact"/>
        <w:ind w:firstLineChars="200" w:firstLine="640"/>
        <w:rPr>
          <w:rFonts w:ascii="楷体" w:eastAsia="楷体"/>
          <w:shd w:val="clear" w:color="auto" w:fill="FFFFFF"/>
        </w:rPr>
      </w:pPr>
      <w:bookmarkStart w:id="153" w:name="_Toc218688951"/>
      <w:r>
        <w:rPr>
          <w:rFonts w:ascii="楷体" w:eastAsia="楷体" w:hint="eastAsia"/>
          <w:shd w:val="clear" w:color="auto" w:fill="FFFFFF"/>
        </w:rPr>
        <w:t>7.6安全管理</w:t>
      </w:r>
      <w:bookmarkEnd w:id="153"/>
    </w:p>
    <w:p>
      <w:pPr>
        <w:pStyle w:val="15"/>
        <w:rPr>
          <w:rFonts w:ascii="仿宋_GB2312"/>
          <w:b/>
          <w:bCs/>
        </w:rPr>
      </w:pPr>
      <w:r>
        <w:rPr>
          <w:rFonts w:ascii="仿宋_GB2312" w:hint="eastAsia"/>
          <w:b/>
          <w:bCs/>
        </w:rPr>
        <w:t>7.6.1常态防控凸显永州特色</w:t>
      </w:r>
    </w:p>
    <w:p>
      <w:pPr>
        <w:pStyle w:val="15"/>
        <w:rPr>
          <w:rFonts w:ascii="仿宋_GB2312"/>
        </w:rPr>
      </w:pPr>
      <w:r>
        <w:rPr>
          <w:rFonts w:ascii="仿宋_GB2312" w:hint="eastAsia"/>
        </w:rPr>
        <w:t>针对永州河流密布、山区较多的地域特点，全市中职学校建立起“防溺水+山区安全预警”常态化防控机制。各校结合实际情况开展特色安全实践：永州工商职中、江永职中与当地卫生院合作，定期组织防溺水应急演练，通过情景模拟与心肺复苏实操教学，有效提升师生应急自救与互救能力；永州综职、江华职中发动党员教师组成巡逻队，开展河道防溺水巡查，年度累计巡逻超过300次，切实筑牢水域安全防线。</w:t>
      </w:r>
    </w:p>
    <w:p>
      <w:pPr>
        <w:widowControl/>
        <w:spacing w:line="560" w:lineRule="exact"/>
        <w:ind w:firstLineChars="200" w:firstLine="616"/>
        <w:jc w:val="left"/>
        <w:rPr>
          <w:rFonts w:ascii="仿宋_GB2312" w:eastAsia="仿宋_GB2312" w:cs="仿宋_GB2312"/>
          <w:spacing w:val="-6"/>
          <w:kern w:val="0"/>
          <w:sz w:val="32"/>
          <w:szCs w:val="32"/>
        </w:rPr>
      </w:pPr>
      <w:r>
        <w:rPr>
          <w:rFonts w:ascii="仿宋_GB2312" w:eastAsia="仿宋_GB2312" w:cs="仿宋_GB2312" w:hint="eastAsia"/>
          <w:spacing w:val="-6"/>
          <w:kern w:val="0"/>
          <w:sz w:val="32"/>
          <w:szCs w:val="32"/>
        </w:rPr>
        <w:t>在法治与禁毒教育方面，永州已建成4所禁毒教育示范校（包括双牌职中、江华职中等），积极推行“政法五老进校园”与“警校联动”机制。例如，江华职中聘请退休法官、检察官担任法治辅导员，开展案例式法治讲座；双牌县职业技术学校依托禁毒教育基地开展沉浸式专题教育。全年各校累计开展防性侵、防校园欺凌等专题活动超过200场，形成良好的法治教育氛围。</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c>
          <w:tcPr>
            <w:tcW w:w="8296" w:type="dxa"/>
            <w:tcBorders>
              <w:top w:val="single" w:sz="4" w:space="0" w:color="auto"/>
              <w:left w:val="single" w:sz="4" w:space="0" w:color="auto"/>
              <w:bottom w:val="single" w:sz="4" w:space="0" w:color="auto"/>
              <w:right w:val="single" w:sz="4" w:space="0" w:color="auto"/>
            </w:tcBorders>
            <w:shd w:val="clear" w:color="auto" w:fill="7C7264"/>
            <w:noWrap/>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154" w:name="_Toc218688712"/>
            <w:r>
              <w:rPr>
                <w:rFonts w:ascii="仿宋_GB2312" w:cs="仿宋_GB2312" w:hint="eastAsia"/>
                <w:b/>
                <w:bCs/>
                <w:color w:val="FFFFFF"/>
                <w:sz w:val="32"/>
                <w:szCs w:val="32"/>
              </w:rPr>
              <w:t>案例7</w:t>
            </w:r>
            <w:r>
              <w:rPr>
                <w:rFonts w:ascii="仿宋_GB2312" w:cs="仿宋_GB2312"/>
                <w:b/>
                <w:bCs/>
                <w:color w:val="FFFFFF"/>
                <w:sz w:val="32"/>
                <w:szCs w:val="32"/>
              </w:rPr>
              <w:t>-</w:t>
            </w:r>
            <w:r>
              <w:rPr>
                <w:rFonts w:ascii="仿宋_GB2312" w:cs="仿宋_GB2312" w:hint="eastAsia"/>
                <w:b/>
                <w:bCs/>
                <w:color w:val="FFFFFF"/>
                <w:sz w:val="32"/>
                <w:szCs w:val="32"/>
              </w:rPr>
              <w:t>3</w:t>
            </w:r>
            <w:r>
              <w:rPr>
                <w:rFonts w:ascii="仿宋_GB2312" w:cs="仿宋_GB2312"/>
                <w:b/>
                <w:bCs/>
                <w:color w:val="FFFFFF"/>
                <w:sz w:val="32"/>
                <w:szCs w:val="32"/>
              </w:rPr>
              <w:t>：</w:t>
            </w:r>
            <w:r>
              <w:rPr>
                <w:rFonts w:ascii="仿宋_GB2312" w:cs="仿宋_GB2312" w:hint="eastAsia"/>
                <w:b/>
                <w:bCs/>
                <w:color w:val="FFFFFF"/>
                <w:sz w:val="32"/>
                <w:szCs w:val="32"/>
              </w:rPr>
              <w:t>政法引领，家校警社四维联动——江华职中构建全域化安全育人新格局</w:t>
            </w:r>
            <w:bookmarkEnd w:id="154"/>
          </w:p>
        </w:tc>
      </w:tr>
      <w:tr>
        <w:trPr>
          <w:trHeight w:val="6427"/>
        </w:trPr>
        <w:tc>
          <w:tcPr>
            <w:tcW w:w="8296" w:type="dxa"/>
            <w:tcBorders>
              <w:top w:val="single" w:sz="4" w:space="0" w:color="auto"/>
              <w:left w:val="single" w:sz="4" w:space="0" w:color="auto"/>
              <w:bottom w:val="single" w:sz="4" w:space="0" w:color="auto"/>
              <w:right w:val="single" w:sz="4" w:space="0" w:color="auto"/>
            </w:tcBorders>
            <w:noWrap/>
          </w:tcPr>
          <w:p>
            <w:pPr>
              <w:widowControl/>
              <w:adjustRightInd w:val="0"/>
              <w:snapToGrid w:val="0"/>
              <w:spacing w:line="480" w:lineRule="exact"/>
              <w:ind w:firstLineChars="200" w:firstLine="560"/>
              <w:rPr>
                <w:sz w:val="28"/>
                <w:szCs w:val="28"/>
              </w:rPr>
            </w:pPr>
            <w:r>
              <w:rPr>
                <w:rFonts w:ascii="宋体" w:cs="宋体" w:hAnsi="宋体"/>
                <w:sz w:val="28"/>
                <w:szCs w:val="28"/>
              </w:rPr>
              <w:t>面对校园安全风险日益多元复杂的挑战，江华</w:t>
            </w:r>
            <w:r>
              <w:rPr>
                <w:rFonts w:ascii="宋体" w:cs="宋体" w:hAnsi="宋体" w:hint="eastAsia"/>
                <w:sz w:val="28"/>
                <w:szCs w:val="28"/>
              </w:rPr>
              <w:t>职中</w:t>
            </w:r>
            <w:r>
              <w:rPr>
                <w:rFonts w:ascii="宋体" w:cs="宋体" w:hAnsi="宋体"/>
                <w:sz w:val="28"/>
                <w:szCs w:val="28"/>
              </w:rPr>
              <w:t>秉持“生命至上、预防为主、全员参与”理念，以“筑牢屏障、护航青春”为目标，系统整合政法、公安、家庭及社会资源，着力构建全域覆盖、多方联动的校园安全防护体系。</w:t>
            </w:r>
          </w:p>
          <w:p>
            <w:pPr>
              <w:widowControl/>
              <w:adjustRightInd w:val="0"/>
              <w:snapToGrid w:val="0"/>
              <w:spacing w:line="480" w:lineRule="exact"/>
              <w:ind w:firstLineChars="200" w:firstLine="560"/>
              <w:rPr>
                <w:sz w:val="28"/>
                <w:szCs w:val="28"/>
              </w:rPr>
            </w:pPr>
            <w:r>
              <w:rPr>
                <w:rFonts w:ascii="宋体" w:cs="宋体" w:hAnsi="宋体"/>
                <w:sz w:val="28"/>
                <w:szCs w:val="28"/>
              </w:rPr>
              <w:t>学校推动安全工作从单一管理向系统治理转型。一是引入法治专业资源，聘请法官、民警等担任法治副校长，定期开展专题讲座与情景模拟，深入解读《未成年人保护法》，剖析校园欺凌、性侵害等热点问题，强化学生法治观念。二是深化警校共建，联合派出所、交警中队落实“三见”巡防机制，整治周边环境，常态化开展防溺水、交通安全教育。三是创新“双线融合”宣教，通过主题班会、国旗下讲话与线上平台每日推送安全提示，实现教育常态化。四是打通家校共育链路，建立家长安全观察员制度，组建志愿者队伍，形成“学校主导、家长监督、社会协同”的闭环管理。</w:t>
            </w:r>
          </w:p>
          <w:p>
            <w:pPr>
              <w:widowControl/>
              <w:adjustRightInd w:val="0"/>
              <w:snapToGrid w:val="0"/>
              <w:spacing w:line="480" w:lineRule="exact"/>
              <w:ind w:firstLineChars="200" w:firstLine="560"/>
              <w:rPr>
                <w:sz w:val="28"/>
                <w:szCs w:val="28"/>
              </w:rPr>
            </w:pPr>
            <w:r>
              <w:rPr>
                <w:rFonts w:ascii="宋体" w:cs="宋体" w:hAnsi="宋体"/>
                <w:sz w:val="28"/>
                <w:szCs w:val="28"/>
              </w:rPr>
              <w:t>通过系统化推进，学校实现校园安全责任事故“零发生”，学生法治意识与自我保护能力显著增强，家长满意度与参与度大幅提升。该模式已成为县域平安校园建设的典型范例，获得推广。</w:t>
            </w:r>
          </w:p>
          <w:p>
            <w:pPr>
              <w:widowControl/>
              <w:adjustRightInd w:val="0"/>
              <w:snapToGrid w:val="0"/>
              <w:spacing w:line="480" w:lineRule="exact"/>
              <w:ind w:firstLineChars="200" w:firstLine="560"/>
              <w:rPr>
                <w:sz w:val="28"/>
                <w:szCs w:val="28"/>
              </w:rPr>
            </w:pPr>
            <w:r>
              <w:rPr>
                <w:rFonts w:ascii="宋体" w:cs="宋体" w:hAnsi="宋体"/>
                <w:sz w:val="28"/>
                <w:szCs w:val="28"/>
              </w:rPr>
              <w:t>江华职中的实践表明，建设平安校园需实现从“单点应对”到“系统防控”的转变：以专业力量筑牢法治防线，以沉浸式教育筑牢思想防线，以家校社协同筑牢共育防线，最终通过权责清晰、多方协同的共治格局，实现安全育人的全域覆盖与全程护航。</w:t>
            </w:r>
          </w:p>
          <w:p>
            <w:pPr>
              <w:pStyle w:val="23"/>
              <w:widowControl/>
              <w:spacing w:afterLines="50" w:after="156" w:line="240" w:lineRule="auto"/>
              <w:ind w:firstLineChars="0" w:firstLine="0"/>
              <w:jc w:val="center"/>
              <w:outlineLvl w:val="2"/>
              <w:rPr>
                <w:rFonts w:ascii="宋体" w:cs="仿宋_GB2312" w:hAnsi="宋体"/>
                <w:color w:val="0F1115"/>
                <w:sz w:val="28"/>
                <w:szCs w:val="28"/>
              </w:rPr>
            </w:pPr>
            <w:bookmarkStart w:id="155" w:name="_Toc218688661"/>
            <w:r>
              <w:rPr>
                <w:rFonts w:ascii="宋体" w:eastAsia="宋体" w:hint="eastAsia"/>
                <w:b/>
                <w:bCs/>
              </w:rPr>
              <w:drawing>
                <wp:anchor distT="0" distB="0" distL="114300" distR="114300" simplePos="0" relativeHeight="151" behindDoc="0" locked="0" layoutInCell="1" hidden="0" allowOverlap="1">
                  <wp:simplePos x="0" y="0"/>
                  <wp:positionH relativeFrom="column">
                    <wp:posOffset>-83185</wp:posOffset>
                  </wp:positionH>
                  <wp:positionV relativeFrom="paragraph">
                    <wp:posOffset>180340</wp:posOffset>
                  </wp:positionV>
                  <wp:extent cx="5269865" cy="3451860"/>
                  <wp:effectExtent l="0" t="0" r="0" b="0"/>
                  <wp:wrapThrough wrapText="bothSides">
                    <wp:wrapPolygon>
                      <wp:start x="0" y="-35"/>
                      <wp:lineTo x="0" y="21599"/>
                      <wp:lineTo x="21589" y="21599"/>
                      <wp:lineTo x="21589" y="-35"/>
                      <wp:lineTo x="0" y="-35"/>
                    </wp:wrapPolygon>
                  </wp:wrapThrough>
                  <wp:docPr id="125" name="图片 25" descr="7cc1e3a4-6029-4b00-85aa-fa55262e6cd9"/>
                  <wp:cNvGraphicFramePr>
                    <a:graphicFrameLocks noChangeAspect="1"/>
                  </wp:cNvGraphicFramePr>
                  <a:graphic>
                    <a:graphicData uri="http://schemas.openxmlformats.org/drawingml/2006/picture">
                      <pic:pic>
                        <pic:nvPicPr>
                          <pic:cNvPr id="127" name="图片 25 127"/>
                          <pic:cNvPicPr/>
                        </pic:nvPicPr>
                        <pic:blipFill>
                          <a:blip r:embed="rId49"/>
                          <a:stretch>
                            <a:fillRect/>
                          </a:stretch>
                        </pic:blipFill>
                        <pic:spPr>
                          <a:xfrm rot="0">
                            <a:off x="0" y="0"/>
                            <a:ext cx="5269865" cy="3451860"/>
                          </a:xfrm>
                          <a:prstGeom prst="rect"/>
                          <a:noFill/>
                          <a:ln w="9525" cmpd="sng" cap="flat">
                            <a:noFill/>
                            <a:prstDash val="solid"/>
                            <a:miter/>
                          </a:ln>
                        </pic:spPr>
                      </pic:pic>
                    </a:graphicData>
                  </a:graphic>
                </wp:anchor>
              </w:drawing>
            </w:r>
            <w:r>
              <w:rPr>
                <w:rFonts w:ascii="宋体" w:eastAsia="宋体" w:hint="eastAsia"/>
                <w:b/>
                <w:bCs/>
              </w:rPr>
              <w:t>图7</w:t>
            </w:r>
            <w:r>
              <w:rPr>
                <w:rFonts w:ascii="宋体" w:eastAsia="宋体"/>
                <w:b/>
                <w:bCs/>
              </w:rPr>
              <w:t xml:space="preserve">-8 </w:t>
            </w:r>
            <w:r>
              <w:rPr>
                <w:rFonts w:ascii="宋体" w:eastAsia="宋体" w:hint="eastAsia"/>
                <w:b/>
                <w:bCs/>
              </w:rPr>
              <w:t>江华职中“政法五老”法制讲座</w:t>
            </w:r>
            <w:bookmarkEnd w:id="155"/>
          </w:p>
        </w:tc>
      </w:tr>
    </w:tbl>
    <w:p>
      <w:pPr>
        <w:pStyle w:val="15"/>
        <w:rPr>
          <w:rFonts w:ascii="仿宋_GB2312"/>
        </w:rPr>
      </w:pP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rPr>
          <w:trHeight w:hRule="exact" w:val="567"/>
        </w:trPr>
        <w:tc>
          <w:tcPr>
            <w:tcW w:w="8296" w:type="dxa"/>
            <w:tcBorders>
              <w:top w:val="single" w:sz="4" w:space="0" w:color="auto"/>
              <w:left w:val="single" w:sz="4" w:space="0" w:color="auto"/>
              <w:bottom w:val="single" w:sz="4" w:space="0" w:color="auto"/>
              <w:right w:val="single" w:sz="4" w:space="0" w:color="auto"/>
            </w:tcBorders>
            <w:shd w:val="clear" w:color="auto" w:fill="7C7264"/>
            <w:noWrap/>
            <w:vAlign w:val="center"/>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156" w:name="_Toc218688713"/>
            <w:r>
              <w:rPr>
                <w:rFonts w:ascii="仿宋_GB2312" w:cs="仿宋_GB2312" w:hint="eastAsia"/>
                <w:b/>
                <w:bCs/>
                <w:color w:val="FFFFFF"/>
                <w:sz w:val="32"/>
                <w:szCs w:val="32"/>
              </w:rPr>
              <w:t>案例7-4：永州工商职中体系化构建安全教育新生态</w:t>
            </w:r>
            <w:bookmarkEnd w:id="156"/>
          </w:p>
        </w:tc>
      </w:tr>
      <w:tr>
        <w:trPr>
          <w:trHeight w:val="983"/>
        </w:trPr>
        <w:tc>
          <w:tcPr>
            <w:tcW w:w="8296" w:type="dxa"/>
            <w:tcBorders>
              <w:top w:val="single" w:sz="4" w:space="0" w:color="auto"/>
              <w:left w:val="single" w:sz="4" w:space="0" w:color="auto"/>
              <w:bottom w:val="single" w:sz="4" w:space="0" w:color="auto"/>
              <w:right w:val="single" w:sz="4" w:space="0" w:color="auto"/>
            </w:tcBorders>
            <w:noWrap/>
          </w:tcPr>
          <w:p>
            <w:pPr>
              <w:spacing w:line="440" w:lineRule="exact"/>
              <w:ind w:firstLineChars="200" w:firstLine="560"/>
              <w:rPr>
                <w:rFonts w:ascii="宋体" w:cs="等线" w:hAnsi="宋体"/>
                <w:sz w:val="28"/>
                <w:szCs w:val="28"/>
              </w:rPr>
            </w:pPr>
            <w:r>
              <w:rPr>
                <w:rFonts w:ascii="宋体" w:cs="等线" w:hAnsi="宋体" w:hint="eastAsia"/>
                <w:sz w:val="28"/>
                <w:szCs w:val="28"/>
              </w:rPr>
              <w:t>面对校园安全风险多样化和职业院校学生特点，永州工商职中始终坚持“预防为主、教育先行”的理念，以“零事故、全保障、育能力”为目标，系统构建覆盖全员、全过程、全方位的安全教育体系，致力于打造让家长放心、师生安心的平安校园。</w:t>
            </w:r>
          </w:p>
          <w:p>
            <w:pPr>
              <w:spacing w:line="440" w:lineRule="exact"/>
              <w:ind w:firstLineChars="200" w:firstLine="560"/>
              <w:rPr>
                <w:rFonts w:ascii="宋体" w:cs="等线" w:hAnsi="宋体"/>
                <w:sz w:val="28"/>
                <w:szCs w:val="28"/>
              </w:rPr>
            </w:pPr>
            <w:r>
              <w:rPr>
                <w:rFonts w:ascii="宋体" w:cs="等线" w:hAnsi="宋体" w:hint="eastAsia"/>
                <w:sz w:val="28"/>
                <w:szCs w:val="28"/>
              </w:rPr>
              <w:t>学校从机制建设、教育实施和重点防控三个维度系统推进安全工作。在机制上，成立以书记、校长为双组长的安全工作领导小组，建立“学校-科室-班级”三级责任体系，通过定期检查与日常防范相结合的方式压实安全责任。在教育实施方面，将安全教育纳入常规课程体系，全年开展超120场主题班会，并联合疾控中心、政法系统“五老”专家、消防大队等开展法治教育、防欺凌、禁毒宣传等专题讲座。学校特别注重实战演练，定期组织防震减灾、消防应急等演练活动。在重点防控方面，针对暑期溺水风险发放《致家长信》并联合社区巡查危险水域；心理健康教育设立专职心理咨询室；食品安全通过定期食堂检查与知识竞赛强化意识。</w:t>
            </w:r>
          </w:p>
          <w:p>
            <w:pPr>
              <w:spacing w:line="440" w:lineRule="exact"/>
              <w:ind w:firstLineChars="200" w:firstLine="560"/>
              <w:rPr>
                <w:rFonts w:ascii="宋体" w:cs="等线" w:hAnsi="宋体"/>
                <w:sz w:val="28"/>
                <w:szCs w:val="28"/>
              </w:rPr>
            </w:pPr>
            <w:r>
              <w:rPr>
                <w:rFonts w:ascii="宋体" w:cs="等线" w:hAnsi="宋体" w:hint="eastAsia"/>
                <w:sz w:val="28"/>
                <w:szCs w:val="28"/>
              </w:rPr>
              <w:t>通过系统化推进安全教育，学校全年实现校园安全责任事故“零发生”，师生安全感满意度达到98%。学生的安全意识和应急能力显著提升，家校协同机制有效运行，家长对校园安全工作的参与度和满意度大幅提高。该校的安全管理模式已成为县域内职业院校安全教育的典型范例。</w:t>
            </w:r>
          </w:p>
          <w:p>
            <w:pPr>
              <w:spacing w:line="440" w:lineRule="exact"/>
              <w:ind w:firstLineChars="200" w:firstLine="560"/>
              <w:rPr>
                <w:rFonts w:ascii="宋体" w:cs="等线" w:hAnsi="宋体"/>
                <w:sz w:val="28"/>
                <w:szCs w:val="28"/>
              </w:rPr>
            </w:pPr>
            <w:r>
              <w:rPr>
                <w:rFonts w:ascii="宋体" w:cs="等线" w:hAnsi="宋体" w:hint="eastAsia"/>
                <w:sz w:val="28"/>
                <w:szCs w:val="28"/>
              </w:rPr>
              <w:t>永州工商职中的实践表明，校园安全建设需实现从“被动处置”向“主动治理”的转变。体系化设计是基础，精准化实施是关键，家校社协同是保障。只有将安全教育融入日常、落在实处，才能实现从“简单管控”到“能力培育”的升华，真正构建起可持续的校园安全生态。</w:t>
            </w:r>
          </w:p>
          <w:p>
            <w:pPr>
              <w:rPr>
                <w:rFonts w:cs="等线"/>
                <w:sz w:val="28"/>
                <w:szCs w:val="28"/>
              </w:rPr>
            </w:pPr>
            <w:r>
              <w:rPr>
                <w:rFonts w:hint="eastAsia"/>
              </w:rPr>
              <w:drawing>
                <wp:inline distT="0" distB="0" distL="114300" distR="114300">
                  <wp:extent cx="5266690" cy="3505835"/>
                  <wp:effectExtent l="0" t="0" r="17" b="22"/>
                  <wp:docPr id="128" name="图片 66" descr="图片21"/>
                  <wp:cNvGraphicFramePr>
                    <a:graphicFrameLocks noChangeAspect="1"/>
                  </wp:cNvGraphicFramePr>
                  <a:graphic>
                    <a:graphicData uri="http://schemas.openxmlformats.org/drawingml/2006/picture">
                      <pic:pic>
                        <pic:nvPicPr>
                          <pic:cNvPr id="130" name="图片 66 130"/>
                          <pic:cNvPicPr/>
                        </pic:nvPicPr>
                        <pic:blipFill>
                          <a:blip r:embed="rId50"/>
                          <a:stretch>
                            <a:fillRect/>
                          </a:stretch>
                        </pic:blipFill>
                        <pic:spPr>
                          <a:xfrm rot="0">
                            <a:off x="0" y="0"/>
                            <a:ext cx="5266690" cy="3505835"/>
                          </a:xfrm>
                          <a:prstGeom prst="rect"/>
                          <a:noFill/>
                          <a:ln w="9525" cmpd="sng" cap="flat">
                            <a:noFill/>
                            <a:prstDash val="solid"/>
                            <a:miter/>
                          </a:ln>
                        </pic:spPr>
                      </pic:pic>
                    </a:graphicData>
                  </a:graphic>
                </wp:inline>
              </w:drawing>
            </w:r>
          </w:p>
          <w:p>
            <w:pPr>
              <w:pStyle w:val="23"/>
              <w:widowControl/>
              <w:spacing w:afterLines="50" w:after="156" w:line="240" w:lineRule="auto"/>
              <w:ind w:firstLineChars="0" w:firstLine="0"/>
              <w:jc w:val="center"/>
              <w:outlineLvl w:val="2"/>
              <w:rPr>
                <w:rFonts w:ascii="宋体" w:eastAsia="宋体"/>
                <w:b/>
                <w:bCs/>
                <w:sz w:val="28"/>
                <w:szCs w:val="28"/>
              </w:rPr>
            </w:pPr>
            <w:bookmarkStart w:id="157" w:name="_Toc218688662"/>
            <w:r>
              <w:rPr>
                <w:rFonts w:ascii="宋体" w:eastAsia="宋体" w:hint="eastAsia"/>
                <w:b/>
                <w:bCs/>
              </w:rPr>
              <w:t>图</w:t>
            </w:r>
            <w:r>
              <w:rPr>
                <w:rFonts w:ascii="宋体" w:eastAsia="宋体"/>
                <w:b/>
                <w:bCs/>
              </w:rPr>
              <w:t xml:space="preserve">7-9 </w:t>
            </w:r>
            <w:r>
              <w:rPr>
                <w:rFonts w:ascii="宋体" w:eastAsia="宋体" w:hint="eastAsia"/>
                <w:b/>
                <w:bCs/>
              </w:rPr>
              <w:t>永州工商职中2024年下期消防应急疏散演练</w:t>
            </w:r>
            <w:bookmarkEnd w:id="157"/>
          </w:p>
        </w:tc>
      </w:tr>
    </w:tbl>
    <w:p>
      <w:pPr>
        <w:pStyle w:val="15"/>
        <w:rPr>
          <w:rFonts w:ascii="仿宋_GB2312"/>
          <w:b/>
          <w:bCs/>
        </w:rPr>
      </w:pPr>
    </w:p>
    <w:p>
      <w:pPr>
        <w:pStyle w:val="15"/>
        <w:rPr>
          <w:rFonts w:ascii="仿宋_GB2312"/>
          <w:b/>
          <w:bCs/>
        </w:rPr>
      </w:pPr>
    </w:p>
    <w:p>
      <w:pPr>
        <w:pStyle w:val="15"/>
        <w:rPr>
          <w:rFonts w:ascii="仿宋_GB2312"/>
          <w:b/>
          <w:bCs/>
        </w:rPr>
      </w:pPr>
      <w:r>
        <w:rPr>
          <w:rFonts w:ascii="仿宋_GB2312" w:hint="eastAsia"/>
          <w:b/>
          <w:bCs/>
        </w:rPr>
        <w:t>7.6.2全链条安全保障</w:t>
      </w:r>
    </w:p>
    <w:p>
      <w:pPr>
        <w:pStyle w:val="15"/>
        <w:rPr>
          <w:rFonts w:ascii="仿宋_GB2312"/>
        </w:rPr>
      </w:pPr>
      <w:r>
        <w:rPr>
          <w:rFonts w:ascii="仿宋_GB2312" w:hint="eastAsia"/>
        </w:rPr>
        <w:t>落实湖南校园安全网格化管理与双重防控体系，全市中职学校实现视频监控全覆盖、一键式报警装置全配备。实习安全方面，统一购买实习责任险，实行“驻厂教师+企业导师”双监护，蓝山职中、东安职中建立“每日考勤+每周汇报+每月考核”实习跟踪机制；东安职中聘请专业军事化管理团队，实施全封闭式管理，狠抓学生行为习惯养成；食品安全、消防安全常态化开展，永州工商职中完成标准化食堂改造，江华职中组织防震减灾、消防疏散演练年超4场，确保全链条安全。</w:t>
      </w:r>
    </w:p>
    <w:tbl>
      <w:tblPr>
        <w:jc w:val="lef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Grid>
        <w:gridCol w:w="8296"/>
      </w:tblGrid>
      <w:tr>
        <w:trPr>
          <w:trHeight w:hRule="exact" w:val="680"/>
        </w:trPr>
        <w:tc>
          <w:tcPr>
            <w:tcW w:w="8296" w:type="dxa"/>
            <w:tcBorders>
              <w:top w:val="single" w:sz="4" w:space="0" w:color="auto"/>
              <w:left w:val="single" w:sz="4" w:space="0" w:color="auto"/>
              <w:bottom w:val="single" w:sz="4" w:space="0" w:color="auto"/>
              <w:right w:val="single" w:sz="4" w:space="0" w:color="auto"/>
            </w:tcBorders>
            <w:shd w:val="clear" w:color="auto" w:fill="7C7264"/>
            <w:noWrap/>
            <w:vAlign w:val="center"/>
          </w:tcPr>
          <w:p>
            <w:pPr>
              <w:pStyle w:val="23"/>
              <w:widowControl/>
              <w:spacing w:line="440" w:lineRule="exact"/>
              <w:ind w:left="1440" w:hangingChars="450" w:hanging="1440"/>
              <w:jc w:val="left"/>
              <w:outlineLvl w:val="4"/>
              <w:rPr>
                <w:rFonts w:ascii="仿宋_GB2312" w:cs="仿宋_GB2312"/>
                <w:b/>
                <w:bCs/>
                <w:color w:val="0F1115"/>
                <w:sz w:val="32"/>
                <w:szCs w:val="32"/>
              </w:rPr>
            </w:pPr>
            <w:bookmarkStart w:id="158" w:name="_Toc218688714"/>
            <w:r>
              <w:rPr>
                <w:rFonts w:ascii="仿宋_GB2312" w:cs="仿宋_GB2312" w:hint="eastAsia"/>
                <w:b/>
                <w:bCs/>
                <w:color w:val="FFFFFF"/>
                <w:sz w:val="32"/>
                <w:szCs w:val="32"/>
              </w:rPr>
              <w:t>案例7-5：东安职中专创新德育教育 军事化管理促发展</w:t>
            </w:r>
            <w:bookmarkEnd w:id="158"/>
          </w:p>
        </w:tc>
      </w:tr>
      <w:tr>
        <w:tc>
          <w:tcPr>
            <w:tcW w:w="8296" w:type="dxa"/>
            <w:tcBorders>
              <w:top w:val="single" w:sz="4" w:space="0" w:color="auto"/>
              <w:left w:val="single" w:sz="4" w:space="0" w:color="auto"/>
              <w:bottom w:val="single" w:sz="4" w:space="0" w:color="auto"/>
              <w:right w:val="single" w:sz="4" w:space="0" w:color="auto"/>
            </w:tcBorders>
            <w:noWrap/>
          </w:tcPr>
          <w:p>
            <w:pPr>
              <w:widowControl/>
              <w:spacing w:line="480" w:lineRule="exact"/>
              <w:ind w:firstLineChars="200" w:firstLine="560"/>
              <w:rPr>
                <w:sz w:val="28"/>
                <w:szCs w:val="28"/>
              </w:rPr>
            </w:pPr>
            <w:r>
              <w:rPr>
                <w:rFonts w:ascii="宋体" w:cs="宋体" w:hAnsi="宋体"/>
                <w:sz w:val="28"/>
                <w:szCs w:val="28"/>
              </w:rPr>
              <w:t>面对中职学生纪律意识淡薄、行为习惯欠规范等育人难点，东安</w:t>
            </w:r>
            <w:r>
              <w:rPr>
                <w:rFonts w:ascii="宋体" w:cs="宋体" w:hAnsi="宋体" w:hint="eastAsia"/>
                <w:sz w:val="28"/>
                <w:szCs w:val="28"/>
              </w:rPr>
              <w:t>职中</w:t>
            </w:r>
            <w:r>
              <w:rPr>
                <w:rFonts w:ascii="宋体" w:cs="宋体" w:hAnsi="宋体"/>
                <w:sz w:val="28"/>
                <w:szCs w:val="28"/>
              </w:rPr>
              <w:t>创新引入由</w:t>
            </w:r>
            <w:r>
              <w:rPr>
                <w:rFonts w:ascii="宋体" w:cs="宋体" w:hAnsi="宋体" w:hint="eastAsia"/>
                <w:sz w:val="28"/>
                <w:szCs w:val="28"/>
              </w:rPr>
              <w:t>14</w:t>
            </w:r>
            <w:r>
              <w:rPr>
                <w:rFonts w:ascii="宋体" w:cs="宋体" w:hAnsi="宋体"/>
                <w:sz w:val="28"/>
                <w:szCs w:val="28"/>
              </w:rPr>
              <w:t>名退役军人组成的专职教官团队，实施全封闭、标准化与人性化相结合的准军事化管理，旨在通过日常养成教育筑牢学生行为规范与职业素养根基。​</w:t>
            </w:r>
          </w:p>
          <w:p>
            <w:pPr>
              <w:widowControl/>
              <w:spacing w:line="480" w:lineRule="exact"/>
              <w:ind w:firstLineChars="200" w:firstLine="560"/>
              <w:rPr>
                <w:sz w:val="28"/>
                <w:szCs w:val="28"/>
              </w:rPr>
            </w:pPr>
            <w:r>
              <w:rPr>
                <w:rFonts w:ascii="宋体" w:cs="宋体" w:hAnsi="宋体"/>
                <w:sz w:val="28"/>
                <w:szCs w:val="28"/>
              </w:rPr>
              <w:t>学校系统构建“管理育人、环境育人、养成育人”体系。一是强化团队建设，明确教官作为德育辅助力量，与班主任协同形成教育合力；二是细化制度规范，依据部队条令制定涵盖起床出操、内务整理、课堂纪律至就寝的全流程标准，实现“环节有章可循、行为有标可对”；三是严格过程执行，落实全封闭管理与常态化巡查，并将表现纳入考评；四是注重刚性约束与柔性关怀结合，教官通过谈心、活动关注学生心理，推动从他律向自律转化。</w:t>
            </w:r>
          </w:p>
          <w:p>
            <w:pPr>
              <w:widowControl/>
              <w:spacing w:line="480" w:lineRule="exact"/>
              <w:ind w:firstLineChars="200" w:firstLine="560"/>
              <w:rPr>
                <w:sz w:val="28"/>
                <w:szCs w:val="28"/>
              </w:rPr>
            </w:pPr>
            <w:r>
              <w:rPr>
                <w:rFonts w:ascii="宋体" w:cs="宋体" w:hAnsi="宋体"/>
                <w:sz w:val="28"/>
                <w:szCs w:val="28"/>
              </w:rPr>
              <w:t>学生精神面貌显著改善，2025年出勤率稳定于99%以上，重大违纪事件下降超70%。宿舍内务整洁、课堂秩序规范蔚然成风，技能竞赛获奖数量与层次稳步提升。毕业生因责任感、执行力强备受用人单位好评，就业稳定率与满意度显著提高，该模式已成为学校德育名片并获多校借鉴。​</w:t>
            </w:r>
          </w:p>
          <w:p>
            <w:pPr>
              <w:widowControl/>
              <w:spacing w:line="480" w:lineRule="exact"/>
              <w:ind w:firstLineChars="200" w:firstLine="560"/>
              <w:rPr>
                <w:rFonts w:cs="等线"/>
                <w:sz w:val="28"/>
                <w:szCs w:val="28"/>
              </w:rPr>
            </w:pPr>
            <w:r>
              <w:rPr>
                <w:rFonts w:ascii="宋体" w:cs="宋体" w:hAnsi="宋体"/>
                <w:sz w:val="28"/>
                <w:szCs w:val="28"/>
              </w:rPr>
              <w:t>东安职中的成功关键在于“三个结合”：外塑行为与内铸价值结合，统一标准与个性关怀结合，专职教官与全员育人结合。其经验表明，军事化管理需超越简单管束，构建以行为养成为基、素养积淀为魂的育人生态，为同类院校破解管理难题提供可行路径</w:t>
            </w:r>
            <w:r>
              <w:rPr>
                <w:rFonts w:ascii="宋体" w:cs="宋体" w:hAnsi="宋体" w:hint="eastAsia"/>
                <w:sz w:val="28"/>
                <w:szCs w:val="28"/>
              </w:rPr>
              <w:t>。</w:t>
            </w:r>
          </w:p>
        </w:tc>
      </w:tr>
    </w:tbl>
    <w:p>
      <w:pPr>
        <w:pStyle w:val="1"/>
        <w:spacing w:beforeLines="50" w:before="156" w:afterLines="50" w:after="156" w:line="520" w:lineRule="exact"/>
        <w:ind w:firstLineChars="200" w:firstLine="640"/>
        <w:rPr>
          <w:rFonts w:ascii="黑体" w:eastAsia="黑体"/>
          <w:b w:val="0"/>
          <w:bCs w:val="0"/>
          <w:sz w:val="32"/>
          <w:szCs w:val="32"/>
          <w:shd w:val="clear" w:color="auto" w:fill="FFFFFF"/>
        </w:rPr>
      </w:pPr>
      <w:bookmarkStart w:id="159" w:name="_Toc218688952"/>
      <w:bookmarkStart w:id="160" w:name="_Toc218617433"/>
      <w:r>
        <w:rPr>
          <w:rFonts w:ascii="黑体" w:eastAsia="黑体"/>
          <w:b w:val="0"/>
          <w:bCs w:val="0"/>
          <w:sz w:val="32"/>
          <w:szCs w:val="32"/>
          <w:shd w:val="clear" w:color="auto" w:fill="FFFFFF"/>
        </w:rPr>
        <w:t>8. 面临挑战</w:t>
      </w:r>
      <w:bookmarkEnd w:id="159"/>
      <w:bookmarkEnd w:id="160"/>
    </w:p>
    <w:p>
      <w:pPr>
        <w:widowControl/>
        <w:spacing w:line="560" w:lineRule="exact"/>
        <w:ind w:firstLineChars="200" w:firstLine="640"/>
        <w:jc w:val="left"/>
        <w:rPr>
          <w:rFonts w:ascii="仿宋_GB2312" w:eastAsia="仿宋_GB2312" w:cs="仿宋"/>
          <w:kern w:val="0"/>
          <w:sz w:val="32"/>
          <w:szCs w:val="32"/>
        </w:rPr>
      </w:pPr>
      <w:r>
        <w:rPr>
          <w:rFonts w:ascii="仿宋_GB2312" w:eastAsia="仿宋_GB2312" w:cs="仿宋" w:hint="eastAsia"/>
          <w:kern w:val="0"/>
          <w:sz w:val="32"/>
          <w:szCs w:val="32"/>
        </w:rPr>
        <w:t>职业教育是赋能区域产业升级、培育技术技能人才的核心载体，是支撑永州市经济社会高质量发展的重要基石。当前，永州市中职教育发展仍面临多重瓶颈制约，内涵建设与质量提升任务艰巨，全市为推动中职教育提质增效、精准对接区域发展而不断努力。</w:t>
      </w:r>
    </w:p>
    <w:p>
      <w:pPr>
        <w:widowControl/>
        <w:spacing w:line="560" w:lineRule="exact"/>
        <w:ind w:firstLineChars="200" w:firstLine="640"/>
        <w:jc w:val="left"/>
        <w:rPr>
          <w:rFonts w:ascii="仿宋_GB2312" w:eastAsia="仿宋_GB2312" w:cs="仿宋"/>
          <w:b/>
          <w:bCs/>
          <w:sz w:val="32"/>
          <w:szCs w:val="32"/>
        </w:rPr>
      </w:pPr>
      <w:r>
        <w:rPr>
          <w:rFonts w:ascii="仿宋_GB2312" w:eastAsia="仿宋_GB2312" w:cs="仿宋" w:hint="eastAsia"/>
          <w:b/>
          <w:bCs/>
          <w:kern w:val="0"/>
          <w:sz w:val="32"/>
          <w:szCs w:val="32"/>
        </w:rPr>
        <w:t>挑战一：</w:t>
      </w:r>
      <w:r>
        <w:rPr>
          <w:rFonts w:ascii="仿宋_GB2312" w:eastAsia="仿宋_GB2312" w:cs="仿宋" w:hint="eastAsia"/>
          <w:b/>
          <w:bCs/>
          <w:sz w:val="32"/>
          <w:szCs w:val="32"/>
        </w:rPr>
        <w:t>师资队伍建设滞后，筑牢核心支撑体系</w:t>
      </w:r>
    </w:p>
    <w:p>
      <w:pPr>
        <w:widowControl/>
        <w:spacing w:line="560" w:lineRule="exact"/>
        <w:ind w:firstLineChars="200" w:firstLine="640"/>
        <w:jc w:val="left"/>
        <w:rPr>
          <w:rFonts w:ascii="仿宋_GB2312" w:eastAsia="仿宋_GB2312" w:cs="仿宋"/>
          <w:sz w:val="32"/>
          <w:szCs w:val="32"/>
        </w:rPr>
      </w:pPr>
      <w:r>
        <w:rPr>
          <w:rFonts w:ascii="仿宋_GB2312" w:eastAsia="仿宋_GB2312" w:cs="仿宋" w:hint="eastAsia"/>
          <w:kern w:val="0"/>
          <w:sz w:val="32"/>
          <w:szCs w:val="32"/>
        </w:rPr>
        <w:t>全市部分中职学校师资结构失衡问题比较突出，高级职称占比偏低、学科配套不足，“双师型”教师占比未达行业标准且实践能力薄弱，新兴领域高端人才引育困难，教师数字素养与教学融合能力有待提升。</w:t>
      </w:r>
    </w:p>
    <w:p>
      <w:pPr>
        <w:widowControl/>
        <w:spacing w:line="560" w:lineRule="exact"/>
        <w:ind w:firstLineChars="200" w:firstLine="640"/>
        <w:jc w:val="left"/>
        <w:rPr>
          <w:rFonts w:ascii="仿宋_GB2312" w:eastAsia="仿宋_GB2312" w:cs="仿宋"/>
          <w:kern w:val="0"/>
          <w:sz w:val="32"/>
          <w:szCs w:val="32"/>
        </w:rPr>
      </w:pPr>
      <w:r>
        <w:rPr>
          <w:rFonts w:ascii="仿宋_GB2312" w:eastAsia="仿宋_GB2312" w:cs="仿宋" w:hint="eastAsia"/>
          <w:kern w:val="0"/>
          <w:sz w:val="32"/>
          <w:szCs w:val="32"/>
        </w:rPr>
        <w:t>未来，永州市将构建多元化师资引育体系，深化“校企双向交流”机制，共建“双师型”教师培养基地，将企业实践与职称考核挂钩；优化人才引进政策，放宽编制限制、强化待遇保障，吸引行业能工巧匠任教；常态化开展数字教学能力培训，推动信息技术与教学深度融合。</w:t>
      </w:r>
    </w:p>
    <w:p>
      <w:pPr>
        <w:widowControl/>
        <w:spacing w:line="560" w:lineRule="exact"/>
        <w:ind w:firstLineChars="200" w:firstLine="640"/>
        <w:jc w:val="left"/>
        <w:rPr>
          <w:rFonts w:ascii="仿宋_GB2312" w:eastAsia="仿宋_GB2312" w:cs="仿宋"/>
          <w:b/>
          <w:bCs/>
          <w:sz w:val="32"/>
          <w:szCs w:val="32"/>
        </w:rPr>
      </w:pPr>
      <w:r>
        <w:rPr>
          <w:rFonts w:ascii="仿宋_GB2312" w:eastAsia="仿宋_GB2312" w:cs="仿宋" w:hint="eastAsia"/>
          <w:b/>
          <w:bCs/>
          <w:sz w:val="32"/>
          <w:szCs w:val="32"/>
        </w:rPr>
        <w:t>挑战二：办学基础条件薄弱，加速数字化转型进程</w:t>
      </w:r>
    </w:p>
    <w:p>
      <w:pPr>
        <w:widowControl/>
        <w:spacing w:line="560" w:lineRule="exact"/>
        <w:ind w:firstLineChars="200" w:firstLine="640"/>
        <w:jc w:val="left"/>
        <w:rPr>
          <w:rFonts w:ascii="仿宋_GB2312" w:eastAsia="仿宋_GB2312" w:cs="仿宋"/>
          <w:sz w:val="32"/>
          <w:szCs w:val="32"/>
        </w:rPr>
      </w:pPr>
      <w:r>
        <w:rPr>
          <w:rFonts w:ascii="仿宋_GB2312" w:eastAsia="仿宋_GB2312" w:cs="仿宋" w:hint="eastAsia"/>
          <w:kern w:val="0"/>
          <w:sz w:val="32"/>
          <w:szCs w:val="32"/>
        </w:rPr>
        <w:t>相较与普高教育，全市中职学校办学空间局促、设施老化问题普遍，实训设备短缺滞后且与行业前沿脱节，数字化校园建设处于初级阶段，网络覆盖、虚拟实训资源不足，资金投入缺口制约硬件升级与资源整合。</w:t>
      </w:r>
    </w:p>
    <w:p>
      <w:pPr>
        <w:widowControl/>
        <w:spacing w:line="560" w:lineRule="exact"/>
        <w:ind w:firstLineChars="200" w:firstLine="640"/>
        <w:jc w:val="left"/>
        <w:rPr>
          <w:rFonts w:ascii="仿宋_GB2312" w:eastAsia="仿宋_GB2312" w:cs="仿宋"/>
          <w:kern w:val="0"/>
          <w:sz w:val="32"/>
          <w:szCs w:val="32"/>
        </w:rPr>
      </w:pPr>
      <w:r>
        <w:rPr>
          <w:rFonts w:ascii="仿宋_GB2312" w:eastAsia="仿宋_GB2312" w:cs="仿宋" w:hint="eastAsia"/>
          <w:kern w:val="0"/>
          <w:sz w:val="32"/>
          <w:szCs w:val="32"/>
        </w:rPr>
        <w:t>未来，永州市将推进中职学校的标准化校园建设，重点升级特色专业实训设施，补充新兴产业实训工位；拓宽资金筹集渠道，建立实训设备动态更新机制；深化数字化校园建设，搭建一体化教学管理平台，引入虚拟仿真资源，完善网络基础设施，推广混合式教学模式。</w:t>
      </w:r>
    </w:p>
    <w:p>
      <w:pPr>
        <w:widowControl/>
        <w:spacing w:line="560" w:lineRule="exact"/>
        <w:ind w:firstLineChars="200" w:firstLine="640"/>
        <w:jc w:val="left"/>
        <w:rPr>
          <w:rFonts w:ascii="仿宋_GB2312" w:eastAsia="仿宋_GB2312" w:cs="仿宋"/>
          <w:b/>
          <w:bCs/>
          <w:sz w:val="32"/>
          <w:szCs w:val="32"/>
        </w:rPr>
      </w:pPr>
      <w:r>
        <w:rPr>
          <w:rFonts w:ascii="仿宋_GB2312" w:eastAsia="仿宋_GB2312" w:cs="仿宋" w:hint="eastAsia"/>
          <w:b/>
          <w:bCs/>
          <w:kern w:val="0"/>
          <w:sz w:val="32"/>
          <w:szCs w:val="32"/>
        </w:rPr>
        <w:t>挑战</w:t>
      </w:r>
      <w:r>
        <w:rPr>
          <w:rFonts w:ascii="仿宋_GB2312" w:eastAsia="仿宋_GB2312" w:cs="仿宋" w:hint="eastAsia"/>
          <w:b/>
          <w:bCs/>
          <w:sz w:val="32"/>
          <w:szCs w:val="32"/>
        </w:rPr>
        <w:t>三：产教融合深度不足，构建精准对接体系</w:t>
      </w:r>
    </w:p>
    <w:p>
      <w:pPr>
        <w:widowControl/>
        <w:spacing w:line="560" w:lineRule="exact"/>
        <w:ind w:firstLineChars="200" w:firstLine="640"/>
        <w:jc w:val="left"/>
        <w:rPr>
          <w:rFonts w:ascii="仿宋_GB2312" w:eastAsia="仿宋_GB2312" w:cs="仿宋"/>
          <w:sz w:val="32"/>
          <w:szCs w:val="32"/>
        </w:rPr>
      </w:pPr>
      <w:r>
        <w:rPr>
          <w:rFonts w:ascii="仿宋_GB2312" w:eastAsia="仿宋_GB2312" w:cs="仿宋" w:hint="eastAsia"/>
          <w:kern w:val="0"/>
          <w:sz w:val="32"/>
          <w:szCs w:val="32"/>
        </w:rPr>
        <w:t>全市中职教育专业特色不够鲜明，课程体系滞后于产业迭代，新兴技术覆盖不足，企业标准融入教学不充分；校企合作层次偏浅，协同育人机制不健全，深度参与人才培养的企业占比低，人才供需衔接不畅。</w:t>
      </w:r>
    </w:p>
    <w:p>
      <w:pPr>
        <w:widowControl/>
        <w:spacing w:line="560" w:lineRule="exact"/>
        <w:ind w:firstLineChars="200" w:firstLine="640"/>
        <w:jc w:val="left"/>
        <w:rPr>
          <w:rFonts w:ascii="仿宋_GB2312" w:eastAsia="仿宋_GB2312" w:cs="仿宋"/>
          <w:kern w:val="0"/>
          <w:sz w:val="32"/>
          <w:szCs w:val="32"/>
        </w:rPr>
      </w:pPr>
      <w:r>
        <w:rPr>
          <w:rFonts w:ascii="仿宋_GB2312" w:eastAsia="仿宋_GB2312" w:cs="仿宋" w:hint="eastAsia"/>
          <w:kern w:val="0"/>
          <w:sz w:val="32"/>
          <w:szCs w:val="32"/>
        </w:rPr>
        <w:t>未来，永州市将以区域产业需求为导向，动态优化专业布局，打造特色专业群，推进“岗课赛证”融通；拓展“政校行企研”协同模式，共建产业学院与实训基地，推动企业全程参与教学各环节；健全校企合作评估机制，实现各专业稳定合作项目全覆盖。</w:t>
      </w:r>
    </w:p>
    <w:p>
      <w:pPr>
        <w:widowControl/>
        <w:spacing w:line="560" w:lineRule="exact"/>
        <w:ind w:firstLineChars="200" w:firstLine="640"/>
        <w:jc w:val="left"/>
        <w:rPr>
          <w:rFonts w:ascii="仿宋_GB2312" w:eastAsia="仿宋_GB2312" w:cs="仿宋"/>
          <w:b/>
          <w:bCs/>
          <w:sz w:val="32"/>
          <w:szCs w:val="32"/>
        </w:rPr>
      </w:pPr>
      <w:r>
        <w:rPr>
          <w:rFonts w:ascii="仿宋_GB2312" w:eastAsia="仿宋_GB2312" w:cs="仿宋" w:hint="eastAsia"/>
          <w:b/>
          <w:bCs/>
          <w:kern w:val="0"/>
          <w:sz w:val="32"/>
          <w:szCs w:val="32"/>
        </w:rPr>
        <w:t>挑战</w:t>
      </w:r>
      <w:r>
        <w:rPr>
          <w:rFonts w:ascii="仿宋_GB2312" w:eastAsia="仿宋_GB2312" w:cs="仿宋" w:hint="eastAsia"/>
          <w:b/>
          <w:bCs/>
          <w:sz w:val="32"/>
          <w:szCs w:val="32"/>
        </w:rPr>
        <w:t>四：管理评价体系不完善，优化人才培养模式</w:t>
      </w:r>
    </w:p>
    <w:p>
      <w:pPr>
        <w:widowControl/>
        <w:spacing w:line="560" w:lineRule="exact"/>
        <w:ind w:firstLineChars="200" w:firstLine="640"/>
        <w:jc w:val="left"/>
        <w:rPr>
          <w:rFonts w:ascii="仿宋_GB2312" w:eastAsia="仿宋_GB2312" w:cs="仿宋"/>
          <w:sz w:val="32"/>
          <w:szCs w:val="32"/>
        </w:rPr>
      </w:pPr>
      <w:r>
        <w:rPr>
          <w:rFonts w:ascii="仿宋_GB2312" w:eastAsia="仿宋_GB2312" w:cs="仿宋" w:hint="eastAsia"/>
          <w:kern w:val="0"/>
          <w:sz w:val="32"/>
          <w:szCs w:val="32"/>
        </w:rPr>
        <w:t>全市部分中职学校教学管理机制流于形式，缺乏科学的质量评价与就业安排体系；实训评价单一固化，忽视职业素养与创新能力培养；升学与就业定位模糊，课时分配不合理，备考资源不足，难以满足学生多元发展需求。</w:t>
      </w:r>
    </w:p>
    <w:p>
      <w:pPr>
        <w:widowControl/>
        <w:spacing w:line="560" w:lineRule="exact"/>
        <w:ind w:firstLineChars="200" w:firstLine="640"/>
        <w:jc w:val="left"/>
        <w:rPr>
          <w:rFonts w:ascii="仿宋_GB2312" w:eastAsia="仿宋_GB2312" w:cs="仿宋"/>
          <w:kern w:val="0"/>
          <w:sz w:val="32"/>
          <w:szCs w:val="32"/>
        </w:rPr>
      </w:pPr>
      <w:r>
        <w:rPr>
          <w:rFonts w:ascii="仿宋_GB2312" w:eastAsia="仿宋_GB2312" w:cs="仿宋" w:hint="eastAsia"/>
          <w:kern w:val="0"/>
          <w:sz w:val="32"/>
          <w:szCs w:val="32"/>
        </w:rPr>
        <w:t>未来，永州市将不断健全教学管理与质量评价体系，完善教师专业发展长效机制；构建多元化实训评价体系，提高企业评价权重；明晰升学就业双轨定位，优化课时分配，健全升学指导体系，强化技能训练，实现“毕业即持证、持证即上岗”目标。</w:t>
      </w:r>
    </w:p>
    <w:p>
      <w:pPr>
        <w:widowControl/>
        <w:spacing w:line="560" w:lineRule="exact"/>
        <w:ind w:firstLineChars="200" w:firstLine="640"/>
        <w:jc w:val="left"/>
        <w:rPr>
          <w:rFonts w:ascii="仿宋_GB2312" w:eastAsia="仿宋_GB2312" w:cs="仿宋"/>
          <w:b/>
          <w:bCs/>
          <w:sz w:val="32"/>
          <w:szCs w:val="32"/>
        </w:rPr>
      </w:pPr>
      <w:r>
        <w:rPr>
          <w:rFonts w:ascii="仿宋_GB2312" w:eastAsia="仿宋_GB2312" w:cs="仿宋" w:hint="eastAsia"/>
          <w:b/>
          <w:bCs/>
          <w:kern w:val="0"/>
          <w:sz w:val="32"/>
          <w:szCs w:val="32"/>
        </w:rPr>
        <w:t>挑战</w:t>
      </w:r>
      <w:r>
        <w:rPr>
          <w:rFonts w:ascii="仿宋_GB2312" w:eastAsia="仿宋_GB2312" w:cs="仿宋" w:hint="eastAsia"/>
          <w:b/>
          <w:bCs/>
          <w:sz w:val="32"/>
          <w:szCs w:val="32"/>
        </w:rPr>
        <w:t>五：发展制约明显，提升社会认可度</w:t>
      </w:r>
    </w:p>
    <w:p>
      <w:pPr>
        <w:widowControl/>
        <w:spacing w:line="560" w:lineRule="exact"/>
        <w:ind w:firstLineChars="200" w:firstLine="640"/>
        <w:jc w:val="left"/>
        <w:rPr>
          <w:rFonts w:ascii="仿宋_GB2312" w:eastAsia="仿宋_GB2312" w:cs="仿宋"/>
          <w:sz w:val="32"/>
          <w:szCs w:val="32"/>
        </w:rPr>
      </w:pPr>
      <w:r>
        <w:rPr>
          <w:rFonts w:ascii="仿宋_GB2312" w:eastAsia="仿宋_GB2312" w:cs="仿宋" w:hint="eastAsia"/>
          <w:kern w:val="0"/>
          <w:sz w:val="32"/>
          <w:szCs w:val="32"/>
        </w:rPr>
        <w:t>“重普教、轻职教”的传统观念根深蒂固，中职教育的社会认可度较低；受人口出生率下降、普高扩招影响，生源数量与质量双下滑，形成发展恶性循环。</w:t>
      </w:r>
    </w:p>
    <w:p>
      <w:pPr>
        <w:widowControl/>
        <w:spacing w:line="560" w:lineRule="exact"/>
        <w:ind w:firstLineChars="200" w:firstLine="640"/>
        <w:jc w:val="left"/>
        <w:rPr>
          <w:rFonts w:ascii="仿宋_GB2312" w:eastAsia="仿宋_GB2312" w:cs="仿宋"/>
          <w:kern w:val="0"/>
          <w:sz w:val="32"/>
          <w:szCs w:val="32"/>
        </w:rPr>
      </w:pPr>
      <w:r>
        <w:rPr>
          <w:rFonts w:ascii="仿宋_GB2312" w:eastAsia="仿宋_GB2312" w:cs="仿宋" w:hint="eastAsia"/>
          <w:kern w:val="0"/>
          <w:sz w:val="32"/>
          <w:szCs w:val="32"/>
        </w:rPr>
        <w:t>未来，永州市将不断挖掘地域文化内涵，打造特色校园文化品牌；强化招生宣传与成果展示，扭转传统观念；健全“三全育人”体系，完善综合素质评价，关注个性化发展，以高质量人才培养提升社会认可度。</w:t>
      </w:r>
    </w:p>
    <w:p>
      <w:pPr>
        <w:widowControl/>
        <w:spacing w:line="560" w:lineRule="exact"/>
        <w:ind w:firstLineChars="200" w:firstLine="640"/>
        <w:jc w:val="left"/>
        <w:rPr>
          <w:rFonts w:ascii="仿宋_GB2312" w:eastAsia="仿宋_GB2312" w:cs="仿宋"/>
          <w:b/>
          <w:bCs/>
          <w:sz w:val="32"/>
          <w:szCs w:val="32"/>
        </w:rPr>
      </w:pPr>
      <w:r>
        <w:rPr>
          <w:rFonts w:ascii="仿宋_GB2312" w:eastAsia="仿宋_GB2312" w:cs="仿宋" w:hint="eastAsia"/>
          <w:b/>
          <w:bCs/>
          <w:kern w:val="0"/>
          <w:sz w:val="32"/>
          <w:szCs w:val="32"/>
        </w:rPr>
        <w:t>挑战</w:t>
      </w:r>
      <w:r>
        <w:rPr>
          <w:rFonts w:ascii="仿宋_GB2312" w:eastAsia="仿宋_GB2312" w:cs="仿宋" w:hint="eastAsia"/>
          <w:b/>
          <w:bCs/>
          <w:sz w:val="32"/>
          <w:szCs w:val="32"/>
        </w:rPr>
        <w:t>六：强化政策保障支撑，凝聚协同发展合力</w:t>
      </w:r>
    </w:p>
    <w:p>
      <w:pPr>
        <w:widowControl/>
        <w:spacing w:line="560" w:lineRule="exact"/>
        <w:ind w:firstLineChars="200" w:firstLine="640"/>
        <w:jc w:val="left"/>
        <w:rPr>
          <w:rFonts w:ascii="仿宋_GB2312" w:eastAsia="仿宋_GB2312" w:cs="仿宋"/>
          <w:sz w:val="32"/>
          <w:szCs w:val="32"/>
        </w:rPr>
      </w:pPr>
      <w:r>
        <w:rPr>
          <w:rFonts w:ascii="仿宋_GB2312" w:eastAsia="仿宋_GB2312" w:cs="仿宋" w:hint="eastAsia"/>
          <w:kern w:val="0"/>
          <w:sz w:val="32"/>
          <w:szCs w:val="32"/>
        </w:rPr>
        <w:t>全市中职教育政策支持力度还不足，职教发展专项资金短缺，人才引进政策受限，缺乏高水平院校帮扶引领。</w:t>
      </w:r>
    </w:p>
    <w:p>
      <w:pPr>
        <w:widowControl/>
        <w:spacing w:line="560" w:lineRule="exact"/>
        <w:ind w:firstLineChars="200" w:firstLine="640"/>
        <w:jc w:val="left"/>
        <w:rPr>
          <w:rFonts w:ascii="仿宋_GB2312" w:eastAsia="仿宋_GB2312" w:cs="仿宋"/>
          <w:kern w:val="0"/>
          <w:sz w:val="32"/>
          <w:szCs w:val="32"/>
        </w:rPr>
      </w:pPr>
      <w:r>
        <w:rPr>
          <w:rFonts w:ascii="仿宋_GB2312" w:eastAsia="仿宋_GB2312" w:cs="仿宋" w:hint="eastAsia"/>
          <w:kern w:val="0"/>
          <w:sz w:val="32"/>
          <w:szCs w:val="32"/>
        </w:rPr>
        <w:t>未来，永州市将积极争取上级政策与资金倾斜，设立职教发展专项基金；优化人才引进与编制管理政策；搭建帮扶协作平台，对接高水平院校开展精准帮扶，推动全市职业教育整体提升，积极对接全省“三高四新”战略和全市“三区两城”区域经济布局，助力区域新质生产力发展。</w:t>
      </w:r>
    </w:p>
    <w:p>
      <w:pPr>
        <w:widowControl/>
        <w:jc w:val="left"/>
        <w:rPr>
          <w:rFonts w:ascii="仿宋_GB2312" w:eastAsia="仿宋_GB2312" w:cs="仿宋"/>
          <w:kern w:val="0"/>
          <w:sz w:val="32"/>
          <w:szCs w:val="32"/>
        </w:rPr>
      </w:pPr>
      <w:r>
        <w:rPr>
          <w:rFonts w:ascii="仿宋_GB2312" w:eastAsia="仿宋_GB2312" w:cs="仿宋"/>
          <w:kern w:val="0"/>
          <w:sz w:val="32"/>
          <w:szCs w:val="32"/>
        </w:rPr>
        <w:br w:type="page"/>
      </w:r>
    </w:p>
    <w:p>
      <w:pPr>
        <w:pStyle w:val="1"/>
        <w:spacing w:beforeLines="50" w:before="156" w:afterLines="50" w:after="156" w:line="520" w:lineRule="exact"/>
        <w:ind w:firstLineChars="200" w:firstLine="640"/>
        <w:rPr>
          <w:rFonts w:ascii="黑体" w:eastAsia="黑体"/>
          <w:b w:val="0"/>
          <w:bCs w:val="0"/>
          <w:sz w:val="32"/>
          <w:szCs w:val="32"/>
          <w:shd w:val="clear" w:color="auto" w:fill="FFFFFF"/>
        </w:rPr>
      </w:pPr>
      <w:bookmarkStart w:id="161" w:name="_Toc218688953"/>
      <w:bookmarkStart w:id="162" w:name="_Toc218617434"/>
      <w:r>
        <w:rPr>
          <w:rFonts w:ascii="黑体" w:eastAsia="黑体" w:hint="eastAsia"/>
          <w:b w:val="0"/>
          <w:bCs w:val="0"/>
          <w:sz w:val="32"/>
          <w:szCs w:val="32"/>
          <w:shd w:val="clear" w:color="auto" w:fill="FFFFFF"/>
        </w:rPr>
        <w:t>9</w:t>
      </w:r>
      <w:r>
        <w:rPr>
          <w:rFonts w:ascii="黑体" w:eastAsia="黑体"/>
          <w:b w:val="0"/>
          <w:bCs w:val="0"/>
          <w:sz w:val="32"/>
          <w:szCs w:val="32"/>
          <w:shd w:val="clear" w:color="auto" w:fill="FFFFFF"/>
        </w:rPr>
        <w:t xml:space="preserve">. </w:t>
      </w:r>
      <w:r>
        <w:rPr>
          <w:rFonts w:ascii="黑体" w:eastAsia="黑体" w:hint="eastAsia"/>
          <w:b w:val="0"/>
          <w:bCs w:val="0"/>
          <w:sz w:val="32"/>
          <w:szCs w:val="32"/>
          <w:shd w:val="clear" w:color="auto" w:fill="FFFFFF"/>
        </w:rPr>
        <w:t>附录</w:t>
      </w:r>
      <w:bookmarkEnd w:id="161"/>
      <w:bookmarkEnd w:id="162"/>
    </w:p>
    <w:p>
      <w:pPr>
        <w:pStyle w:val="2"/>
        <w:spacing w:before="0" w:after="0" w:line="560" w:lineRule="exact"/>
        <w:ind w:firstLineChars="200" w:firstLine="640"/>
        <w:rPr>
          <w:rFonts w:ascii="楷体" w:eastAsia="楷体"/>
          <w:shd w:val="clear" w:color="auto" w:fill="FFFFFF"/>
        </w:rPr>
      </w:pPr>
      <w:bookmarkStart w:id="163" w:name="_Toc218688954"/>
      <w:r>
        <w:rPr>
          <w:rFonts w:ascii="楷体" w:eastAsia="楷体" w:hint="eastAsia"/>
          <w:shd w:val="clear" w:color="auto" w:fill="FFFFFF"/>
        </w:rPr>
        <w:t>9</w:t>
      </w:r>
      <w:r>
        <w:rPr>
          <w:rFonts w:ascii="楷体" w:eastAsia="楷体"/>
          <w:shd w:val="clear" w:color="auto" w:fill="FFFFFF"/>
        </w:rPr>
        <w:t>.1</w:t>
      </w:r>
      <w:r>
        <w:rPr>
          <w:rFonts w:ascii="楷体" w:eastAsia="楷体" w:hint="eastAsia"/>
          <w:shd w:val="clear" w:color="auto" w:fill="FFFFFF"/>
        </w:rPr>
        <w:t>人才培养质量计分表</w:t>
      </w:r>
      <w:bookmarkEnd w:id="163"/>
    </w:p>
    <w:tbl>
      <w:tblPr>
        <w:jc w:val="left"/>
        <w:tblInd w:w="0" w:type="dxa"/>
        <w:tblW w:w="8840" w:type="dxa"/>
        <w:tblBorders>
          <w:top w:val="none" w:sz="0" w:space="0" w:color="auto"/>
          <w:left w:val="none" w:sz="0" w:space="0" w:color="auto"/>
          <w:bottom w:val="none" w:sz="0" w:space="0" w:color="auto"/>
          <w:right w:val="none" w:sz="0" w:space="0" w:color="auto"/>
        </w:tblBorders>
        <w:tblCellMar>
          <w:top w:w="0" w:type="dxa"/>
          <w:left w:w="108" w:type="dxa"/>
          <w:bottom w:w="0" w:type="dxa"/>
          <w:right w:w="108" w:type="dxa"/>
        </w:tblCellMar>
      </w:tblPr>
      <w:tblGrid>
        <w:gridCol w:w="1080"/>
        <w:gridCol w:w="1080"/>
        <w:gridCol w:w="2280"/>
        <w:gridCol w:w="1080"/>
        <w:gridCol w:w="1080"/>
        <w:gridCol w:w="1120"/>
        <w:gridCol w:w="1120"/>
      </w:tblGrid>
      <w:tr>
        <w:trPr>
          <w:trHeight w:val="593"/>
        </w:trPr>
        <w:tc>
          <w:tcPr>
            <w:tcW w:w="4440" w:type="dxa"/>
            <w:gridSpan w:val="3"/>
            <w:tcBorders>
              <w:top w:val="single" w:sz="8" w:space="0" w:color="000000"/>
              <w:left w:val="single" w:sz="8" w:space="0" w:color="auto"/>
              <w:bottom w:val="single" w:sz="8" w:space="0" w:color="auto"/>
              <w:right w:val="single" w:sz="4" w:space="0" w:color="auto"/>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指标</w:t>
            </w:r>
          </w:p>
        </w:tc>
        <w:tc>
          <w:tcPr>
            <w:tcW w:w="1080" w:type="dxa"/>
            <w:tcBorders>
              <w:top w:val="single" w:sz="8" w:space="0" w:color="000000"/>
              <w:left w:val="single" w:sz="8" w:space="0" w:color="auto"/>
              <w:bottom w:val="single" w:sz="8" w:space="0" w:color="auto"/>
              <w:right w:val="single" w:sz="8" w:space="0" w:color="auto"/>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序号</w:t>
            </w:r>
          </w:p>
        </w:tc>
        <w:tc>
          <w:tcPr>
            <w:tcW w:w="1080" w:type="dxa"/>
            <w:tcBorders>
              <w:top w:val="single" w:sz="8" w:space="0" w:color="000000"/>
              <w:left w:val="nil"/>
              <w:bottom w:val="single" w:sz="8" w:space="0" w:color="auto"/>
              <w:right w:val="single" w:sz="8" w:space="0" w:color="auto"/>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单位</w:t>
            </w:r>
          </w:p>
        </w:tc>
        <w:tc>
          <w:tcPr>
            <w:tcW w:w="1120" w:type="dxa"/>
            <w:tcBorders>
              <w:top w:val="single" w:sz="8" w:space="0" w:color="000000"/>
              <w:left w:val="nil"/>
              <w:bottom w:val="single" w:sz="8" w:space="0" w:color="auto"/>
              <w:right w:val="nil"/>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2024年</w:t>
            </w:r>
          </w:p>
        </w:tc>
        <w:tc>
          <w:tcPr>
            <w:tcW w:w="1120" w:type="dxa"/>
            <w:tcBorders>
              <w:top w:val="single" w:sz="8" w:space="0" w:color="000000"/>
              <w:left w:val="single" w:sz="8" w:space="0" w:color="auto"/>
              <w:bottom w:val="single" w:sz="8" w:space="0" w:color="auto"/>
              <w:right w:val="single" w:sz="8" w:space="0" w:color="000000"/>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2025年</w:t>
            </w:r>
          </w:p>
        </w:tc>
      </w:tr>
      <w:tr>
        <w:trPr>
          <w:trHeight w:val="750"/>
        </w:trPr>
        <w:tc>
          <w:tcPr>
            <w:tcW w:w="1080" w:type="dxa"/>
            <w:vMerge w:val="restart"/>
            <w:tcBorders>
              <w:top w:val="nil"/>
              <w:left w:val="single" w:sz="8" w:space="0" w:color="000000"/>
              <w:bottom w:val="single" w:sz="8" w:space="0" w:color="000000"/>
              <w:right w:val="single" w:sz="8" w:space="0" w:color="000000"/>
            </w:tcBorders>
            <w:shd w:val="clear" w:color="auto" w:fill="45B0E1"/>
            <w:noWrap/>
            <w:vAlign w:val="center"/>
          </w:tcPr>
          <w:p>
            <w:pPr>
              <w:widowControl/>
              <w:jc w:val="center"/>
              <w:outlineLvl w:val="3"/>
              <w:rPr>
                <w:rFonts w:ascii="宋体" w:eastAsia="宋体" w:cs="宋体"/>
                <w:b/>
                <w:bCs/>
                <w:color w:val="000000"/>
                <w:kern w:val="0"/>
                <w:sz w:val="24"/>
                <w:szCs w:val="24"/>
              </w:rPr>
            </w:pPr>
            <w:bookmarkStart w:id="164" w:name="_Toc218688671"/>
            <w:r>
              <w:rPr>
                <w:rFonts w:ascii="宋体" w:eastAsia="宋体" w:cs="宋体" w:hint="eastAsia"/>
                <w:b/>
                <w:bCs/>
                <w:kern w:val="0"/>
                <w:sz w:val="24"/>
                <w:szCs w:val="24"/>
              </w:rPr>
              <w:t>表9</w:t>
            </w:r>
            <w:r>
              <w:rPr>
                <w:rFonts w:ascii="宋体" w:eastAsia="宋体" w:cs="宋体"/>
                <w:b/>
                <w:bCs/>
                <w:kern w:val="0"/>
                <w:sz w:val="24"/>
                <w:szCs w:val="24"/>
              </w:rPr>
              <w:t xml:space="preserve">-1 </w:t>
            </w:r>
            <w:r>
              <w:rPr>
                <w:rFonts w:ascii="宋体" w:eastAsia="宋体" w:cs="宋体" w:hint="eastAsia"/>
                <w:b/>
                <w:bCs/>
                <w:kern w:val="0"/>
                <w:sz w:val="24"/>
                <w:szCs w:val="24"/>
              </w:rPr>
              <w:t>人才培养质量计分表</w:t>
            </w:r>
            <w:bookmarkEnd w:id="164"/>
          </w:p>
        </w:tc>
        <w:tc>
          <w:tcPr>
            <w:tcW w:w="3360" w:type="dxa"/>
            <w:gridSpan w:val="2"/>
            <w:tcBorders>
              <w:top w:val="single" w:sz="8" w:space="0" w:color="auto"/>
              <w:left w:val="nil"/>
              <w:bottom w:val="single" w:sz="8" w:space="0" w:color="auto"/>
              <w:right w:val="single" w:sz="8" w:space="0" w:color="auto"/>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毕业生人数*</w:t>
            </w:r>
          </w:p>
        </w:tc>
        <w:tc>
          <w:tcPr>
            <w:tcW w:w="1080" w:type="dxa"/>
            <w:tcBorders>
              <w:top w:val="nil"/>
              <w:left w:val="nil"/>
              <w:bottom w:val="single" w:sz="8" w:space="0" w:color="auto"/>
              <w:right w:val="single" w:sz="8" w:space="0" w:color="auto"/>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w:t>
            </w:r>
          </w:p>
        </w:tc>
        <w:tc>
          <w:tcPr>
            <w:tcW w:w="1080" w:type="dxa"/>
            <w:tcBorders>
              <w:top w:val="nil"/>
              <w:left w:val="nil"/>
              <w:bottom w:val="single" w:sz="8" w:space="0" w:color="auto"/>
              <w:right w:val="single" w:sz="8" w:space="0" w:color="auto"/>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auto"/>
              <w:right w:val="nil"/>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26368</w:t>
            </w:r>
          </w:p>
        </w:tc>
        <w:tc>
          <w:tcPr>
            <w:tcW w:w="1120" w:type="dxa"/>
            <w:tcBorders>
              <w:top w:val="nil"/>
              <w:left w:val="single" w:sz="8" w:space="0" w:color="auto"/>
              <w:bottom w:val="single" w:sz="8" w:space="0" w:color="auto"/>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25102</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毕业生去向落实人数</w:t>
            </w:r>
          </w:p>
        </w:tc>
        <w:tc>
          <w:tcPr>
            <w:tcW w:w="1080" w:type="dxa"/>
            <w:tcBorders>
              <w:top w:val="nil"/>
              <w:left w:val="nil"/>
              <w:bottom w:val="single" w:sz="8" w:space="0" w:color="auto"/>
              <w:right w:val="single" w:sz="8" w:space="0" w:color="auto"/>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2</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22356</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23144</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vMerge w:val="restart"/>
            <w:tcBorders>
              <w:top w:val="nil"/>
              <w:left w:val="nil"/>
              <w:right w:val="nil"/>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其中：</w:t>
            </w:r>
          </w:p>
          <w:p>
            <w:pPr>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tcBorders>
              <w:top w:val="nil"/>
              <w:left w:val="single" w:sz="8" w:space="0" w:color="000000"/>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升学人数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3</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11494</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10795</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vMerge/>
            <w:tcBorders>
              <w:left w:val="nil"/>
              <w:bottom w:val="single" w:sz="8" w:space="0" w:color="000000"/>
              <w:right w:val="nil"/>
            </w:tcBorders>
            <w:shd w:val="clear" w:color="auto" w:fill="auto"/>
            <w:noWrap/>
            <w:vAlign w:val="center"/>
          </w:tcPr>
          <w:p/>
        </w:tc>
        <w:tc>
          <w:tcPr>
            <w:tcW w:w="2280" w:type="dxa"/>
            <w:tcBorders>
              <w:top w:val="nil"/>
              <w:left w:val="single" w:sz="8" w:space="0" w:color="000000"/>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升入本科人数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4</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881</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1528</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毕业生本省去向落实率</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5</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39.26</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14.06</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月收入</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6</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元</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3880</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3825</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毕业生面向三次产业就业人数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7</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9934</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10620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vMerge w:val="restart"/>
            <w:tcBorders>
              <w:top w:val="nil"/>
              <w:left w:val="nil"/>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其中：</w:t>
            </w:r>
          </w:p>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p>
            <w:pPr>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面向第一产业就业人数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8</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553</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463</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vMerge/>
            <w:tcBorders>
              <w:left w:val="nil"/>
              <w:right w:val="single" w:sz="8" w:space="0" w:color="000000"/>
            </w:tcBorders>
            <w:shd w:val="clear" w:color="auto" w:fill="auto"/>
            <w:noWrap/>
            <w:vAlign w:val="center"/>
          </w:tcP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面向第二产业就业人数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9</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5538</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5955</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vMerge/>
            <w:tcBorders>
              <w:left w:val="nil"/>
              <w:bottom w:val="single" w:sz="8" w:space="0" w:color="000000"/>
              <w:right w:val="single" w:sz="8" w:space="0" w:color="000000"/>
            </w:tcBorders>
            <w:shd w:val="clear" w:color="auto" w:fill="auto"/>
            <w:noWrap/>
            <w:vAlign w:val="center"/>
          </w:tcP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面向第三产业就业人数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10</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3843</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4202</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自主创业率</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11</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0.98</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0.6</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毕业三年晋升比例</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12</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71</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13.98</w:t>
            </w:r>
          </w:p>
        </w:tc>
      </w:tr>
    </w:tbl>
    <w:p>
      <w:pPr>
        <w:pStyle w:val="2"/>
        <w:spacing w:before="0" w:after="0" w:line="560" w:lineRule="exact"/>
        <w:ind w:firstLineChars="200" w:firstLine="640"/>
        <w:rPr>
          <w:rFonts w:ascii="楷体" w:eastAsia="楷体"/>
          <w:shd w:val="clear" w:color="auto" w:fill="FFFFFF"/>
        </w:rPr>
      </w:pPr>
      <w:bookmarkStart w:id="165" w:name="_Toc218688955"/>
      <w:r>
        <w:rPr>
          <w:rFonts w:ascii="楷体" w:eastAsia="楷体" w:hint="eastAsia"/>
          <w:shd w:val="clear" w:color="auto" w:fill="FFFFFF"/>
        </w:rPr>
        <w:t>9</w:t>
      </w:r>
      <w:r>
        <w:rPr>
          <w:rFonts w:ascii="楷体" w:eastAsia="楷体"/>
          <w:shd w:val="clear" w:color="auto" w:fill="FFFFFF"/>
        </w:rPr>
        <w:t>.2</w:t>
      </w:r>
      <w:r>
        <w:rPr>
          <w:rFonts w:ascii="楷体" w:eastAsia="楷体" w:hint="eastAsia"/>
          <w:shd w:val="clear" w:color="auto" w:fill="FFFFFF"/>
        </w:rPr>
        <w:t>满意度调查表</w:t>
      </w:r>
      <w:bookmarkEnd w:id="165"/>
    </w:p>
    <w:tbl>
      <w:tblPr>
        <w:jc w:val="left"/>
        <w:tblInd w:w="0" w:type="dxa"/>
        <w:tblW w:w="8840" w:type="dxa"/>
        <w:tblBorders>
          <w:top w:val="none" w:sz="0" w:space="0" w:color="auto"/>
          <w:left w:val="none" w:sz="0" w:space="0" w:color="auto"/>
          <w:bottom w:val="none" w:sz="0" w:space="0" w:color="auto"/>
          <w:right w:val="none" w:sz="0" w:space="0" w:color="auto"/>
        </w:tblBorders>
        <w:tblCellMar>
          <w:top w:w="0" w:type="dxa"/>
          <w:left w:w="108" w:type="dxa"/>
          <w:bottom w:w="0" w:type="dxa"/>
          <w:right w:w="108" w:type="dxa"/>
        </w:tblCellMar>
      </w:tblPr>
      <w:tblGrid>
        <w:gridCol w:w="1080"/>
        <w:gridCol w:w="1080"/>
        <w:gridCol w:w="2280"/>
        <w:gridCol w:w="1080"/>
        <w:gridCol w:w="1080"/>
        <w:gridCol w:w="1120"/>
        <w:gridCol w:w="1120"/>
      </w:tblGrid>
      <w:tr>
        <w:trPr>
          <w:trHeight w:val="587"/>
        </w:trPr>
        <w:tc>
          <w:tcPr>
            <w:tcW w:w="4440" w:type="dxa"/>
            <w:gridSpan w:val="3"/>
            <w:tcBorders>
              <w:top w:val="single" w:sz="8" w:space="0" w:color="000000"/>
              <w:left w:val="single" w:sz="8" w:space="0" w:color="auto"/>
              <w:bottom w:val="single" w:sz="8" w:space="0" w:color="auto"/>
              <w:right w:val="single" w:sz="4" w:space="0" w:color="auto"/>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指标</w:t>
            </w:r>
          </w:p>
        </w:tc>
        <w:tc>
          <w:tcPr>
            <w:tcW w:w="1080" w:type="dxa"/>
            <w:tcBorders>
              <w:top w:val="single" w:sz="8" w:space="0" w:color="000000"/>
              <w:left w:val="single" w:sz="8" w:space="0" w:color="auto"/>
              <w:bottom w:val="single" w:sz="8" w:space="0" w:color="auto"/>
              <w:right w:val="single" w:sz="8" w:space="0" w:color="auto"/>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序号</w:t>
            </w:r>
          </w:p>
        </w:tc>
        <w:tc>
          <w:tcPr>
            <w:tcW w:w="1080" w:type="dxa"/>
            <w:tcBorders>
              <w:top w:val="single" w:sz="8" w:space="0" w:color="000000"/>
              <w:left w:val="nil"/>
              <w:bottom w:val="single" w:sz="8" w:space="0" w:color="auto"/>
              <w:right w:val="single" w:sz="8" w:space="0" w:color="auto"/>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单位</w:t>
            </w:r>
          </w:p>
        </w:tc>
        <w:tc>
          <w:tcPr>
            <w:tcW w:w="1120" w:type="dxa"/>
            <w:tcBorders>
              <w:top w:val="single" w:sz="8" w:space="0" w:color="000000"/>
              <w:left w:val="nil"/>
              <w:bottom w:val="single" w:sz="8" w:space="0" w:color="auto"/>
              <w:right w:val="nil"/>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2024年</w:t>
            </w:r>
          </w:p>
        </w:tc>
        <w:tc>
          <w:tcPr>
            <w:tcW w:w="1120" w:type="dxa"/>
            <w:tcBorders>
              <w:top w:val="single" w:sz="8" w:space="0" w:color="000000"/>
              <w:left w:val="single" w:sz="8" w:space="0" w:color="auto"/>
              <w:bottom w:val="single" w:sz="8" w:space="0" w:color="auto"/>
              <w:right w:val="single" w:sz="8" w:space="0" w:color="000000"/>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2025年</w:t>
            </w:r>
          </w:p>
        </w:tc>
      </w:tr>
      <w:tr>
        <w:trPr>
          <w:trHeight w:val="510"/>
        </w:trPr>
        <w:tc>
          <w:tcPr>
            <w:tcW w:w="1080" w:type="dxa"/>
            <w:vMerge w:val="restart"/>
            <w:tcBorders>
              <w:top w:val="nil"/>
              <w:left w:val="single" w:sz="8" w:space="0" w:color="000000"/>
              <w:bottom w:val="single" w:sz="8" w:space="0" w:color="000000"/>
              <w:right w:val="single" w:sz="8" w:space="0" w:color="000000"/>
            </w:tcBorders>
            <w:shd w:val="clear" w:color="auto" w:fill="45B0E1"/>
            <w:noWrap/>
            <w:vAlign w:val="center"/>
          </w:tcPr>
          <w:p>
            <w:pPr>
              <w:widowControl/>
              <w:jc w:val="center"/>
              <w:outlineLvl w:val="3"/>
              <w:rPr>
                <w:rFonts w:ascii="宋体" w:eastAsia="宋体" w:cs="宋体"/>
                <w:color w:val="000000"/>
                <w:kern w:val="0"/>
                <w:sz w:val="20"/>
                <w:szCs w:val="20"/>
              </w:rPr>
            </w:pPr>
            <w:bookmarkStart w:id="166" w:name="_Toc218688672"/>
            <w:r>
              <w:rPr>
                <w:rFonts w:ascii="宋体" w:eastAsia="宋体" w:cs="宋体" w:hint="eastAsia"/>
                <w:b/>
                <w:bCs/>
                <w:color w:val="000000"/>
                <w:kern w:val="0"/>
                <w:sz w:val="24"/>
                <w:szCs w:val="24"/>
              </w:rPr>
              <w:t>表</w:t>
            </w:r>
            <w:r>
              <w:rPr>
                <w:rFonts w:ascii="宋体" w:eastAsia="宋体" w:cs="宋体"/>
                <w:b/>
                <w:bCs/>
                <w:color w:val="000000"/>
                <w:kern w:val="0"/>
                <w:sz w:val="24"/>
                <w:szCs w:val="24"/>
              </w:rPr>
              <w:t xml:space="preserve">9-2 </w:t>
            </w:r>
            <w:r>
              <w:rPr>
                <w:rFonts w:ascii="宋体" w:eastAsia="宋体" w:cs="宋体" w:hint="eastAsia"/>
                <w:b/>
                <w:bCs/>
                <w:color w:val="000000"/>
                <w:kern w:val="0"/>
                <w:sz w:val="24"/>
                <w:szCs w:val="24"/>
              </w:rPr>
              <w:t>满意度调查表</w:t>
            </w:r>
            <w:bookmarkEnd w:id="166"/>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在校生满意度*</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13</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94.68</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96.2</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vMerge w:val="restart"/>
            <w:tcBorders>
              <w:top w:val="nil"/>
              <w:left w:val="nil"/>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其中：</w:t>
            </w:r>
          </w:p>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p>
            <w:pPr>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课堂育人满意度*</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14</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94.3</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95.28</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vMerge/>
            <w:tcBorders>
              <w:left w:val="nil"/>
              <w:right w:val="single" w:sz="8" w:space="0" w:color="000000"/>
            </w:tcBorders>
            <w:shd w:val="clear" w:color="auto" w:fill="auto"/>
            <w:noWrap/>
            <w:vAlign w:val="center"/>
          </w:tcP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课外育人满意度*</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15</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94.28</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95.81</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vMerge/>
            <w:tcBorders>
              <w:left w:val="nil"/>
              <w:right w:val="single" w:sz="8" w:space="0" w:color="000000"/>
            </w:tcBorders>
            <w:shd w:val="clear" w:color="auto" w:fill="auto"/>
            <w:noWrap/>
            <w:vAlign w:val="center"/>
          </w:tcP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思想政治课教学满意度*</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16</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96.52</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96.74</w:t>
            </w:r>
          </w:p>
        </w:tc>
      </w:tr>
      <w:tr>
        <w:trPr>
          <w:trHeight w:val="49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vMerge/>
            <w:tcBorders>
              <w:left w:val="nil"/>
              <w:right w:val="single" w:sz="8" w:space="0" w:color="000000"/>
            </w:tcBorders>
            <w:shd w:val="clear" w:color="auto" w:fill="auto"/>
            <w:noWrap/>
            <w:vAlign w:val="center"/>
          </w:tcP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公共基础课（不含思想政治课）教学满意度*</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17</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95.89</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96.46</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vMerge/>
            <w:tcBorders>
              <w:left w:val="nil"/>
              <w:bottom w:val="single" w:sz="8" w:space="0" w:color="000000"/>
              <w:right w:val="single" w:sz="8" w:space="0" w:color="000000"/>
            </w:tcBorders>
            <w:shd w:val="clear" w:color="auto" w:fill="auto"/>
            <w:noWrap/>
            <w:vAlign w:val="center"/>
          </w:tcP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专业课教学满意度*</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18</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96.32</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96.42</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毕业生满意度</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19</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 xml:space="preserve">92.20 </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 xml:space="preserve">94.70 </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vMerge w:val="restart"/>
            <w:tcBorders>
              <w:top w:val="nil"/>
              <w:left w:val="nil"/>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其中：</w:t>
            </w:r>
          </w:p>
          <w:p>
            <w:pPr>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应届毕业生满意度</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20</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 xml:space="preserve">95.40 </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95.43</w:t>
            </w:r>
          </w:p>
        </w:tc>
      </w:tr>
      <w:tr>
        <w:trPr>
          <w:trHeight w:val="49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vMerge/>
            <w:tcBorders>
              <w:left w:val="nil"/>
              <w:bottom w:val="single" w:sz="8" w:space="0" w:color="000000"/>
              <w:right w:val="single" w:sz="8" w:space="0" w:color="000000"/>
            </w:tcBorders>
            <w:shd w:val="clear" w:color="auto" w:fill="auto"/>
            <w:noWrap/>
            <w:vAlign w:val="center"/>
          </w:tcP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毕业三年内毕业生满意度</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21</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 xml:space="preserve">83.30 </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85.21</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教职工满意度*</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22</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微软雅黑" w:eastAsia="微软雅黑" w:cs="宋体"/>
                <w:color w:val="000000"/>
                <w:kern w:val="0"/>
                <w:sz w:val="24"/>
                <w:szCs w:val="24"/>
              </w:rPr>
            </w:pPr>
            <w:r>
              <w:rPr>
                <w:rFonts w:ascii="微软雅黑" w:eastAsia="微软雅黑"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微软雅黑" w:eastAsia="微软雅黑" w:cs="宋体"/>
                <w:color w:val="000000"/>
                <w:kern w:val="0"/>
                <w:sz w:val="24"/>
                <w:szCs w:val="24"/>
              </w:rPr>
            </w:pPr>
            <w:r>
              <w:rPr>
                <w:rFonts w:ascii="微软雅黑" w:eastAsia="微软雅黑" w:cs="宋体" w:hint="eastAsia"/>
                <w:color w:val="000000"/>
                <w:kern w:val="0"/>
                <w:sz w:val="24"/>
                <w:szCs w:val="24"/>
              </w:rPr>
              <w:t>－</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用人单位满意度</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23</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85.6</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94.58</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家长满意度</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24</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95.8</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96.1</w:t>
            </w:r>
          </w:p>
        </w:tc>
      </w:tr>
    </w:tbl>
    <w:p>
      <w:pPr>
        <w:pStyle w:val="2"/>
        <w:spacing w:before="0" w:after="0" w:line="560" w:lineRule="exact"/>
        <w:ind w:firstLineChars="200" w:firstLine="640"/>
        <w:rPr>
          <w:rFonts w:ascii="楷体" w:eastAsia="楷体"/>
          <w:shd w:val="clear" w:color="auto" w:fill="FFFFFF"/>
        </w:rPr>
      </w:pPr>
      <w:bookmarkStart w:id="167" w:name="_Toc218688956"/>
      <w:r>
        <w:rPr>
          <w:rFonts w:ascii="楷体" w:eastAsia="楷体" w:hint="eastAsia"/>
          <w:shd w:val="clear" w:color="auto" w:fill="FFFFFF"/>
        </w:rPr>
        <w:t>9</w:t>
      </w:r>
      <w:r>
        <w:rPr>
          <w:rFonts w:ascii="楷体" w:eastAsia="楷体"/>
          <w:shd w:val="clear" w:color="auto" w:fill="FFFFFF"/>
        </w:rPr>
        <w:t>.3</w:t>
      </w:r>
      <w:r>
        <w:rPr>
          <w:rFonts w:ascii="楷体" w:eastAsia="楷体" w:hint="eastAsia"/>
          <w:shd w:val="clear" w:color="auto" w:fill="FFFFFF"/>
        </w:rPr>
        <w:t>教学资源表</w:t>
      </w:r>
      <w:bookmarkEnd w:id="167"/>
    </w:p>
    <w:tbl>
      <w:tblPr>
        <w:jc w:val="left"/>
        <w:tblInd w:w="0" w:type="dxa"/>
        <w:tblW w:w="8840" w:type="dxa"/>
        <w:tblBorders>
          <w:top w:val="none" w:sz="0" w:space="0" w:color="auto"/>
          <w:left w:val="none" w:sz="0" w:space="0" w:color="auto"/>
          <w:bottom w:val="none" w:sz="0" w:space="0" w:color="auto"/>
          <w:right w:val="none" w:sz="0" w:space="0" w:color="auto"/>
        </w:tblBorders>
        <w:tblCellMar>
          <w:top w:w="0" w:type="dxa"/>
          <w:left w:w="108" w:type="dxa"/>
          <w:bottom w:w="0" w:type="dxa"/>
          <w:right w:w="108" w:type="dxa"/>
        </w:tblCellMar>
      </w:tblPr>
      <w:tblGrid>
        <w:gridCol w:w="1080"/>
        <w:gridCol w:w="1080"/>
        <w:gridCol w:w="1080"/>
        <w:gridCol w:w="1200"/>
        <w:gridCol w:w="1080"/>
        <w:gridCol w:w="1080"/>
        <w:gridCol w:w="1120"/>
        <w:gridCol w:w="1120"/>
      </w:tblGrid>
      <w:tr>
        <w:trPr>
          <w:trHeight w:val="555"/>
          <w:tblHeader/>
        </w:trPr>
        <w:tc>
          <w:tcPr>
            <w:tcW w:w="4440" w:type="dxa"/>
            <w:gridSpan w:val="4"/>
            <w:tcBorders>
              <w:top w:val="single" w:sz="8" w:space="0" w:color="000000"/>
              <w:left w:val="single" w:sz="8" w:space="0" w:color="auto"/>
              <w:bottom w:val="single" w:sz="8" w:space="0" w:color="auto"/>
              <w:right w:val="single" w:sz="4" w:space="0" w:color="auto"/>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指标</w:t>
            </w:r>
          </w:p>
        </w:tc>
        <w:tc>
          <w:tcPr>
            <w:tcW w:w="1080" w:type="dxa"/>
            <w:tcBorders>
              <w:top w:val="single" w:sz="8" w:space="0" w:color="000000"/>
              <w:left w:val="single" w:sz="8" w:space="0" w:color="auto"/>
              <w:bottom w:val="single" w:sz="8" w:space="0" w:color="auto"/>
              <w:right w:val="single" w:sz="8" w:space="0" w:color="auto"/>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序号</w:t>
            </w:r>
          </w:p>
        </w:tc>
        <w:tc>
          <w:tcPr>
            <w:tcW w:w="1080" w:type="dxa"/>
            <w:tcBorders>
              <w:top w:val="single" w:sz="8" w:space="0" w:color="000000"/>
              <w:left w:val="nil"/>
              <w:bottom w:val="single" w:sz="8" w:space="0" w:color="auto"/>
              <w:right w:val="single" w:sz="8" w:space="0" w:color="auto"/>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单位</w:t>
            </w:r>
          </w:p>
        </w:tc>
        <w:tc>
          <w:tcPr>
            <w:tcW w:w="1120" w:type="dxa"/>
            <w:tcBorders>
              <w:top w:val="single" w:sz="8" w:space="0" w:color="000000"/>
              <w:left w:val="nil"/>
              <w:bottom w:val="single" w:sz="8" w:space="0" w:color="auto"/>
              <w:right w:val="nil"/>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2024年</w:t>
            </w:r>
          </w:p>
        </w:tc>
        <w:tc>
          <w:tcPr>
            <w:tcW w:w="1120" w:type="dxa"/>
            <w:tcBorders>
              <w:top w:val="single" w:sz="8" w:space="0" w:color="000000"/>
              <w:left w:val="single" w:sz="8" w:space="0" w:color="auto"/>
              <w:bottom w:val="single" w:sz="8" w:space="0" w:color="auto"/>
              <w:right w:val="single" w:sz="8" w:space="0" w:color="000000"/>
            </w:tcBorders>
            <w:shd w:val="clear" w:color="auto" w:fill="0372AE"/>
            <w:noWrap/>
            <w:vAlign w:val="center"/>
          </w:tcPr>
          <w:p>
            <w:pPr>
              <w:widowControl/>
              <w:jc w:val="left"/>
              <w:rPr>
                <w:rFonts w:ascii="宋体" w:eastAsia="宋体" w:cs="宋体"/>
                <w:b/>
                <w:bCs/>
                <w:color w:val="FFFFFF"/>
                <w:kern w:val="0"/>
                <w:sz w:val="24"/>
                <w:szCs w:val="24"/>
              </w:rPr>
            </w:pPr>
            <w:r>
              <w:rPr>
                <w:rFonts w:ascii="宋体" w:eastAsia="宋体" w:cs="宋体" w:hint="eastAsia"/>
                <w:b/>
                <w:bCs/>
                <w:color w:val="FFFFFF"/>
                <w:kern w:val="0"/>
                <w:sz w:val="24"/>
                <w:szCs w:val="24"/>
              </w:rPr>
              <w:t>2025年</w:t>
            </w:r>
          </w:p>
        </w:tc>
      </w:tr>
      <w:tr>
        <w:trPr>
          <w:trHeight w:val="510"/>
        </w:trPr>
        <w:tc>
          <w:tcPr>
            <w:tcW w:w="1080" w:type="dxa"/>
            <w:vMerge w:val="restart"/>
            <w:tcBorders>
              <w:top w:val="nil"/>
              <w:left w:val="single" w:sz="8" w:space="0" w:color="000000"/>
              <w:bottom w:val="single" w:sz="8" w:space="0" w:color="000000"/>
              <w:right w:val="single" w:sz="8" w:space="0" w:color="000000"/>
            </w:tcBorders>
            <w:shd w:val="clear" w:color="auto" w:fill="45B0E1"/>
            <w:noWrap/>
            <w:vAlign w:val="center"/>
          </w:tcPr>
          <w:p>
            <w:pPr>
              <w:widowControl/>
              <w:jc w:val="center"/>
              <w:outlineLvl w:val="3"/>
              <w:rPr>
                <w:rFonts w:ascii="宋体" w:eastAsia="宋体" w:cs="宋体"/>
                <w:color w:val="000000"/>
                <w:kern w:val="0"/>
                <w:sz w:val="20"/>
                <w:szCs w:val="20"/>
              </w:rPr>
            </w:pPr>
            <w:bookmarkStart w:id="168" w:name="_Toc218688673"/>
            <w:r>
              <w:rPr>
                <w:rFonts w:ascii="宋体" w:eastAsia="宋体" w:cs="宋体" w:hint="eastAsia"/>
                <w:b/>
                <w:bCs/>
                <w:color w:val="000000"/>
                <w:kern w:val="0"/>
                <w:sz w:val="24"/>
                <w:szCs w:val="24"/>
              </w:rPr>
              <w:t>表9</w:t>
            </w:r>
            <w:r>
              <w:rPr>
                <w:rFonts w:ascii="宋体" w:eastAsia="宋体" w:cs="宋体"/>
                <w:b/>
                <w:bCs/>
                <w:color w:val="000000"/>
                <w:kern w:val="0"/>
                <w:sz w:val="24"/>
                <w:szCs w:val="24"/>
              </w:rPr>
              <w:t xml:space="preserve">-3 </w:t>
            </w:r>
            <w:r>
              <w:rPr>
                <w:rFonts w:ascii="宋体" w:eastAsia="宋体" w:cs="宋体" w:hint="eastAsia"/>
                <w:b/>
                <w:bCs/>
                <w:color w:val="000000"/>
                <w:kern w:val="0"/>
                <w:sz w:val="24"/>
                <w:szCs w:val="24"/>
              </w:rPr>
              <w:t>教学资源表</w:t>
            </w:r>
            <w:bookmarkEnd w:id="168"/>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生师比*</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25</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18.04</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15.25</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“双师型”教师比例</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26</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27.94</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color w:val="FF0000"/>
                <w:kern w:val="0"/>
                <w:sz w:val="24"/>
                <w:szCs w:val="24"/>
              </w:rPr>
              <w:t>53.2</w:t>
            </w:r>
          </w:p>
        </w:tc>
      </w:tr>
      <w:tr>
        <w:trPr>
          <w:trHeight w:val="49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其中：</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高级“双师型”教师比例</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27</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1.5</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高级专业技术职务专任教师比例*</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28</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16</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15.14</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专业群数量*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29</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26</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36</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专业数量*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30</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213</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212</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教学计划内课程总数*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31</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门</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3136</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3118</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32</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学时</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380960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vMerge w:val="restart"/>
            <w:tcBorders>
              <w:top w:val="nil"/>
              <w:left w:val="nil"/>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其中：</w:t>
            </w:r>
          </w:p>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p>
            <w:pPr>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课证融通课程数*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33</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门</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70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vMerge/>
            <w:tcBorders>
              <w:left w:val="nil"/>
              <w:right w:val="single" w:sz="8" w:space="0" w:color="000000"/>
            </w:tcBorders>
            <w:shd w:val="clear" w:color="auto" w:fill="auto"/>
            <w:noWrap/>
            <w:vAlign w:val="center"/>
          </w:tcP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34</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学时</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5564</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vMerge/>
            <w:tcBorders>
              <w:left w:val="nil"/>
              <w:right w:val="single" w:sz="8" w:space="0" w:color="000000"/>
            </w:tcBorders>
            <w:shd w:val="clear" w:color="auto" w:fill="auto"/>
            <w:noWrap/>
            <w:vAlign w:val="center"/>
          </w:tcP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网络教学课程数*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35</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门</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35</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vMerge/>
            <w:tcBorders>
              <w:left w:val="nil"/>
              <w:right w:val="single" w:sz="8" w:space="0" w:color="000000"/>
            </w:tcBorders>
            <w:shd w:val="clear" w:color="auto" w:fill="auto"/>
            <w:noWrap/>
            <w:vAlign w:val="center"/>
          </w:tcP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36</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学时</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3195</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vMerge/>
            <w:tcBorders>
              <w:left w:val="nil"/>
              <w:right w:val="single" w:sz="8" w:space="0" w:color="000000"/>
            </w:tcBorders>
            <w:shd w:val="clear" w:color="auto" w:fill="auto"/>
            <w:noWrap/>
            <w:vAlign w:val="center"/>
          </w:tcP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校企合作课程数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37</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门</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21</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vMerge/>
            <w:tcBorders>
              <w:left w:val="nil"/>
              <w:bottom w:val="single" w:sz="8" w:space="0" w:color="000000"/>
              <w:right w:val="single" w:sz="8" w:space="0" w:color="000000"/>
            </w:tcBorders>
            <w:shd w:val="clear" w:color="auto" w:fill="auto"/>
            <w:noWrap/>
            <w:vAlign w:val="center"/>
          </w:tcP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38</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学时</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3610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专业教学资源库数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39</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19</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29</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其中：</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国家级数量*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40</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w:t>
            </w:r>
          </w:p>
        </w:tc>
      </w:tr>
      <w:tr>
        <w:trPr>
          <w:trHeight w:val="720"/>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20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接入国家智慧教育平台数*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41</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省级数量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42</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w:t>
            </w:r>
          </w:p>
        </w:tc>
      </w:tr>
      <w:tr>
        <w:trPr>
          <w:trHeight w:val="28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20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接入国家智慧教育平台数*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43</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校级数量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44</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19</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24</w:t>
            </w:r>
          </w:p>
        </w:tc>
      </w:tr>
      <w:tr>
        <w:trPr>
          <w:trHeight w:val="720"/>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20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接入国家智慧教育平台数*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45</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在线精品课程数*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46</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门</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75</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93</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47</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学时</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3942</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6463</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在线精品课程课均学生数*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48</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12866</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765.41</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其中：</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国家级数量*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49</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门</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10</w:t>
            </w:r>
          </w:p>
        </w:tc>
      </w:tr>
      <w:tr>
        <w:trPr>
          <w:trHeight w:val="720"/>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20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接入国家智慧教育平台数*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50</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门</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省级数量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51</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门</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43</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45</w:t>
            </w:r>
          </w:p>
        </w:tc>
      </w:tr>
      <w:tr>
        <w:trPr>
          <w:trHeight w:val="720"/>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20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接入国家智慧教育平台数*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52</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门</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14</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16</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校级数量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53</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门</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44</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38</w:t>
            </w:r>
          </w:p>
        </w:tc>
      </w:tr>
      <w:tr>
        <w:trPr>
          <w:trHeight w:val="720"/>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20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接入国家智慧教育平台数*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54</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门</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11</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13</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虚拟仿真实训基地数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55</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19</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19</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其中：</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国家级数量*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56</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w:t>
            </w:r>
          </w:p>
        </w:tc>
      </w:tr>
      <w:tr>
        <w:trPr>
          <w:trHeight w:val="720"/>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20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接入国家智慧教育平台数*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57</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省级数量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58</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w:t>
            </w:r>
          </w:p>
        </w:tc>
      </w:tr>
      <w:tr>
        <w:trPr>
          <w:trHeight w:val="720"/>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20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接入国家智慧教育平台数*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59</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校级数量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60</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19</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21</w:t>
            </w:r>
          </w:p>
        </w:tc>
      </w:tr>
      <w:tr>
        <w:trPr>
          <w:trHeight w:val="720"/>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20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接入国家智慧教育平台数*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61</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编写教材数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62</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本</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205</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125</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其中：</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国家规划教材数*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63</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本</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149</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8</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校企合作编写教材数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64</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本</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54</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38</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新形态教材数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65</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本</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10</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12</w:t>
            </w:r>
          </w:p>
        </w:tc>
      </w:tr>
      <w:tr>
        <w:trPr>
          <w:trHeight w:val="49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接入国家智慧教育平台数*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66</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本</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互联网出口带宽*</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67</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Mbps</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2000</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2000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校园网主干最大带宽*</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68</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Mbps</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2000</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2000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生均校内实践教学工位数*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69</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个/生</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0.8</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0.83</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生均教学科研仪器设备值*</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70</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元/生</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4733</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5904</w:t>
            </w:r>
          </w:p>
        </w:tc>
      </w:tr>
    </w:tbl>
    <w:p>
      <w:pPr>
        <w:pStyle w:val="2"/>
        <w:spacing w:before="0" w:after="0" w:line="560" w:lineRule="exact"/>
        <w:ind w:firstLineChars="200" w:firstLine="640"/>
        <w:rPr>
          <w:rFonts w:ascii="楷体" w:eastAsia="楷体"/>
          <w:shd w:val="clear" w:color="auto" w:fill="FFFFFF"/>
        </w:rPr>
      </w:pPr>
      <w:bookmarkStart w:id="169" w:name="_Toc218688957"/>
      <w:r>
        <w:rPr>
          <w:rFonts w:ascii="楷体" w:eastAsia="楷体" w:hint="eastAsia"/>
          <w:shd w:val="clear" w:color="auto" w:fill="FFFFFF"/>
        </w:rPr>
        <w:t>9</w:t>
      </w:r>
      <w:r>
        <w:rPr>
          <w:rFonts w:ascii="楷体" w:eastAsia="楷体"/>
          <w:shd w:val="clear" w:color="auto" w:fill="FFFFFF"/>
        </w:rPr>
        <w:t>.4</w:t>
      </w:r>
      <w:r>
        <w:rPr>
          <w:rFonts w:ascii="楷体" w:eastAsia="楷体" w:hint="eastAsia"/>
          <w:shd w:val="clear" w:color="auto" w:fill="FFFFFF"/>
        </w:rPr>
        <w:t>服务贡献表</w:t>
      </w:r>
      <w:bookmarkEnd w:id="169"/>
    </w:p>
    <w:tbl>
      <w:tblPr>
        <w:jc w:val="left"/>
        <w:tblInd w:w="0" w:type="dxa"/>
        <w:tblW w:w="8840" w:type="dxa"/>
        <w:tblBorders>
          <w:top w:val="none" w:sz="0" w:space="0" w:color="auto"/>
          <w:left w:val="none" w:sz="0" w:space="0" w:color="auto"/>
          <w:bottom w:val="none" w:sz="0" w:space="0" w:color="auto"/>
          <w:right w:val="none" w:sz="0" w:space="0" w:color="auto"/>
        </w:tblBorders>
        <w:tblCellMar>
          <w:top w:w="0" w:type="dxa"/>
          <w:left w:w="108" w:type="dxa"/>
          <w:bottom w:w="0" w:type="dxa"/>
          <w:right w:w="108" w:type="dxa"/>
        </w:tblCellMar>
      </w:tblPr>
      <w:tblGrid>
        <w:gridCol w:w="1080"/>
        <w:gridCol w:w="1080"/>
        <w:gridCol w:w="2280"/>
        <w:gridCol w:w="1080"/>
        <w:gridCol w:w="1080"/>
        <w:gridCol w:w="1120"/>
        <w:gridCol w:w="1120"/>
      </w:tblGrid>
      <w:tr>
        <w:trPr>
          <w:trHeight w:val="674"/>
          <w:tblHeader/>
        </w:trPr>
        <w:tc>
          <w:tcPr>
            <w:tcW w:w="4440" w:type="dxa"/>
            <w:gridSpan w:val="3"/>
            <w:tcBorders>
              <w:top w:val="single" w:sz="8" w:space="0" w:color="000000"/>
              <w:left w:val="single" w:sz="8" w:space="0" w:color="auto"/>
              <w:bottom w:val="single" w:sz="8" w:space="0" w:color="auto"/>
              <w:right w:val="single" w:sz="4" w:space="0" w:color="auto"/>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指标</w:t>
            </w:r>
          </w:p>
        </w:tc>
        <w:tc>
          <w:tcPr>
            <w:tcW w:w="1080" w:type="dxa"/>
            <w:tcBorders>
              <w:top w:val="single" w:sz="8" w:space="0" w:color="000000"/>
              <w:left w:val="single" w:sz="8" w:space="0" w:color="auto"/>
              <w:bottom w:val="single" w:sz="8" w:space="0" w:color="auto"/>
              <w:right w:val="single" w:sz="8" w:space="0" w:color="auto"/>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序号</w:t>
            </w:r>
          </w:p>
        </w:tc>
        <w:tc>
          <w:tcPr>
            <w:tcW w:w="1080" w:type="dxa"/>
            <w:tcBorders>
              <w:top w:val="single" w:sz="8" w:space="0" w:color="000000"/>
              <w:left w:val="nil"/>
              <w:bottom w:val="single" w:sz="8" w:space="0" w:color="auto"/>
              <w:right w:val="single" w:sz="8" w:space="0" w:color="auto"/>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单位</w:t>
            </w:r>
          </w:p>
        </w:tc>
        <w:tc>
          <w:tcPr>
            <w:tcW w:w="1120" w:type="dxa"/>
            <w:tcBorders>
              <w:top w:val="single" w:sz="8" w:space="0" w:color="000000"/>
              <w:left w:val="nil"/>
              <w:bottom w:val="single" w:sz="8" w:space="0" w:color="auto"/>
              <w:right w:val="nil"/>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2024年</w:t>
            </w:r>
          </w:p>
        </w:tc>
        <w:tc>
          <w:tcPr>
            <w:tcW w:w="1120" w:type="dxa"/>
            <w:tcBorders>
              <w:top w:val="single" w:sz="8" w:space="0" w:color="000000"/>
              <w:left w:val="single" w:sz="8" w:space="0" w:color="auto"/>
              <w:bottom w:val="single" w:sz="8" w:space="0" w:color="auto"/>
              <w:right w:val="single" w:sz="8" w:space="0" w:color="000000"/>
            </w:tcBorders>
            <w:shd w:val="clear" w:color="auto" w:fill="0372AE"/>
            <w:noWrap/>
            <w:vAlign w:val="center"/>
          </w:tcPr>
          <w:p>
            <w:pPr>
              <w:widowControl/>
              <w:jc w:val="left"/>
              <w:rPr>
                <w:rFonts w:ascii="宋体" w:eastAsia="宋体" w:cs="宋体"/>
                <w:b/>
                <w:bCs/>
                <w:color w:val="FFFFFF"/>
                <w:kern w:val="0"/>
                <w:sz w:val="24"/>
                <w:szCs w:val="24"/>
              </w:rPr>
            </w:pPr>
            <w:r>
              <w:rPr>
                <w:rFonts w:ascii="宋体" w:eastAsia="宋体" w:cs="宋体" w:hint="eastAsia"/>
                <w:b/>
                <w:bCs/>
                <w:color w:val="FFFFFF"/>
                <w:kern w:val="0"/>
                <w:sz w:val="24"/>
                <w:szCs w:val="24"/>
              </w:rPr>
              <w:t>2025年</w:t>
            </w:r>
          </w:p>
        </w:tc>
      </w:tr>
      <w:tr>
        <w:trPr>
          <w:trHeight w:val="510"/>
        </w:trPr>
        <w:tc>
          <w:tcPr>
            <w:tcW w:w="1080" w:type="dxa"/>
            <w:vMerge w:val="restart"/>
            <w:tcBorders>
              <w:top w:val="nil"/>
              <w:left w:val="single" w:sz="8" w:space="0" w:color="000000"/>
              <w:bottom w:val="single" w:sz="8" w:space="0" w:color="000000"/>
              <w:right w:val="single" w:sz="8" w:space="0" w:color="000000"/>
            </w:tcBorders>
            <w:shd w:val="clear" w:color="auto" w:fill="45B0E1"/>
            <w:noWrap/>
            <w:vAlign w:val="center"/>
          </w:tcPr>
          <w:p>
            <w:pPr>
              <w:widowControl/>
              <w:jc w:val="center"/>
              <w:outlineLvl w:val="3"/>
              <w:rPr>
                <w:rFonts w:ascii="宋体" w:eastAsia="宋体" w:cs="宋体"/>
                <w:color w:val="000000"/>
                <w:kern w:val="0"/>
                <w:sz w:val="20"/>
                <w:szCs w:val="20"/>
              </w:rPr>
            </w:pPr>
            <w:bookmarkStart w:id="170" w:name="_Toc218688674"/>
            <w:r>
              <w:rPr>
                <w:rFonts w:ascii="宋体" w:eastAsia="宋体" w:cs="宋体" w:hint="eastAsia"/>
                <w:b/>
                <w:bCs/>
                <w:color w:val="000000"/>
                <w:kern w:val="0"/>
                <w:sz w:val="24"/>
                <w:szCs w:val="24"/>
              </w:rPr>
              <w:t>表9</w:t>
            </w:r>
            <w:r>
              <w:rPr>
                <w:rFonts w:ascii="宋体" w:eastAsia="宋体" w:cs="宋体"/>
                <w:b/>
                <w:bCs/>
                <w:color w:val="000000"/>
                <w:kern w:val="0"/>
                <w:sz w:val="24"/>
                <w:szCs w:val="24"/>
              </w:rPr>
              <w:t xml:space="preserve">-4 </w:t>
            </w:r>
            <w:r>
              <w:rPr>
                <w:rFonts w:ascii="宋体" w:eastAsia="宋体" w:cs="宋体" w:hint="eastAsia"/>
                <w:b/>
                <w:bCs/>
                <w:color w:val="000000"/>
                <w:kern w:val="0"/>
                <w:sz w:val="24"/>
                <w:szCs w:val="24"/>
              </w:rPr>
              <w:t>服务贡献表</w:t>
            </w:r>
            <w:bookmarkEnd w:id="170"/>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毕业生初次就业人数*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71</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9934</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10620</w:t>
            </w:r>
          </w:p>
        </w:tc>
      </w:tr>
      <w:tr>
        <w:trPr>
          <w:trHeight w:val="49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其中：</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A类：留在当地就业人数*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72</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3901</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3530</w:t>
            </w:r>
          </w:p>
        </w:tc>
      </w:tr>
      <w:tr>
        <w:trPr>
          <w:trHeight w:val="49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B类：到西部和东北地区就业人数*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73</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25</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32</w:t>
            </w:r>
          </w:p>
        </w:tc>
      </w:tr>
      <w:tr>
        <w:trPr>
          <w:trHeight w:val="49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C类：到中小微企业就业人数*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74</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8696</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9284</w:t>
            </w:r>
          </w:p>
        </w:tc>
      </w:tr>
      <w:tr>
        <w:trPr>
          <w:trHeight w:val="49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D类：到大型企业就业人数*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75</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243</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188</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横向技术服务到款额</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76</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万元</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60.76</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横向技术服务产生的经济效益</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77</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万元</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纵向科研经费到款额*</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78</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万元</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20</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60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技术产权交易收入*</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79</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万元</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5</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知识产权项目数量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80</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项</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6</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5</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其中：</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专利授权数量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81</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项</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5</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发明专利授权数量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82</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项</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专利转让数量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83</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项</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专利成果转化到款额</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84</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万元</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非学历培训项目数*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85</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项</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165</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59</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非学历培训学时*</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86</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学时</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452735</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359417</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公益项目培训学时*</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87</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学时</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335157</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312746</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非学历培训到账经费</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88</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万元</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390.21</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342.8</w:t>
            </w:r>
          </w:p>
        </w:tc>
      </w:tr>
    </w:tbl>
    <w:p>
      <w:pPr>
        <w:pStyle w:val="2"/>
        <w:spacing w:before="0" w:after="0" w:line="560" w:lineRule="exact"/>
        <w:ind w:firstLineChars="200" w:firstLine="640"/>
        <w:rPr>
          <w:rFonts w:ascii="楷体" w:eastAsia="楷体"/>
          <w:shd w:val="clear" w:color="auto" w:fill="FFFFFF"/>
        </w:rPr>
      </w:pPr>
      <w:bookmarkStart w:id="171" w:name="_Toc218688958"/>
      <w:r>
        <w:rPr>
          <w:rFonts w:ascii="楷体" w:eastAsia="楷体" w:hint="eastAsia"/>
          <w:shd w:val="clear" w:color="auto" w:fill="FFFFFF"/>
        </w:rPr>
        <w:t>9</w:t>
      </w:r>
      <w:r>
        <w:rPr>
          <w:rFonts w:ascii="楷体" w:eastAsia="楷体"/>
          <w:shd w:val="clear" w:color="auto" w:fill="FFFFFF"/>
        </w:rPr>
        <w:t>.5</w:t>
      </w:r>
      <w:r>
        <w:rPr>
          <w:rFonts w:ascii="楷体" w:eastAsia="楷体" w:hint="eastAsia"/>
          <w:shd w:val="clear" w:color="auto" w:fill="FFFFFF"/>
        </w:rPr>
        <w:t>国际影响表</w:t>
      </w:r>
      <w:bookmarkEnd w:id="171"/>
    </w:p>
    <w:tbl>
      <w:tblPr>
        <w:jc w:val="left"/>
        <w:tblInd w:w="0" w:type="dxa"/>
        <w:tblW w:w="8840" w:type="dxa"/>
        <w:tblBorders>
          <w:top w:val="none" w:sz="0" w:space="0" w:color="auto"/>
          <w:left w:val="none" w:sz="0" w:space="0" w:color="auto"/>
          <w:bottom w:val="none" w:sz="0" w:space="0" w:color="auto"/>
          <w:right w:val="none" w:sz="0" w:space="0" w:color="auto"/>
        </w:tblBorders>
        <w:tblCellMar>
          <w:top w:w="0" w:type="dxa"/>
          <w:left w:w="108" w:type="dxa"/>
          <w:bottom w:w="0" w:type="dxa"/>
          <w:right w:w="108" w:type="dxa"/>
        </w:tblCellMar>
      </w:tblPr>
      <w:tblGrid>
        <w:gridCol w:w="1080"/>
        <w:gridCol w:w="1080"/>
        <w:gridCol w:w="1080"/>
        <w:gridCol w:w="1200"/>
        <w:gridCol w:w="1080"/>
        <w:gridCol w:w="1080"/>
        <w:gridCol w:w="1120"/>
        <w:gridCol w:w="1120"/>
      </w:tblGrid>
      <w:tr>
        <w:trPr>
          <w:trHeight w:val="574"/>
        </w:trPr>
        <w:tc>
          <w:tcPr>
            <w:tcW w:w="4440" w:type="dxa"/>
            <w:gridSpan w:val="4"/>
            <w:tcBorders>
              <w:top w:val="single" w:sz="8" w:space="0" w:color="000000"/>
              <w:left w:val="single" w:sz="8" w:space="0" w:color="auto"/>
              <w:bottom w:val="single" w:sz="8" w:space="0" w:color="auto"/>
              <w:right w:val="single" w:sz="4" w:space="0" w:color="auto"/>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指标</w:t>
            </w:r>
          </w:p>
        </w:tc>
        <w:tc>
          <w:tcPr>
            <w:tcW w:w="1080" w:type="dxa"/>
            <w:tcBorders>
              <w:top w:val="single" w:sz="8" w:space="0" w:color="000000"/>
              <w:left w:val="single" w:sz="8" w:space="0" w:color="auto"/>
              <w:bottom w:val="single" w:sz="8" w:space="0" w:color="auto"/>
              <w:right w:val="single" w:sz="8" w:space="0" w:color="auto"/>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序号</w:t>
            </w:r>
          </w:p>
        </w:tc>
        <w:tc>
          <w:tcPr>
            <w:tcW w:w="1080" w:type="dxa"/>
            <w:tcBorders>
              <w:top w:val="single" w:sz="8" w:space="0" w:color="000000"/>
              <w:left w:val="nil"/>
              <w:bottom w:val="single" w:sz="8" w:space="0" w:color="auto"/>
              <w:right w:val="single" w:sz="8" w:space="0" w:color="auto"/>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单位</w:t>
            </w:r>
          </w:p>
        </w:tc>
        <w:tc>
          <w:tcPr>
            <w:tcW w:w="1120" w:type="dxa"/>
            <w:tcBorders>
              <w:top w:val="single" w:sz="8" w:space="0" w:color="000000"/>
              <w:left w:val="nil"/>
              <w:bottom w:val="single" w:sz="8" w:space="0" w:color="auto"/>
              <w:right w:val="nil"/>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2024年</w:t>
            </w:r>
          </w:p>
        </w:tc>
        <w:tc>
          <w:tcPr>
            <w:tcW w:w="1120" w:type="dxa"/>
            <w:tcBorders>
              <w:top w:val="single" w:sz="8" w:space="0" w:color="000000"/>
              <w:left w:val="single" w:sz="8" w:space="0" w:color="auto"/>
              <w:bottom w:val="single" w:sz="8" w:space="0" w:color="auto"/>
              <w:right w:val="single" w:sz="8" w:space="0" w:color="000000"/>
            </w:tcBorders>
            <w:shd w:val="clear" w:color="auto" w:fill="0372AE"/>
            <w:noWrap/>
            <w:vAlign w:val="center"/>
          </w:tcPr>
          <w:p>
            <w:pPr>
              <w:widowControl/>
              <w:jc w:val="left"/>
              <w:rPr>
                <w:rFonts w:ascii="宋体" w:eastAsia="宋体" w:cs="宋体"/>
                <w:b/>
                <w:bCs/>
                <w:color w:val="FFFFFF"/>
                <w:kern w:val="0"/>
                <w:sz w:val="24"/>
                <w:szCs w:val="24"/>
              </w:rPr>
            </w:pPr>
            <w:r>
              <w:rPr>
                <w:rFonts w:ascii="宋体" w:eastAsia="宋体" w:cs="宋体" w:hint="eastAsia"/>
                <w:b/>
                <w:bCs/>
                <w:color w:val="FFFFFF"/>
                <w:kern w:val="0"/>
                <w:sz w:val="24"/>
                <w:szCs w:val="24"/>
              </w:rPr>
              <w:t>2025年</w:t>
            </w:r>
          </w:p>
        </w:tc>
      </w:tr>
      <w:tr>
        <w:trPr>
          <w:trHeight w:val="510"/>
        </w:trPr>
        <w:tc>
          <w:tcPr>
            <w:tcW w:w="1080" w:type="dxa"/>
            <w:vMerge w:val="restart"/>
            <w:tcBorders>
              <w:top w:val="nil"/>
              <w:left w:val="single" w:sz="8" w:space="0" w:color="000000"/>
              <w:bottom w:val="single" w:sz="8" w:space="0" w:color="000000"/>
              <w:right w:val="single" w:sz="8" w:space="0" w:color="000000"/>
            </w:tcBorders>
            <w:shd w:val="clear" w:color="auto" w:fill="45B0E1"/>
            <w:noWrap/>
            <w:vAlign w:val="center"/>
          </w:tcPr>
          <w:p>
            <w:pPr>
              <w:widowControl/>
              <w:jc w:val="center"/>
              <w:outlineLvl w:val="3"/>
              <w:rPr>
                <w:rFonts w:ascii="宋体" w:eastAsia="宋体" w:cs="宋体"/>
                <w:color w:val="000000"/>
                <w:kern w:val="0"/>
                <w:sz w:val="20"/>
                <w:szCs w:val="20"/>
              </w:rPr>
            </w:pPr>
            <w:bookmarkStart w:id="172" w:name="_Toc218688675"/>
            <w:r>
              <w:rPr>
                <w:rFonts w:ascii="宋体" w:eastAsia="宋体" w:cs="宋体" w:hint="eastAsia"/>
                <w:b/>
                <w:bCs/>
                <w:color w:val="000000"/>
                <w:kern w:val="0"/>
                <w:sz w:val="24"/>
                <w:szCs w:val="24"/>
              </w:rPr>
              <w:t>表9</w:t>
            </w:r>
            <w:r>
              <w:rPr>
                <w:rFonts w:ascii="宋体" w:eastAsia="宋体" w:cs="宋体"/>
                <w:b/>
                <w:bCs/>
                <w:color w:val="000000"/>
                <w:kern w:val="0"/>
                <w:sz w:val="24"/>
                <w:szCs w:val="24"/>
              </w:rPr>
              <w:t xml:space="preserve">-5 </w:t>
            </w:r>
            <w:r>
              <w:rPr>
                <w:rFonts w:ascii="宋体" w:eastAsia="宋体" w:cs="宋体" w:hint="eastAsia"/>
                <w:b/>
                <w:bCs/>
                <w:color w:val="000000"/>
                <w:kern w:val="0"/>
                <w:sz w:val="24"/>
                <w:szCs w:val="24"/>
              </w:rPr>
              <w:t>国际影响表</w:t>
            </w:r>
            <w:bookmarkEnd w:id="172"/>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开发并被国外采用的职业教育标准、资源、装备数量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89</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其中：</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标准数量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90</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r>
      <w:tr>
        <w:trPr>
          <w:trHeight w:val="480"/>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080" w:type="dxa"/>
            <w:tcBorders>
              <w:top w:val="nil"/>
              <w:left w:val="nil"/>
              <w:bottom w:val="single" w:sz="8" w:space="0" w:color="000000"/>
              <w:right w:val="single" w:sz="8" w:space="0" w:color="000000"/>
            </w:tcBorders>
            <w:shd w:val="clear" w:color="auto" w:fill="auto"/>
            <w:noWrap/>
            <w:vAlign w:val="center"/>
          </w:tcPr>
          <w:p>
            <w:pPr>
              <w:widowControl/>
              <w:rPr>
                <w:rFonts w:ascii="宋体" w:eastAsia="宋体" w:cs="宋体"/>
                <w:color w:val="000000"/>
                <w:kern w:val="0"/>
                <w:sz w:val="20"/>
                <w:szCs w:val="20"/>
              </w:rPr>
            </w:pPr>
            <w:r>
              <w:rPr>
                <w:rFonts w:ascii="宋体" w:eastAsia="宋体" w:cs="宋体" w:hint="eastAsia"/>
                <w:color w:val="000000"/>
                <w:kern w:val="0"/>
                <w:sz w:val="20"/>
                <w:szCs w:val="20"/>
              </w:rPr>
              <w:t>　</w:t>
            </w:r>
          </w:p>
        </w:tc>
        <w:tc>
          <w:tcPr>
            <w:tcW w:w="120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专业标准数量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91</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r>
      <w:tr>
        <w:trPr>
          <w:trHeight w:val="480"/>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1080" w:type="dxa"/>
            <w:tcBorders>
              <w:top w:val="nil"/>
              <w:left w:val="nil"/>
              <w:bottom w:val="single" w:sz="8" w:space="0" w:color="000000"/>
              <w:right w:val="single" w:sz="8" w:space="0" w:color="000000"/>
            </w:tcBorders>
            <w:shd w:val="clear" w:color="auto" w:fill="auto"/>
            <w:noWrap/>
            <w:vAlign w:val="center"/>
          </w:tcPr>
          <w:p>
            <w:pPr>
              <w:widowControl/>
              <w:rPr>
                <w:rFonts w:ascii="宋体" w:eastAsia="宋体" w:cs="宋体"/>
                <w:color w:val="000000"/>
                <w:kern w:val="0"/>
                <w:sz w:val="20"/>
                <w:szCs w:val="20"/>
              </w:rPr>
            </w:pPr>
            <w:r>
              <w:rPr>
                <w:rFonts w:ascii="宋体" w:eastAsia="宋体" w:cs="宋体" w:hint="eastAsia"/>
                <w:color w:val="000000"/>
                <w:kern w:val="0"/>
                <w:sz w:val="20"/>
                <w:szCs w:val="20"/>
              </w:rPr>
              <w:t>　</w:t>
            </w:r>
          </w:p>
        </w:tc>
        <w:tc>
          <w:tcPr>
            <w:tcW w:w="120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课程标准数量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92</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资源数量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93</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装备数量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94</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接收国外留学生专业数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95</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接收国外留学生人数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96</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接收国外访学教师人数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97</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中外合作办学专业数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98</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其中：</w:t>
            </w:r>
          </w:p>
        </w:tc>
        <w:tc>
          <w:tcPr>
            <w:tcW w:w="228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在校生数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99</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30</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专任教师赴国外指导和开展培训时间</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100</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人日</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60</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60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在国外组织担任职务的专任教师人数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101</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3"/>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国外技能大赛获奖数量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102</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项</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4</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w:t>
            </w:r>
          </w:p>
        </w:tc>
      </w:tr>
    </w:tbl>
    <w:p>
      <w:pPr>
        <w:spacing w:line="560" w:lineRule="exact"/>
        <w:jc w:val="left"/>
        <w:rPr>
          <w:rFonts w:ascii="仿宋_GB2312" w:eastAsia="仿宋_GB2312" w:cs="仿宋_GB2312"/>
          <w:sz w:val="30"/>
          <w:szCs w:val="30"/>
        </w:rPr>
      </w:pPr>
    </w:p>
    <w:p>
      <w:pPr>
        <w:pStyle w:val="2"/>
        <w:spacing w:before="0" w:after="0" w:line="560" w:lineRule="exact"/>
        <w:ind w:firstLineChars="200" w:firstLine="640"/>
        <w:rPr>
          <w:rFonts w:ascii="楷体" w:eastAsia="楷体"/>
          <w:shd w:val="clear" w:color="auto" w:fill="FFFFFF"/>
        </w:rPr>
      </w:pPr>
      <w:bookmarkStart w:id="173" w:name="_Toc218688959"/>
      <w:r>
        <w:rPr>
          <w:rFonts w:ascii="楷体" w:eastAsia="楷体" w:hint="eastAsia"/>
          <w:shd w:val="clear" w:color="auto" w:fill="FFFFFF"/>
        </w:rPr>
        <w:t>9</w:t>
      </w:r>
      <w:r>
        <w:rPr>
          <w:rFonts w:ascii="楷体" w:eastAsia="楷体"/>
          <w:shd w:val="clear" w:color="auto" w:fill="FFFFFF"/>
        </w:rPr>
        <w:t>.6</w:t>
      </w:r>
      <w:r>
        <w:rPr>
          <w:rFonts w:ascii="楷体" w:eastAsia="楷体" w:hint="eastAsia"/>
          <w:shd w:val="clear" w:color="auto" w:fill="FFFFFF"/>
        </w:rPr>
        <w:t>落实政策表</w:t>
      </w:r>
      <w:bookmarkEnd w:id="173"/>
    </w:p>
    <w:tbl>
      <w:tblPr>
        <w:jc w:val="left"/>
        <w:tblInd w:w="0" w:type="dxa"/>
        <w:tblW w:w="8840" w:type="dxa"/>
        <w:tblBorders>
          <w:top w:val="none" w:sz="0" w:space="0" w:color="auto"/>
          <w:left w:val="none" w:sz="0" w:space="0" w:color="auto"/>
          <w:bottom w:val="none" w:sz="0" w:space="0" w:color="auto"/>
          <w:right w:val="none" w:sz="0" w:space="0" w:color="auto"/>
        </w:tblBorders>
        <w:tblCellMar>
          <w:top w:w="0" w:type="dxa"/>
          <w:left w:w="108" w:type="dxa"/>
          <w:bottom w:w="0" w:type="dxa"/>
          <w:right w:w="108" w:type="dxa"/>
        </w:tblCellMar>
      </w:tblPr>
      <w:tblGrid>
        <w:gridCol w:w="1080"/>
        <w:gridCol w:w="1080"/>
        <w:gridCol w:w="2280"/>
        <w:gridCol w:w="1080"/>
        <w:gridCol w:w="1080"/>
        <w:gridCol w:w="1176"/>
        <w:gridCol w:w="1176"/>
      </w:tblGrid>
      <w:tr>
        <w:trPr>
          <w:trHeight w:val="563"/>
        </w:trPr>
        <w:tc>
          <w:tcPr>
            <w:tcW w:w="4440" w:type="dxa"/>
            <w:gridSpan w:val="3"/>
            <w:tcBorders>
              <w:top w:val="single" w:sz="8" w:space="0" w:color="000000"/>
              <w:left w:val="single" w:sz="8" w:space="0" w:color="auto"/>
              <w:bottom w:val="single" w:sz="8" w:space="0" w:color="auto"/>
              <w:right w:val="single" w:sz="4" w:space="0" w:color="auto"/>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指标</w:t>
            </w:r>
          </w:p>
        </w:tc>
        <w:tc>
          <w:tcPr>
            <w:tcW w:w="1080" w:type="dxa"/>
            <w:tcBorders>
              <w:top w:val="single" w:sz="8" w:space="0" w:color="000000"/>
              <w:left w:val="single" w:sz="8" w:space="0" w:color="auto"/>
              <w:bottom w:val="single" w:sz="8" w:space="0" w:color="auto"/>
              <w:right w:val="single" w:sz="8" w:space="0" w:color="auto"/>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序号</w:t>
            </w:r>
          </w:p>
        </w:tc>
        <w:tc>
          <w:tcPr>
            <w:tcW w:w="1080" w:type="dxa"/>
            <w:tcBorders>
              <w:top w:val="single" w:sz="8" w:space="0" w:color="000000"/>
              <w:left w:val="nil"/>
              <w:bottom w:val="single" w:sz="8" w:space="0" w:color="auto"/>
              <w:right w:val="single" w:sz="8" w:space="0" w:color="auto"/>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单位</w:t>
            </w:r>
          </w:p>
        </w:tc>
        <w:tc>
          <w:tcPr>
            <w:tcW w:w="1120" w:type="dxa"/>
            <w:tcBorders>
              <w:top w:val="single" w:sz="8" w:space="0" w:color="000000"/>
              <w:left w:val="nil"/>
              <w:bottom w:val="single" w:sz="8" w:space="0" w:color="auto"/>
              <w:right w:val="nil"/>
            </w:tcBorders>
            <w:shd w:val="clear" w:color="auto" w:fill="0372AE"/>
            <w:noWrap/>
            <w:vAlign w:val="center"/>
          </w:tcPr>
          <w:p>
            <w:pPr>
              <w:widowControl/>
              <w:jc w:val="center"/>
              <w:rPr>
                <w:rFonts w:ascii="宋体" w:eastAsia="宋体" w:cs="宋体"/>
                <w:b/>
                <w:bCs/>
                <w:color w:val="FFFFFF"/>
                <w:kern w:val="0"/>
                <w:sz w:val="24"/>
                <w:szCs w:val="24"/>
              </w:rPr>
            </w:pPr>
            <w:r>
              <w:rPr>
                <w:rFonts w:ascii="宋体" w:eastAsia="宋体" w:cs="宋体" w:hint="eastAsia"/>
                <w:b/>
                <w:bCs/>
                <w:color w:val="FFFFFF"/>
                <w:kern w:val="0"/>
                <w:sz w:val="24"/>
                <w:szCs w:val="24"/>
              </w:rPr>
              <w:t>2024年</w:t>
            </w:r>
          </w:p>
        </w:tc>
        <w:tc>
          <w:tcPr>
            <w:tcW w:w="1120" w:type="dxa"/>
            <w:tcBorders>
              <w:top w:val="single" w:sz="8" w:space="0" w:color="000000"/>
              <w:left w:val="single" w:sz="8" w:space="0" w:color="auto"/>
              <w:bottom w:val="single" w:sz="8" w:space="0" w:color="auto"/>
              <w:right w:val="single" w:sz="8" w:space="0" w:color="000000"/>
            </w:tcBorders>
            <w:shd w:val="clear" w:color="auto" w:fill="0372AE"/>
            <w:noWrap/>
            <w:vAlign w:val="center"/>
          </w:tcPr>
          <w:p>
            <w:pPr>
              <w:widowControl/>
              <w:jc w:val="left"/>
              <w:rPr>
                <w:rFonts w:ascii="宋体" w:eastAsia="宋体" w:cs="宋体"/>
                <w:b/>
                <w:bCs/>
                <w:color w:val="FFFFFF"/>
                <w:kern w:val="0"/>
                <w:sz w:val="24"/>
                <w:szCs w:val="24"/>
              </w:rPr>
            </w:pPr>
            <w:r>
              <w:rPr>
                <w:rFonts w:ascii="宋体" w:eastAsia="宋体" w:cs="宋体" w:hint="eastAsia"/>
                <w:b/>
                <w:bCs/>
                <w:color w:val="FFFFFF"/>
                <w:kern w:val="0"/>
                <w:sz w:val="24"/>
                <w:szCs w:val="24"/>
              </w:rPr>
              <w:t>2025年</w:t>
            </w:r>
          </w:p>
        </w:tc>
      </w:tr>
      <w:tr>
        <w:trPr>
          <w:trHeight w:val="510"/>
        </w:trPr>
        <w:tc>
          <w:tcPr>
            <w:tcW w:w="1080" w:type="dxa"/>
            <w:vMerge w:val="restart"/>
            <w:tcBorders>
              <w:top w:val="nil"/>
              <w:left w:val="single" w:sz="8" w:space="0" w:color="000000"/>
              <w:bottom w:val="single" w:sz="8" w:space="0" w:color="000000"/>
              <w:right w:val="single" w:sz="8" w:space="0" w:color="000000"/>
            </w:tcBorders>
            <w:shd w:val="clear" w:color="auto" w:fill="45B0E1"/>
            <w:noWrap/>
            <w:vAlign w:val="center"/>
          </w:tcPr>
          <w:p>
            <w:pPr>
              <w:widowControl/>
              <w:jc w:val="center"/>
              <w:outlineLvl w:val="3"/>
              <w:rPr>
                <w:rFonts w:ascii="宋体" w:eastAsia="宋体" w:cs="宋体"/>
                <w:color w:val="000000"/>
                <w:kern w:val="0"/>
                <w:sz w:val="20"/>
                <w:szCs w:val="20"/>
              </w:rPr>
            </w:pPr>
            <w:bookmarkStart w:id="174" w:name="_Toc218688676"/>
            <w:r>
              <w:rPr>
                <w:rFonts w:ascii="宋体" w:eastAsia="宋体" w:cs="宋体" w:hint="eastAsia"/>
                <w:b/>
                <w:bCs/>
                <w:color w:val="000000"/>
                <w:kern w:val="0"/>
                <w:sz w:val="24"/>
                <w:szCs w:val="24"/>
              </w:rPr>
              <w:t>表9</w:t>
            </w:r>
            <w:r>
              <w:rPr>
                <w:rFonts w:ascii="宋体" w:eastAsia="宋体" w:cs="宋体"/>
                <w:b/>
                <w:bCs/>
                <w:color w:val="000000"/>
                <w:kern w:val="0"/>
                <w:sz w:val="24"/>
                <w:szCs w:val="24"/>
              </w:rPr>
              <w:t xml:space="preserve">-6 </w:t>
            </w:r>
            <w:r>
              <w:rPr>
                <w:rFonts w:ascii="宋体" w:eastAsia="宋体" w:cs="宋体" w:hint="eastAsia"/>
                <w:b/>
                <w:bCs/>
                <w:color w:val="000000"/>
                <w:kern w:val="0"/>
                <w:sz w:val="24"/>
                <w:szCs w:val="24"/>
              </w:rPr>
              <w:t>落实政策表</w:t>
            </w:r>
            <w:bookmarkEnd w:id="174"/>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全日制在校生人数*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103</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75541</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71183</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年生均财政拨款水平</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104</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元</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5178.89</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5983.8</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年财政专项经费*</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105</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万元</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23692.41</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42594.45</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教职工额定编制数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106</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3684</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3998</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教职工总数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107</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4187</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4667</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其中：</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专任教师总数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108</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3915</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4412</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思政课教师数*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109</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297</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233</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体育课专任教师数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110</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176</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192</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美育课专任教师数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111</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123</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131</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班主任人数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112</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1242</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1107</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参加国家学生体质健康标准测试人数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113</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75541</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71183</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其中：</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学生体质测评合格率</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114</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98.66</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98.85</w:t>
            </w:r>
          </w:p>
        </w:tc>
      </w:tr>
      <w:tr>
        <w:trPr>
          <w:trHeight w:val="49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职业技能等级证书（含职业资格证书）获取人数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115</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3103</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3901</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企业提供的校内实践教学设备值*</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116</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万元</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3965.56</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4163.25</w:t>
            </w:r>
          </w:p>
        </w:tc>
      </w:tr>
      <w:tr>
        <w:trPr>
          <w:trHeight w:val="49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与企业共建开放型区域产教融合实践中心数量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117</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个</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42</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46</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聘请行业导师人数*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118</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48</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78</w:t>
            </w:r>
          </w:p>
        </w:tc>
      </w:tr>
      <w:tr>
        <w:trPr>
          <w:trHeight w:val="49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其中：</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聘请大国工匠、劳动模范人数</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119</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人</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5</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5</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行业导师年课时总量*</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120</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课时</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7738</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14170</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　</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年支付行业导师课酬</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121</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万元</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139.96</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195.81</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3360" w:type="dxa"/>
            <w:gridSpan w:val="2"/>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年实习专项经费</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122</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万元</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279.75</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263.92</w:t>
            </w:r>
          </w:p>
        </w:tc>
      </w:tr>
      <w:tr>
        <w:trPr>
          <w:trHeight w:val="315"/>
        </w:trPr>
        <w:tc>
          <w:tcPr>
            <w:tcW w:w="1080" w:type="dxa"/>
            <w:vMerge/>
            <w:tcBorders>
              <w:top w:val="nil"/>
              <w:left w:val="single" w:sz="8" w:space="0" w:color="000000"/>
              <w:bottom w:val="single" w:sz="8" w:space="0" w:color="000000"/>
              <w:right w:val="single" w:sz="8" w:space="0" w:color="000000"/>
            </w:tcBorders>
            <w:shd w:val="clear" w:color="auto" w:fill="45B0E1"/>
            <w:noWrap/>
            <w:vAlign w:val="center"/>
          </w:tcPr>
          <w:p/>
        </w:tc>
        <w:tc>
          <w:tcPr>
            <w:tcW w:w="1080" w:type="dxa"/>
            <w:tcBorders>
              <w:top w:val="nil"/>
              <w:left w:val="nil"/>
              <w:bottom w:val="single" w:sz="8" w:space="0" w:color="000000"/>
              <w:right w:val="single" w:sz="8" w:space="0" w:color="000000"/>
            </w:tcBorders>
            <w:shd w:val="clear" w:color="auto" w:fill="auto"/>
            <w:noWrap/>
            <w:vAlign w:val="center"/>
          </w:tcPr>
          <w:p>
            <w:pPr>
              <w:widowControl/>
              <w:jc w:val="right"/>
              <w:rPr>
                <w:rFonts w:ascii="宋体" w:eastAsia="宋体" w:cs="宋体"/>
                <w:color w:val="000000"/>
                <w:kern w:val="0"/>
                <w:sz w:val="20"/>
                <w:szCs w:val="20"/>
              </w:rPr>
            </w:pPr>
            <w:r>
              <w:rPr>
                <w:rFonts w:ascii="宋体" w:eastAsia="宋体" w:cs="宋体" w:hint="eastAsia"/>
                <w:color w:val="000000"/>
                <w:kern w:val="0"/>
                <w:sz w:val="20"/>
                <w:szCs w:val="20"/>
              </w:rPr>
              <w:t>其中：</w:t>
            </w:r>
          </w:p>
        </w:tc>
        <w:tc>
          <w:tcPr>
            <w:tcW w:w="2280" w:type="dxa"/>
            <w:tcBorders>
              <w:top w:val="nil"/>
              <w:left w:val="nil"/>
              <w:bottom w:val="single" w:sz="8" w:space="0" w:color="000000"/>
              <w:right w:val="single" w:sz="8" w:space="0" w:color="000000"/>
            </w:tcBorders>
            <w:shd w:val="clear" w:color="auto" w:fill="auto"/>
            <w:noWrap/>
            <w:vAlign w:val="center"/>
          </w:tcPr>
          <w:p>
            <w:pPr>
              <w:widowControl/>
              <w:jc w:val="left"/>
              <w:rPr>
                <w:rFonts w:ascii="宋体" w:eastAsia="宋体" w:cs="宋体"/>
                <w:color w:val="000000"/>
                <w:kern w:val="0"/>
                <w:sz w:val="20"/>
                <w:szCs w:val="20"/>
              </w:rPr>
            </w:pPr>
            <w:r>
              <w:rPr>
                <w:rFonts w:ascii="宋体" w:eastAsia="宋体" w:cs="宋体" w:hint="eastAsia"/>
                <w:color w:val="000000"/>
                <w:kern w:val="0"/>
                <w:sz w:val="20"/>
                <w:szCs w:val="20"/>
              </w:rPr>
              <w:t>年实习责任保险经费</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123</w:t>
            </w:r>
          </w:p>
        </w:tc>
        <w:tc>
          <w:tcPr>
            <w:tcW w:w="108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0"/>
                <w:szCs w:val="20"/>
              </w:rPr>
            </w:pPr>
            <w:r>
              <w:rPr>
                <w:rFonts w:ascii="宋体" w:eastAsia="宋体" w:cs="宋体" w:hint="eastAsia"/>
                <w:color w:val="000000"/>
                <w:kern w:val="0"/>
                <w:sz w:val="20"/>
                <w:szCs w:val="20"/>
              </w:rPr>
              <w:t>万元</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color w:val="000000"/>
                <w:kern w:val="0"/>
                <w:sz w:val="24"/>
                <w:szCs w:val="24"/>
              </w:rPr>
            </w:pPr>
            <w:r>
              <w:rPr>
                <w:rFonts w:ascii="宋体" w:eastAsia="宋体" w:cs="宋体" w:hint="eastAsia"/>
                <w:color w:val="000000"/>
                <w:kern w:val="0"/>
                <w:sz w:val="24"/>
                <w:szCs w:val="24"/>
              </w:rPr>
              <w:t>40.9</w:t>
            </w:r>
          </w:p>
        </w:tc>
        <w:tc>
          <w:tcPr>
            <w:tcW w:w="1120" w:type="dxa"/>
            <w:tcBorders>
              <w:top w:val="nil"/>
              <w:left w:val="nil"/>
              <w:bottom w:val="single" w:sz="8" w:space="0" w:color="000000"/>
              <w:right w:val="single" w:sz="8" w:space="0" w:color="000000"/>
            </w:tcBorders>
            <w:shd w:val="clear" w:color="auto" w:fill="auto"/>
            <w:noWrap/>
            <w:vAlign w:val="center"/>
          </w:tcPr>
          <w:p>
            <w:pPr>
              <w:widowControl/>
              <w:jc w:val="center"/>
              <w:rPr>
                <w:rFonts w:ascii="宋体" w:eastAsia="宋体" w:cs="宋体"/>
                <w:kern w:val="0"/>
                <w:sz w:val="24"/>
                <w:szCs w:val="24"/>
              </w:rPr>
            </w:pPr>
            <w:r>
              <w:rPr>
                <w:rFonts w:ascii="宋体" w:eastAsia="宋体" w:cs="宋体" w:hint="eastAsia"/>
                <w:kern w:val="0"/>
                <w:sz w:val="24"/>
                <w:szCs w:val="24"/>
              </w:rPr>
              <w:t>27.33</w:t>
            </w:r>
          </w:p>
        </w:tc>
      </w:tr>
    </w:tbl>
    <w:p>
      <w:pPr>
        <w:spacing w:line="560" w:lineRule="exact"/>
        <w:jc w:val="left"/>
        <w:rPr>
          <w:rFonts w:ascii="仿宋_GB2312" w:eastAsia="仿宋_GB2312" w:cs="仿宋_GB2312"/>
          <w:sz w:val="30"/>
          <w:szCs w:val="30"/>
        </w:rPr>
      </w:pPr>
    </w:p>
    <w:p>
      <w:pPr>
        <w:widowControl/>
        <w:jc w:val="left"/>
        <w:rPr>
          <w:rFonts w:ascii="仿宋_GB2312" w:eastAsia="仿宋_GB2312"/>
          <w:sz w:val="30"/>
          <w:szCs w:val="30"/>
        </w:rPr>
      </w:pPr>
      <w:r>
        <w:rPr>
          <w:rFonts w:ascii="仿宋_GB2312" w:eastAsia="仿宋_GB2312"/>
          <w:sz w:val="30"/>
          <w:szCs w:val="30"/>
        </w:rPr>
        <w:br w:type="page"/>
      </w:r>
    </w:p>
    <w:p>
      <w:pPr>
        <w:jc w:val="left"/>
        <w:rPr>
          <w:rFonts w:ascii="仿宋_GB2312" w:eastAsia="仿宋_GB2312"/>
          <w:sz w:val="30"/>
          <w:szCs w:val="30"/>
        </w:rPr>
      </w:pPr>
      <w:r>
        <w:rPr>
          <w:rFonts w:ascii="仿宋_GB2312" w:eastAsia="仿宋_GB2312"/>
          <w:sz w:val="30"/>
          <w:szCs w:val="30"/>
        </w:rPr>
        <mc:AlternateContent>
          <mc:Choice Requires="wps">
            <w:drawing>
              <wp:anchor distT="0" distB="0" distL="114298" distR="114298" simplePos="0" relativeHeight="153" behindDoc="0" locked="0" layoutInCell="1" hidden="0" allowOverlap="1">
                <wp:simplePos x="0" y="0"/>
                <wp:positionH relativeFrom="column">
                  <wp:posOffset>1257300</wp:posOffset>
                </wp:positionH>
                <wp:positionV relativeFrom="paragraph">
                  <wp:posOffset>7820025</wp:posOffset>
                </wp:positionV>
                <wp:extent cx="2705100" cy="390524"/>
                <wp:effectExtent l="0" t="0" r="261846" b="261882"/>
                <wp:wrapNone/>
                <wp:docPr id="131" name="矩形 49"/>
                <wp:cNvGraphicFramePr>
                  <a:graphicFrameLocks noChangeAspect="0"/>
                </wp:cNvGraphicFramePr>
                <a:graphic>
                  <a:graphicData uri="http://schemas.microsoft.com/office/word/2010/wordprocessingShape">
                    <wps:wsp>
                      <wps:cNvSpPr/>
                      <wps:spPr>
                        <a:xfrm rot="0">
                          <a:off x="0" y="0"/>
                          <a:ext cx="2705100" cy="390524"/>
                        </a:xfrm>
                        <a:prstGeom prst="rect"/>
                        <a:noFill/>
                        <a:ln w="19050" cmpd="sng" cap="flat">
                          <a:solidFill>
                            <a:srgbClr val="0C445E"/>
                          </a:solidFill>
                          <a:prstDash val="solid"/>
                          <a:miter/>
                        </a:ln>
                        <a:effectLst>
                          <a:outerShdw sx="100000" sy="100000" algn="tl" rotWithShape="0" blurRad="50800" dist="38100" dir="2700000">
                            <a:srgbClr val="000000">
                              <a:alpha val="39607"/>
                            </a:srgbClr>
                          </a:outerShdw>
                        </a:effectLst>
                      </wps:spPr>
                      <wps:bodyPr vert="horz" wrap="square" lIns="91440" tIns="45720" rIns="91440" bIns="45720" anchor="t" anchorCtr="0" upright="1">
                        <a:noAutofit/>
                      </wps:bodyPr>
                    </wps:wsp>
                  </a:graphicData>
                </a:graphic>
              </wp:anchor>
            </w:drawing>
          </mc:Choice>
          <mc:Fallback>
            <w:pict>
              <v:rect type="#_x0000_t1" id="矩形 49 132" o:spid="_x0000_s132" filled="f" stroked="t" strokeweight="1.5pt" style="position:absolute;margin-left:99.0pt;margin-top:615.75pt;width:213.0pt;height:30.749989pt;z-index:153;mso-position-horizontal:absolute;mso-position-vertical:absolute;mso-wrap-distance-left:8.999863pt;mso-wrap-distance-right:8.999863pt;">
                <v:stroke color="#0C445E"/>
              </v:rect>
            </w:pict>
          </mc:Fallback>
        </mc:AlternateContent>
      </w:r>
      <w:r>
        <w:rPr>
          <w:rFonts w:ascii="仿宋_GB2312" w:eastAsia="仿宋_GB2312"/>
          <w:sz w:val="30"/>
          <w:szCs w:val="30"/>
        </w:rPr>
        <mc:AlternateContent>
          <mc:Choice Requires="wps">
            <w:drawing>
              <wp:anchor distT="45720" distB="45720" distL="113665" distR="113665" simplePos="0" relativeHeight="155" behindDoc="0" locked="0" layoutInCell="1" hidden="0" allowOverlap="1">
                <wp:simplePos x="0" y="0"/>
                <wp:positionH relativeFrom="column">
                  <wp:posOffset>1323340</wp:posOffset>
                </wp:positionH>
                <wp:positionV relativeFrom="paragraph">
                  <wp:posOffset>7791450</wp:posOffset>
                </wp:positionV>
                <wp:extent cx="3343275" cy="487680"/>
                <wp:effectExtent l="0" t="0" r="0" b="0"/>
                <wp:wrapSquare wrapText="bothSides"/>
                <wp:docPr id="133" name="文本框 2"/>
                <wp:cNvGraphicFramePr>
                  <a:graphicFrameLocks noChangeAspect="0"/>
                </wp:cNvGraphicFramePr>
                <a:graphic>
                  <a:graphicData uri="http://schemas.microsoft.com/office/word/2010/wordprocessingShape">
                    <wps:wsp>
                      <wps:cNvSpPr/>
                      <wps:spPr>
                        <a:xfrm rot="0">
                          <a:off x="0" y="0"/>
                          <a:ext cx="3343275" cy="487680"/>
                        </a:xfrm>
                        <a:prstGeom prst="rect"/>
                        <a:noFill/>
                        <a:ln w="9525" cmpd="sng" cap="flat">
                          <a:noFill/>
                          <a:prstDash val="solid"/>
                          <a:miter/>
                        </a:ln>
                      </wps:spPr>
                      <wps:txbx id="134">
                        <w:txbxContent>
                          <w:p>
                            <w:pPr>
                              <w:rPr>
                                <w:rFonts w:ascii="楷体" w:eastAsia="楷体"/>
                                <w:b/>
                                <w:bCs/>
                                <w:color w:val="747474"/>
                                <w:sz w:val="30"/>
                                <w:szCs w:val="30"/>
                              </w:rPr>
                            </w:pPr>
                            <w:r>
                              <w:rPr>
                                <w:rFonts w:ascii="楷体" w:eastAsia="楷体" w:hint="eastAsia"/>
                                <w:b/>
                                <w:bCs/>
                                <w:color w:val="747474"/>
                                <w:sz w:val="30"/>
                                <w:szCs w:val="30"/>
                              </w:rPr>
                              <w:t>永州职教，深耕不辍育匠才</w:t>
                            </w:r>
                          </w:p>
                        </w:txbxContent>
                      </wps:txbx>
                      <wps:bodyPr vert="horz" wrap="square" lIns="91440" tIns="45720" rIns="91440" bIns="45720" anchor="t" anchorCtr="0" upright="0">
                        <a:spAutoFit/>
                      </wps:bodyPr>
                    </wps:wsp>
                  </a:graphicData>
                </a:graphic>
              </wp:anchor>
            </w:drawing>
          </mc:Choice>
          <mc:Fallback>
            <w:pict>
              <v:rect type="#_x0000_t1" id="文本框 2 135" o:spid="_x0000_s135" filled="f" stroked="f" style="position:absolute;margin-left:104.2pt;margin-top:613.5pt;width:263.25003pt;height:38.40002pt;z-index:155;mso-position-horizontal:absolute;mso-position-vertical:absolute;mso-wrap-distance-top:3.6000001pt;mso-wrap-distance-left:8.95pt;mso-wrap-distance-bottom:3.6000001pt;mso-wrap-distance-right:8.95pt;mso-wrap-style:square;">
                <v:stroke color="#000000"/>
                <v:textbox id="895" inset="2.54mm,1.27mm,2.54mm,1.27mm" o:insetmode="custom" style="layout-flow:horizontal;v-text-anchor:top;mso-fit-shape-to-text:t;">
                  <w:txbxContent>
                    <w:p>
                      <w:pPr>
                        <w:rPr>
                          <w:rFonts w:ascii="楷体" w:eastAsia="楷体"/>
                          <w:b/>
                          <w:bCs/>
                          <w:color w:val="747474"/>
                          <w:sz w:val="30"/>
                          <w:szCs w:val="30"/>
                        </w:rPr>
                      </w:pPr>
                      <w:r>
                        <w:rPr>
                          <w:rFonts w:ascii="楷体" w:eastAsia="楷体" w:hint="eastAsia"/>
                          <w:b/>
                          <w:bCs/>
                          <w:color w:val="747474"/>
                          <w:sz w:val="30"/>
                          <w:szCs w:val="30"/>
                        </w:rPr>
                        <w:t>永州职教，深耕不辍育匠才</w:t>
                      </w:r>
                    </w:p>
                  </w:txbxContent>
                </v:textbox>
                <w10:wrap type="square"/>
              </v:rect>
            </w:pict>
          </mc:Fallback>
        </mc:AlternateContent>
      </w:r>
      <w:r>
        <w:rPr>
          <w:rFonts w:ascii="仿宋_GB2312" w:eastAsia="仿宋_GB2312"/>
          <w:sz w:val="30"/>
          <w:szCs w:val="30"/>
        </w:rPr>
        <mc:AlternateContent>
          <mc:Choice Requires="wps">
            <w:drawing>
              <wp:anchor distT="45720" distB="45720" distL="113665" distR="113665" simplePos="0" relativeHeight="157" behindDoc="0" locked="0" layoutInCell="1" hidden="0" allowOverlap="1">
                <wp:simplePos x="0" y="0"/>
                <wp:positionH relativeFrom="margin">
                  <wp:posOffset>368935</wp:posOffset>
                </wp:positionH>
                <wp:positionV relativeFrom="paragraph">
                  <wp:posOffset>2314575</wp:posOffset>
                </wp:positionV>
                <wp:extent cx="5314949" cy="1280160"/>
                <wp:effectExtent l="0" t="0" r="0" b="0"/>
                <wp:wrapSquare wrapText="bothSides"/>
                <wp:docPr id="136" name="文本框 2"/>
                <wp:cNvGraphicFramePr>
                  <a:graphicFrameLocks noChangeAspect="0"/>
                </wp:cNvGraphicFramePr>
                <a:graphic>
                  <a:graphicData uri="http://schemas.microsoft.com/office/word/2010/wordprocessingShape">
                    <wps:wsp>
                      <wps:cNvSpPr/>
                      <wps:spPr>
                        <a:xfrm rot="0">
                          <a:off x="0" y="0"/>
                          <a:ext cx="5314949" cy="1280160"/>
                        </a:xfrm>
                        <a:prstGeom prst="rect"/>
                        <a:noFill/>
                        <a:ln w="9525" cmpd="sng" cap="flat">
                          <a:noFill/>
                          <a:prstDash val="solid"/>
                          <a:miter/>
                        </a:ln>
                      </wps:spPr>
                      <wps:txbx id="137">
                        <w:txbxContent>
                          <w:p>
                            <w:pPr>
                              <w:rPr>
                                <w:rFonts w:ascii="黑体" w:eastAsia="黑体"/>
                                <w:b/>
                                <w:bCs/>
                                <w:color w:val="7C7264"/>
                                <w:sz w:val="72"/>
                                <w:szCs w:val="72"/>
                              </w:rPr>
                            </w:pPr>
                            <w:r>
                              <w:rPr>
                                <w:rFonts w:ascii="黑体" w:eastAsia="黑体" w:hint="eastAsia"/>
                                <w:b/>
                                <w:bCs/>
                                <w:color w:val="7C7264"/>
                                <w:sz w:val="72"/>
                                <w:szCs w:val="72"/>
                              </w:rPr>
                              <w:t>山海寻梦，不觉其远</w:t>
                            </w:r>
                          </w:p>
                          <w:p>
                            <w:pPr>
                              <w:rPr>
                                <w:rFonts w:ascii="黑体" w:eastAsia="黑体"/>
                                <w:b/>
                                <w:bCs/>
                                <w:color w:val="7C7264"/>
                                <w:sz w:val="72"/>
                                <w:szCs w:val="72"/>
                              </w:rPr>
                            </w:pPr>
                            <w:r>
                              <w:rPr>
                                <w:rFonts w:ascii="黑体" w:eastAsia="黑体" w:hint="eastAsia"/>
                                <w:b/>
                                <w:bCs/>
                                <w:color w:val="7C7264"/>
                                <w:sz w:val="72"/>
                                <w:szCs w:val="72"/>
                              </w:rPr>
                              <w:t>前路迢迢，阔步而行</w:t>
                            </w:r>
                          </w:p>
                        </w:txbxContent>
                      </wps:txbx>
                      <wps:bodyPr vert="horz" wrap="square" lIns="91440" tIns="45720" rIns="91440" bIns="45720" anchor="t" anchorCtr="0" upright="0">
                        <a:spAutoFit/>
                      </wps:bodyPr>
                    </wps:wsp>
                  </a:graphicData>
                </a:graphic>
              </wp:anchor>
            </w:drawing>
          </mc:Choice>
          <mc:Fallback>
            <w:pict>
              <v:rect type="#_x0000_t1" id="文本框 2 138" o:spid="_x0000_s138" filled="f" stroked="f" style="position:absolute;margin-left:29.05pt;margin-top:182.25pt;width:418.5pt;height:100.8pt;z-index:157;mso-position-horizontal:absolute;mso-position-horizontal-relative:margin;mso-position-vertical:absolute;mso-wrap-distance-top:3.6000001pt;mso-wrap-distance-left:8.95pt;mso-wrap-distance-bottom:3.6000001pt;mso-wrap-distance-right:8.95pt;mso-wrap-style:square;">
                <v:stroke color="#000000"/>
                <v:textbox id="896" inset="2.54mm,1.27mm,2.54mm,1.27mm" o:insetmode="custom" style="layout-flow:horizontal;v-text-anchor:top;mso-fit-shape-to-text:t;">
                  <w:txbxContent>
                    <w:p>
                      <w:pPr>
                        <w:rPr>
                          <w:rFonts w:ascii="黑体" w:eastAsia="黑体"/>
                          <w:b/>
                          <w:bCs/>
                          <w:color w:val="7C7264"/>
                          <w:sz w:val="72"/>
                          <w:szCs w:val="72"/>
                        </w:rPr>
                      </w:pPr>
                      <w:r>
                        <w:rPr>
                          <w:rFonts w:ascii="黑体" w:eastAsia="黑体" w:hint="eastAsia"/>
                          <w:b/>
                          <w:bCs/>
                          <w:color w:val="7C7264"/>
                          <w:sz w:val="72"/>
                          <w:szCs w:val="72"/>
                        </w:rPr>
                        <w:t>山海寻梦，不觉其远</w:t>
                      </w:r>
                    </w:p>
                    <w:p>
                      <w:pPr>
                        <w:rPr>
                          <w:rFonts w:ascii="黑体" w:eastAsia="黑体"/>
                          <w:b/>
                          <w:bCs/>
                          <w:color w:val="7C7264"/>
                          <w:sz w:val="72"/>
                          <w:szCs w:val="72"/>
                        </w:rPr>
                      </w:pPr>
                      <w:r>
                        <w:rPr>
                          <w:rFonts w:ascii="黑体" w:eastAsia="黑体" w:hint="eastAsia"/>
                          <w:b/>
                          <w:bCs/>
                          <w:color w:val="7C7264"/>
                          <w:sz w:val="72"/>
                          <w:szCs w:val="72"/>
                        </w:rPr>
                        <w:t>前路迢迢，阔步而行</w:t>
                      </w:r>
                    </w:p>
                  </w:txbxContent>
                </v:textbox>
                <w10:wrap type="square"/>
              </v:rect>
            </w:pict>
          </mc:Fallback>
        </mc:AlternateContent>
      </w:r>
      <w:r>
        <w:rPr>
          <w:rFonts w:ascii="仿宋_GB2312" w:eastAsia="仿宋_GB2312" w:hint="eastAsia"/>
          <w:sz w:val="30"/>
          <w:szCs w:val="30"/>
        </w:rPr>
        <w:drawing>
          <wp:anchor distT="0" distB="0" distL="114300" distR="114300" simplePos="0" relativeHeight="159" behindDoc="0" locked="0" layoutInCell="1" hidden="0" allowOverlap="1">
            <wp:simplePos x="0" y="0"/>
            <wp:positionH relativeFrom="page">
              <wp:posOffset>20320</wp:posOffset>
            </wp:positionH>
            <wp:positionV relativeFrom="paragraph">
              <wp:posOffset>-885825</wp:posOffset>
            </wp:positionV>
            <wp:extent cx="7529830" cy="10639424"/>
            <wp:effectExtent l="0" t="0" r="0" b="0"/>
            <wp:wrapNone/>
            <wp:docPr id="139" name="图片 45"/>
            <wp:cNvGraphicFramePr>
              <a:graphicFrameLocks noChangeAspect="1"/>
            </wp:cNvGraphicFramePr>
            <a:graphic>
              <a:graphicData uri="http://schemas.openxmlformats.org/drawingml/2006/picture">
                <pic:pic>
                  <pic:nvPicPr>
                    <pic:cNvPr id="141" name="图片 45 141"/>
                    <pic:cNvPicPr/>
                  </pic:nvPicPr>
                  <pic:blipFill>
                    <a:blip r:embed="rId51"/>
                    <a:stretch>
                      <a:fillRect/>
                    </a:stretch>
                  </pic:blipFill>
                  <pic:spPr>
                    <a:xfrm rot="0">
                      <a:off x="0" y="0"/>
                      <a:ext cx="7529830" cy="10639424"/>
                    </a:xfrm>
                    <a:prstGeom prst="rect"/>
                    <a:noFill/>
                    <a:ln w="9525" cmpd="sng" cap="flat">
                      <a:noFill/>
                      <a:prstDash val="solid"/>
                      <a:round/>
                    </a:ln>
                  </pic:spPr>
                </pic:pic>
              </a:graphicData>
            </a:graphic>
          </wp:anchor>
        </w:drawing>
      </w:r>
    </w:p>
    <w:sectPr>
      <w:footerReference w:type="first" r:id="rId8"/>
      <w:pgSz w:w="11906" w:h="16838"/>
      <w:pgMar w:top="1440" w:right="1800" w:bottom="1440" w:left="1800" w:header="851" w:footer="992" w:gutter="0"/>
      <w:pgNumType w:start="1"/>
      <w:titlePg/>
      <w:docGrid w:type="lines" w:linePitch="312" w:charSpace="0"/>
    </w:sectPr>
  </w:body>
</w:document>
</file>

<file path=word/fontTable.xml><?xml version="1.0" encoding="utf-8"?>
<w:fonts xmlns:w="http://schemas.openxmlformats.org/wordprocessingml/2006/main" xmlns:r="http://schemas.openxmlformats.org/officeDocument/2006/relationships">
  <w:font w:name="黑体">
    <w:panose1 w:val="02010609060101010101"/>
    <w:charset w:val="86"/>
    <w:family w:val="auto"/>
    <w:pitch w:val="variable"/>
    <w:sig w:usb0="800002BF" w:usb1="38CF7CFA" w:usb2="00000016" w:usb3="00000000" w:csb0="00040001" w:csb1="00000000"/>
  </w:font>
  <w:font w:name="方正小标宋简体">
    <w:panose1 w:val="02010600010101010101"/>
    <w:charset w:val="86"/>
    <w:family w:val="script"/>
    <w:pitch w:val="variable"/>
    <w:sig w:usb0="00000001" w:usb1="080E0000" w:usb2="00000000" w:usb3="00000000" w:csb0="00040000" w:csb1="00000000"/>
  </w:font>
  <w:font w:name="楷体">
    <w:panose1 w:val="02010609060101010101"/>
    <w:charset w:val="86"/>
    <w:family w:val="modern"/>
    <w:pitch w:val="variable"/>
    <w:sig w:usb0="800002BF" w:usb1="38CF7CFA" w:usb2="00000016" w:usb3="00000000" w:csb0="00040001" w:csb1="00000000"/>
  </w:font>
  <w:font w:name="Wingdings">
    <w:panose1 w:val="05000000000000000000"/>
    <w:charset w:val="02"/>
    <w:family w:val="auto"/>
    <w:pitch w:val="variable"/>
    <w:sig w:usb0="00000000" w:usb1="00000000" w:usb2="00000000" w:usb3="00000000" w:csb0="80000000" w:csb1="00000000"/>
  </w:font>
  <w:font w:name="仿宋_GB2312">
    <w:panose1 w:val="02010609030101010101"/>
    <w:charset w:val="86"/>
    <w:family w:val="modern"/>
    <w:pitch w:val="variable"/>
    <w:sig w:usb0="00000001" w:usb1="080E0000" w:usb2="00000000" w:usb3="00000000" w:csb0="00040000" w:csb1="00000000"/>
  </w:font>
  <w:font w:name="楷体_GB2312">
    <w:altName w:val="楷体"/>
    <w:panose1 w:val="00000000000000000000"/>
    <w:charset w:val="86"/>
    <w:family w:val="auto"/>
    <w:pitch w:val="variable"/>
    <w:sig w:usb0="00000000" w:usb1="00000000" w:usb2="00000000" w:usb3="00000000" w:csb0="00040000" w:csb1="00000000"/>
  </w:font>
  <w:font w:name="Times New Roman">
    <w:panose1 w:val="02020603050405020304"/>
    <w:charset w:val="01"/>
    <w:family w:val="auto"/>
    <w:pitch w:val="variable"/>
    <w:sig w:usb0="E0002EFF" w:usb1="C000785B" w:usb2="00000009" w:usb3="00000000" w:csb0="400001FF" w:csb1="FFFF0000"/>
  </w:font>
  <w:font w:name="宋体">
    <w:panose1 w:val="02010600030101010101"/>
    <w:charset w:val="86"/>
    <w:family w:val="auto"/>
    <w:pitch w:val="variable"/>
    <w:sig w:usb0="00000203" w:usb1="288F0000" w:usb2="00000006" w:usb3="00000000" w:csb0="00040001" w:csb1="00000000"/>
  </w:font>
  <w:font w:name="等线">
    <w:altName w:val="宋体"/>
    <w:panose1 w:val="02010600030101010101"/>
    <w:charset w:val="86"/>
    <w:family w:val="auto"/>
    <w:pitch w:val="variable"/>
    <w:sig w:usb0="A00002BF" w:usb1="38CF7CFA" w:usb2="00000016" w:usb3="00000000" w:csb0="0004000F" w:csb1="00000000"/>
  </w:font>
  <w:font w:name="Arial">
    <w:panose1 w:val="020B0604020202020204"/>
    <w:charset w:val="01"/>
    <w:family w:val="swiss"/>
    <w:pitch w:val="variable"/>
    <w:sig w:usb0="E0002EFF" w:usb1="C000785B" w:usb2="00000009" w:usb3="00000000" w:csb0="400001FF" w:csb1="FFFF0000"/>
  </w:font>
  <w:font w:name="仿宋">
    <w:panose1 w:val="02010609060101010101"/>
    <w:charset w:val="86"/>
    <w:family w:val="modern"/>
    <w:pitch w:val="variable"/>
    <w:sig w:usb0="800002BF" w:usb1="38CF7CFA" w:usb2="00000016" w:usb3="00000000" w:csb0="00040001" w:csb1="00000000"/>
  </w:font>
  <w:font w:name="Segoe UI">
    <w:altName w:val="Arial"/>
    <w:panose1 w:val="020B0502040204020203"/>
    <w:charset w:val="00"/>
    <w:family w:val="swiss"/>
    <w:pitch w:val="variable"/>
    <w:sig w:usb0="E4002EFF" w:usb1="C000E47F" w:usb2="00000009" w:usb3="00000000" w:csb0="200001FF" w:csb1="00000000"/>
  </w:font>
  <w:font w:name="方正仿宋_GB2312">
    <w:altName w:val="宋体"/>
    <w:panose1 w:val="02000000000000000000"/>
    <w:charset w:val="86"/>
    <w:family w:val="auto"/>
    <w:pitch w:val="variable"/>
    <w:sig w:usb0="A00002BF" w:usb1="184F6CFA" w:usb2="00000012" w:usb3="00000000" w:csb0="00040001" w:csb1="00000000"/>
  </w:font>
  <w:font w:name="微软雅黑">
    <w:altName w:val="宋体"/>
    <w:panose1 w:val="020B0503020204020204"/>
    <w:charset w:val="86"/>
    <w:family w:val="swiss"/>
    <w:pitch w:val="variable"/>
    <w:sig w:usb0="80000287" w:usb1="2ACF3C50" w:usb2="00000016" w:usb3="00000000" w:csb0="0004001F" w:csb1="00000000"/>
  </w:font>
  <w:font w:name="等线 Light">
    <w:altName w:val="宋体"/>
    <w:panose1 w:val="02010600030101010101"/>
    <w:charset w:val="86"/>
    <w:family w:val="auto"/>
    <w:pitch w:val="variable"/>
    <w:sig w:usb0="A00002BF" w:usb1="38CF7CFA" w:usb2="00000016" w:usb3="00000000" w:csb0="0004000F" w:csb1="00000000"/>
  </w:font>
  <w:font w:name="Calibri">
    <w:altName w:val="Times New Roman"/>
    <w:panose1 w:val="020F0502020204030204"/>
    <w:charset w:val="00"/>
    <w:family w:val="swiss"/>
    <w:pitch w:val="variable"/>
    <w:sig w:usb0="E4002EFF" w:usb1="C000247B" w:usb2="00000009" w:usb3="00000000" w:csb0="200001FF" w:csb1="00000000"/>
  </w:font>
</w:fonts>
</file>

<file path=word/footer1.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sdt>
    <w:sdtPr>
      <w:id w:val="-1493207643"/>
      <w:docPartList>
        <w:docPartGallery w:val="autotext"/>
      </w:docPartList>
    </w:sdtPr>
    <w:sdtContent>
      <w:p>
        <w:pPr>
          <w:pStyle w:val="18"/>
          <w:tabs>
            <w:tab w:val="center" w:pos="4153"/>
            <w:tab w:val="right" w:pos="8306"/>
          </w:tabs>
          <w:jc w:val="center"/>
        </w:pPr>
        <w:r>
          <w:fldChar w:fldCharType="begin"/>
        </w:r>
        <w:r>
          <w:instrText>PAGE   \* MERGEFORMAT</w:instrText>
        </w:r>
        <w:r>
          <w:fldChar w:fldCharType="separate"/>
        </w:r>
        <w:r>
          <w:rPr>
            <w:lang w:val="zh-CN"/>
          </w:rPr>
          <w:t>2</w:t>
        </w:r>
        <w:r>
          <w:fldChar w:fldCharType="end"/>
        </w:r>
      </w:p>
    </w:sdtContent>
  </w:sdt>
  <w:p>
    <w:pPr>
      <w:pStyle w:val="18"/>
      <w:tabs>
        <w:tab w:val="center" w:pos="4153"/>
        <w:tab w:val="right" w:pos="8306"/>
      </w:tabs>
    </w:pPr>
  </w:p>
</w:ftr>
</file>

<file path=word/footer2.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sdt>
    <w:sdtPr>
      <w:id w:val="52864854"/>
      <w:docPartList>
        <w:docPartGallery w:val="autotext"/>
      </w:docPartList>
    </w:sdtPr>
    <w:sdtContent>
      <w:p>
        <w:pPr>
          <w:pStyle w:val="18"/>
          <w:tabs>
            <w:tab w:val="center" w:pos="4153"/>
            <w:tab w:val="right" w:pos="8306"/>
          </w:tabs>
          <w:jc w:val="center"/>
        </w:pPr>
        <w:r>
          <w:fldChar w:fldCharType="begin"/>
        </w:r>
        <w:r>
          <w:instrText>PAGE   \* MERGEFORMAT</w:instrText>
        </w:r>
        <w:r>
          <w:fldChar w:fldCharType="separate"/>
        </w:r>
        <w:r>
          <w:rPr>
            <w:lang w:val="zh-CN"/>
          </w:rPr>
          <w:t>2</w:t>
        </w:r>
        <w:r>
          <w:fldChar w:fldCharType="end"/>
        </w:r>
      </w:p>
    </w:sdtContent>
  </w:sdt>
  <w:p>
    <w:pPr>
      <w:pStyle w:val="18"/>
      <w:tabs>
        <w:tab w:val="center" w:pos="4153"/>
        <w:tab w:val="right" w:pos="8306"/>
      </w:tabs>
    </w:pPr>
  </w:p>
</w:ftr>
</file>

<file path=word/footer3.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sdt>
    <w:sdtPr>
      <w:id w:val="-1292070303"/>
      <w:docPartList>
        <w:docPartGallery w:val="autotext"/>
      </w:docPartList>
    </w:sdtPr>
    <w:sdtContent>
      <w:p>
        <w:pPr>
          <w:pStyle w:val="18"/>
          <w:tabs>
            <w:tab w:val="center" w:pos="4153"/>
            <w:tab w:val="right" w:pos="8306"/>
          </w:tabs>
          <w:jc w:val="center"/>
        </w:pPr>
        <w:r>
          <w:fldChar w:fldCharType="begin"/>
        </w:r>
        <w:r>
          <w:instrText>PAGE   \* MERGEFORMAT</w:instrText>
        </w:r>
        <w:r>
          <w:fldChar w:fldCharType="separate"/>
        </w:r>
        <w:r>
          <w:rPr>
            <w:lang w:val="zh-CN"/>
          </w:rPr>
          <w:t>2</w:t>
        </w:r>
        <w:r>
          <w:fldChar w:fldCharType="end"/>
        </w:r>
      </w:p>
    </w:sdtContent>
  </w:sdt>
  <w:p>
    <w:pPr>
      <w:pStyle w:val="18"/>
      <w:tabs>
        <w:tab w:val="center" w:pos="4153"/>
        <w:tab w:val="right" w:pos="8306"/>
      </w:tabs>
    </w:pPr>
  </w:p>
</w:ftr>
</file>

<file path=word/footer4.xml><?xml version="1.0" encoding="utf-8"?>
<w:ft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sdt>
    <w:sdtPr>
      <w:id w:val="-1239349748"/>
      <w:docPartList>
        <w:docPartGallery w:val="autotext"/>
      </w:docPartList>
    </w:sdtPr>
    <w:sdtContent>
      <w:p>
        <w:pPr>
          <w:pStyle w:val="18"/>
          <w:tabs>
            <w:tab w:val="center" w:pos="4153"/>
            <w:tab w:val="right" w:pos="8306"/>
          </w:tabs>
          <w:jc w:val="center"/>
        </w:pPr>
        <w:r>
          <w:fldChar w:fldCharType="begin"/>
        </w:r>
        <w:r>
          <w:instrText>PAGE   \* MERGEFORMAT</w:instrText>
        </w:r>
        <w:r>
          <w:fldChar w:fldCharType="separate"/>
        </w:r>
        <w:r>
          <w:rPr>
            <w:lang w:val="zh-CN"/>
          </w:rPr>
          <w:t>2</w:t>
        </w:r>
        <w:r>
          <w:fldChar w:fldCharType="end"/>
        </w:r>
      </w:p>
    </w:sdtContent>
  </w:sdt>
  <w:p>
    <w:pPr>
      <w:pStyle w:val="18"/>
      <w:tabs>
        <w:tab w:val="center" w:pos="4153"/>
        <w:tab w:val="right" w:pos="8306"/>
      </w:tabs>
    </w:pPr>
  </w:p>
</w:ftr>
</file>

<file path=word/header1.xml><?xml version="1.0" encoding="utf-8"?>
<w:hd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pStyle w:val="19"/>
      <w:tabs>
        <w:tab w:val="center" w:pos="4153"/>
        <w:tab w:val="right" w:pos="8306"/>
      </w:tabs>
      <w:jc w:val="left"/>
      <w:rPr>
        <w:rFonts w:ascii="黑体" w:eastAsia="黑体"/>
        <w:sz w:val="20"/>
        <w:szCs w:val="20"/>
      </w:rPr>
    </w:pPr>
    <w:r>
      <w:rPr>
        <w:rFonts w:ascii="黑体" w:eastAsia="黑体" w:hint="eastAsia"/>
        <w:sz w:val="20"/>
        <w:szCs w:val="20"/>
      </w:rPr>
      <w:t>永州市中等职业教育质量报告（2</w:t>
    </w:r>
    <w:r>
      <w:rPr>
        <w:rFonts w:ascii="黑体" w:eastAsia="黑体"/>
        <w:sz w:val="20"/>
        <w:szCs w:val="20"/>
      </w:rPr>
      <w:t>025</w:t>
    </w:r>
    <w:r>
      <w:rPr>
        <w:rFonts w:ascii="黑体" w:eastAsia="黑体" w:hint="eastAsia"/>
        <w:sz w:val="20"/>
        <w:szCs w:val="20"/>
      </w:rPr>
      <w:t>年度）</w:t>
    </w:r>
  </w:p>
  <w:p>
    <w:pPr>
      <w:pStyle w:val="19"/>
      <w:pBdr>
        <w:bottom w:val="none" w:sz="0" w:space="0" w:color="auto"/>
      </w:pBdr>
      <w:tabs>
        <w:tab w:val="center" w:pos="4153"/>
        <w:tab w:val="right" w:pos="8306"/>
      </w:tabs>
    </w:pPr>
  </w:p>
</w:hdr>
</file>

<file path=word/header2.xml><?xml version="1.0" encoding="utf-8"?>
<w:hdr xmlns:w="http://schemas.openxmlformats.org/wordprocessingml/2006/main" xmlns:o="urn:schemas-microsoft-com:office:office" xmlns:r="http://schemas.openxmlformats.org/officeDocument/2006/relationships" xmlns:m="http://schemas.openxmlformats.org/officeDocument/2006/math" xmlns:v="urn:schemas-microsoft-com:vml" xmlns:a="http://schemas.openxmlformats.org/drawingml/2006/main" xmlns:wps="http://schemas.microsoft.com/office/word/2010/wordprocessingShape" xmlns:wp="http://schemas.openxmlformats.org/drawingml/2006/wordprocessingDrawing" xmlns:pic="http://schemas.openxmlformats.org/drawingml/2006/picture" xmlns:mc="http://schemas.openxmlformats.org/markup-compatibility/2006" xmlns:wpg="http://schemas.microsoft.com/office/word/2010/wordprocessingGroup" xmlns:wpc="http://schemas.microsoft.com/office/word/2010/wordprocessingCanvas" xmlns:w10="urn:schemas-microsoft-com:office:word" xmlns:w14="http://schemas.microsoft.com/office/word/2010/wordml" xmlns:w15="http://schemas.microsoft.com/office/word/2012/wordml" xmlns:a14="http://schemas.microsoft.com/office/drawing/2010/main" mc:Ignorable="w14 w15">
  <w:p>
    <w:pPr>
      <w:pStyle w:val="19"/>
      <w:tabs>
        <w:tab w:val="center" w:pos="4153"/>
        <w:tab w:val="right" w:pos="8306"/>
      </w:tabs>
      <w:jc w:val="left"/>
      <w:rPr>
        <w:rFonts w:ascii="黑体" w:eastAsia="黑体"/>
        <w:sz w:val="20"/>
        <w:szCs w:val="20"/>
      </w:rPr>
    </w:pPr>
    <w:r>
      <w:rPr>
        <w:rFonts w:ascii="黑体" w:eastAsia="黑体" w:hint="eastAsia"/>
        <w:sz w:val="20"/>
        <w:szCs w:val="20"/>
      </w:rPr>
      <w:t>永州市中等职业教育质量报告（2</w:t>
    </w:r>
    <w:r>
      <w:rPr>
        <w:rFonts w:ascii="黑体" w:eastAsia="黑体"/>
        <w:sz w:val="20"/>
        <w:szCs w:val="20"/>
      </w:rPr>
      <w:t>025</w:t>
    </w:r>
    <w:r>
      <w:rPr>
        <w:rFonts w:ascii="黑体" w:eastAsia="黑体" w:hint="eastAsia"/>
        <w:sz w:val="20"/>
        <w:szCs w:val="20"/>
      </w:rPr>
      <w:t>年度）</w:t>
    </w:r>
  </w:p>
</w:hdr>
</file>

<file path=word/settings.xml><?xml version="1.0" encoding="utf-8"?>
<w:settings xmlns:w="http://schemas.openxmlformats.org/wordprocessingml/2006/main" xmlns:o="urn:schemas-microsoft-com:office:office" xmlns:r="http://schemas.openxmlformats.org/officeDocument/2006/relationships" xmlns:m="http://schemas.openxmlformats.org/officeDocument/2006/math" xmlns:v="urn:schemas-microsoft-com:vml">
  <w:zoom w:percent="82"/>
  <w:bordersDoNotSurroundHeader/>
  <w:bordersDoNotSurroundFooter/>
  <w:documentProtection w:edit="readOnly"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ulTrailSpace/>
    <w:doNotExpandShiftReturn/>
    <w:adjustLineHeightInTable/>
    <w:compatSetting w:name="compatibilityMode" w:uri="http://schemas.microsoft.com/office/word" w:val="15"/>
  </w:compat>
</w:settings>
</file>

<file path=word/styles.xml><?xml version="1.0" encoding="utf-8"?>
<w:styles xmlns:w="http://schemas.openxmlformats.org/wordprocessingml/2006/main" xmlns:r="http://schemas.openxmlformats.org/officeDocument/2006/relationships">
  <w:docDefaults>
    <w:rPrDefault>
      <w:rPr>
        <w:rFonts w:ascii="Times New Roman" w:eastAsia="宋体" w:hAnsi="Times New Roman" w:cs="Times New Roman"/>
        <w:lang w:val="en-US" w:eastAsia="zh-CN" w:bidi="ar-SA"/>
      </w:rPr>
    </w:rPrDefault>
    <w:pPrDefault/>
  </w:docDefaults>
  <w:style w:type="paragraph" w:default="1" w:styleId="0">
    <w:name w:val="Normal"/>
    <w:pPr>
      <w:widowControl w:val="0"/>
      <w:jc w:val="both"/>
    </w:pPr>
    <w:rPr>
      <w:rFonts w:ascii="等线" w:eastAsia="等线" w:cs="Arial"/>
      <w:kern w:val="2"/>
      <w:sz w:val="21"/>
      <w:szCs w:val="22"/>
      <w:lang w:val="en-US" w:eastAsia="zh-CN" w:bidi="ar-SA"/>
    </w:rPr>
  </w:style>
  <w:style w:type="paragraph" w:styleId="1">
    <w:name w:val="heading 1"/>
    <w:basedOn w:val="0"/>
    <w:next w:val="0"/>
    <w:pPr>
      <w:keepNext/>
      <w:keepLines/>
      <w:widowControl w:val="0"/>
      <w:spacing w:before="340" w:after="330" w:line="578" w:lineRule="auto"/>
      <w:outlineLvl w:val="0"/>
    </w:pPr>
    <w:rPr>
      <w:rFonts w:cs="Times New Roman"/>
      <w:b/>
      <w:bCs/>
      <w:kern w:val="44"/>
      <w:sz w:val="44"/>
      <w:szCs w:val="44"/>
    </w:rPr>
  </w:style>
  <w:style w:type="paragraph" w:styleId="2">
    <w:name w:val="heading 2"/>
    <w:basedOn w:val="0"/>
    <w:next w:val="0"/>
    <w:pPr>
      <w:keepNext/>
      <w:keepLines/>
      <w:widowControl w:val="0"/>
      <w:spacing w:before="260" w:after="260" w:line="415" w:lineRule="auto"/>
      <w:outlineLvl w:val="1"/>
    </w:pPr>
    <w:rPr>
      <w:rFonts w:ascii="等线 Light" w:eastAsia="等线 Light" w:cs="Times New Roman"/>
      <w:b/>
      <w:bCs/>
      <w:sz w:val="32"/>
      <w:szCs w:val="32"/>
    </w:rPr>
  </w:style>
  <w:style w:type="paragraph" w:styleId="3">
    <w:name w:val="heading 3"/>
    <w:basedOn w:val="0"/>
    <w:next w:val="0"/>
    <w:pPr>
      <w:keepNext/>
      <w:keepLines/>
      <w:widowControl w:val="0"/>
      <w:spacing w:before="260" w:after="260" w:line="415" w:lineRule="auto"/>
      <w:outlineLvl w:val="2"/>
    </w:pPr>
    <w:rPr>
      <w:b/>
      <w:bCs/>
      <w:sz w:val="32"/>
      <w:szCs w:val="32"/>
    </w:rPr>
  </w:style>
  <w:style w:type="paragraph" w:styleId="4">
    <w:name w:val="heading 4"/>
    <w:basedOn w:val="0"/>
    <w:next w:val="0"/>
    <w:pPr>
      <w:keepNext/>
      <w:keepLines/>
      <w:widowControl w:val="0"/>
      <w:spacing w:before="280" w:after="290" w:line="377" w:lineRule="auto"/>
      <w:outlineLvl w:val="3"/>
    </w:pPr>
    <w:rPr>
      <w:rFonts w:ascii="等线 Light" w:eastAsia="等线 Light" w:cs="Times New Roman"/>
      <w:b/>
      <w:bCs/>
      <w:sz w:val="28"/>
      <w:szCs w:val="28"/>
    </w:rPr>
  </w:style>
  <w:style w:type="character" w:default="1" w:styleId="10">
    <w:name w:val="Default Paragraph Font"/>
  </w:style>
  <w:style w:type="paragraph" w:styleId="15">
    <w:name w:val="Body Text"/>
    <w:pPr>
      <w:spacing w:line="560" w:lineRule="exact"/>
      <w:ind w:firstLineChars="200" w:firstLine="200"/>
      <w:jc w:val="both"/>
    </w:pPr>
    <w:rPr>
      <w:rFonts w:ascii="Times New Roman" w:eastAsia="仿宋_GB2312" w:cs="仿宋_GB2312" w:hAnsi="Times New Roman"/>
      <w:spacing w:val="-6"/>
      <w:sz w:val="32"/>
      <w:szCs w:val="32"/>
      <w:lang w:val="en-US" w:eastAsia="zh-CN" w:bidi="ar-SA"/>
    </w:rPr>
  </w:style>
  <w:style w:type="paragraph" w:styleId="16">
    <w:name w:val="toc 5"/>
    <w:basedOn w:val="0"/>
    <w:autoRedefine/>
    <w:next w:val="0"/>
    <w:pPr>
      <w:tabs>
        <w:tab w:val="right" w:leader="dot" w:pos="8296"/>
      </w:tabs>
      <w:ind w:rightChars="100" w:right="100"/>
    </w:pPr>
  </w:style>
  <w:style w:type="paragraph" w:styleId="17">
    <w:name w:val="toc 3"/>
    <w:basedOn w:val="0"/>
    <w:autoRedefine/>
    <w:next w:val="0"/>
    <w:pPr>
      <w:ind w:leftChars="400" w:left="400"/>
    </w:pPr>
  </w:style>
  <w:style w:type="paragraph" w:styleId="18">
    <w:name w:val="footer"/>
    <w:basedOn w:val="0"/>
    <w:pPr>
      <w:tabs>
        <w:tab w:val="center" w:pos="4153"/>
        <w:tab w:val="right" w:pos="8306"/>
      </w:tabs>
      <w:snapToGrid w:val="0"/>
      <w:jc w:val="left"/>
    </w:pPr>
    <w:rPr>
      <w:sz w:val="18"/>
      <w:szCs w:val="18"/>
    </w:rPr>
  </w:style>
  <w:style w:type="paragraph" w:styleId="19">
    <w:name w:val="header"/>
    <w:basedOn w:val="0"/>
    <w:pPr>
      <w:pBdr>
        <w:bottom w:val="single" w:sz="6" w:space="1" w:color="auto"/>
      </w:pBdr>
      <w:tabs>
        <w:tab w:val="center" w:pos="4153"/>
        <w:tab w:val="right" w:pos="8306"/>
      </w:tabs>
      <w:snapToGrid w:val="0"/>
      <w:jc w:val="center"/>
    </w:pPr>
    <w:rPr>
      <w:sz w:val="18"/>
      <w:szCs w:val="18"/>
    </w:rPr>
  </w:style>
  <w:style w:type="paragraph" w:styleId="20">
    <w:name w:val="toc 1"/>
    <w:basedOn w:val="0"/>
    <w:autoRedefine/>
    <w:next w:val="0"/>
  </w:style>
  <w:style w:type="paragraph" w:styleId="21">
    <w:name w:val="toc 4"/>
    <w:basedOn w:val="0"/>
    <w:autoRedefine/>
    <w:next w:val="0"/>
    <w:pPr>
      <w:tabs>
        <w:tab w:val="right" w:leader="dot" w:pos="8296"/>
      </w:tabs>
      <w:ind w:leftChars="100" w:left="100" w:rightChars="100" w:right="100"/>
    </w:pPr>
  </w:style>
  <w:style w:type="paragraph" w:styleId="22">
    <w:name w:val="toc 2"/>
    <w:basedOn w:val="0"/>
    <w:autoRedefine/>
    <w:next w:val="0"/>
    <w:pPr>
      <w:ind w:leftChars="200" w:left="200"/>
    </w:pPr>
  </w:style>
  <w:style w:type="paragraph" w:styleId="23">
    <w:name w:val="Normal (Web)"/>
    <w:basedOn w:val="0"/>
    <w:pPr>
      <w:spacing w:line="560" w:lineRule="exact"/>
      <w:ind w:firstLineChars="200" w:firstLine="200"/>
    </w:pPr>
    <w:rPr>
      <w:rFonts w:ascii="Calibri" w:eastAsia="仿宋_GB2312" w:cs="Times New Roman" w:hAnsi="Calibri"/>
      <w:sz w:val="24"/>
      <w:szCs w:val="24"/>
    </w:rPr>
  </w:style>
  <w:style w:type="character" w:styleId="24">
    <w:name w:val="Strong"/>
    <w:basedOn w:val="10"/>
    <w:rPr>
      <w:b/>
    </w:rPr>
  </w:style>
  <w:style w:type="character" w:styleId="25">
    <w:name w:val="Hyperlink"/>
    <w:basedOn w:val="10"/>
    <w:rPr>
      <w:color w:val="467886"/>
      <w:u w:val="single"/>
    </w:rPr>
  </w:style>
  <w:style w:type="paragraph" w:customStyle="1" w:styleId="26">
    <w:name w:val="案例目录"/>
    <w:basedOn w:val="20"/>
    <w:pPr>
      <w:shd w:val="clear" w:color="auto" w:fill="E59EDC"/>
      <w:overflowPunct w:val="0"/>
      <w:spacing w:line="560" w:lineRule="exact"/>
      <w:jc w:val="center"/>
    </w:pPr>
    <w:rPr>
      <w:rFonts w:ascii="Calibri" w:eastAsia="仿宋_GB2312" w:cs="Times New Roman" w:hAnsi="Calibri"/>
      <w:b/>
      <w:bCs/>
      <w:sz w:val="32"/>
      <w:szCs w:val="24"/>
    </w:rPr>
  </w:style>
  <w:style w:type="paragraph" w:customStyle="1" w:styleId="27">
    <w:name w:val="图片目录"/>
    <w:basedOn w:val="0"/>
    <w:pPr>
      <w:jc w:val="center"/>
    </w:pPr>
    <w:rPr>
      <w:rFonts w:ascii="仿宋_GB2312" w:eastAsia="仿宋_GB2312" w:cs="仿宋_GB2312"/>
      <w:spacing w:val="5"/>
      <w:sz w:val="28"/>
      <w:szCs w:val="28"/>
    </w:rPr>
  </w:style>
  <w:style w:type="paragraph" w:customStyle="1" w:styleId="28">
    <w:name w:val="TOC Heading"/>
    <w:basedOn w:val="1"/>
    <w:next w:val="0"/>
    <w:pPr>
      <w:keepNext/>
      <w:keepLines/>
      <w:widowControl/>
      <w:spacing w:before="240" w:after="0" w:line="259" w:lineRule="auto"/>
      <w:jc w:val="left"/>
      <w:outlineLvl w:val="9"/>
    </w:pPr>
    <w:rPr>
      <w:rFonts w:ascii="等线 Light" w:eastAsia="等线 Light"/>
      <w:b w:val="0"/>
      <w:bCs w:val="0"/>
      <w:color w:val="0F4761"/>
      <w:kern w:val="0"/>
      <w:sz w:val="32"/>
      <w:szCs w:val="32"/>
    </w:rPr>
  </w:style>
</w:styles>
</file>

<file path=word/_rels/document.xml.rels><?xml version="1.0" encoding="UTF-8" standalone="yes"?>
<Relationships xmlns="http://schemas.openxmlformats.org/package/2006/relationships"><Relationship Id="rId1" Type="http://schemas.openxmlformats.org/officeDocument/2006/relationships/settings" Target="settings.xml"/><Relationship Id="rId2" Type="http://schemas.openxmlformats.org/officeDocument/2006/relationships/header" Target="header1.xml"/><Relationship Id="rId3" Type="http://schemas.openxmlformats.org/officeDocument/2006/relationships/header" Target="header2.xml"/><Relationship Id="rId4" Type="http://schemas.openxmlformats.org/officeDocument/2006/relationships/footer" Target="footer1.xml"/><Relationship Id="rId5" Type="http://schemas.openxmlformats.org/officeDocument/2006/relationships/footer" Target="footer2.xml"/><Relationship Id="rId6" Type="http://schemas.openxmlformats.org/officeDocument/2006/relationships/image" Target="media/11.jpeg"/><Relationship Id="rId7" Type="http://schemas.openxmlformats.org/officeDocument/2006/relationships/footer" Target="footer3.xml"/><Relationship Id="rId8" Type="http://schemas.openxmlformats.org/officeDocument/2006/relationships/footer" Target="footer4.xml"/><Relationship Id="rId9" Type="http://schemas.openxmlformats.org/officeDocument/2006/relationships/chart" Target="charts/chart1.xml"/><Relationship Id="rId10" Type="http://schemas.openxmlformats.org/officeDocument/2006/relationships/chart" Target="charts/chart2.xml"/><Relationship Id="rId11" Type="http://schemas.openxmlformats.org/officeDocument/2006/relationships/chart" Target="charts/chart3.xml"/><Relationship Id="rId12" Type="http://schemas.openxmlformats.org/officeDocument/2006/relationships/chart" Target="charts/chart4.xml"/><Relationship Id="rId13" Type="http://schemas.openxmlformats.org/officeDocument/2006/relationships/image" Target="media/18.jpeg"/><Relationship Id="rId14" Type="http://schemas.openxmlformats.org/officeDocument/2006/relationships/image" Target="media/21.png"/><Relationship Id="rId15" Type="http://schemas.openxmlformats.org/officeDocument/2006/relationships/image" Target="media/24.jpeg"/><Relationship Id="rId16" Type="http://schemas.openxmlformats.org/officeDocument/2006/relationships/image" Target="media/27.png"/><Relationship Id="rId17" Type="http://schemas.openxmlformats.org/officeDocument/2006/relationships/image" Target="media/30.png"/><Relationship Id="rId18" Type="http://schemas.openxmlformats.org/officeDocument/2006/relationships/image" Target="media/33.png"/><Relationship Id="rId19" Type="http://schemas.openxmlformats.org/officeDocument/2006/relationships/image" Target="media/36.png"/><Relationship Id="rId20" Type="http://schemas.openxmlformats.org/officeDocument/2006/relationships/image" Target="media/39.png"/><Relationship Id="rId21" Type="http://schemas.openxmlformats.org/officeDocument/2006/relationships/image" Target="media/42.jpeg"/><Relationship Id="rId22" Type="http://schemas.openxmlformats.org/officeDocument/2006/relationships/image" Target="media/45.png"/><Relationship Id="rId23" Type="http://schemas.openxmlformats.org/officeDocument/2006/relationships/image" Target="media/48.png"/><Relationship Id="rId24" Type="http://schemas.openxmlformats.org/officeDocument/2006/relationships/image" Target="media/51.jpeg"/><Relationship Id="rId25" Type="http://schemas.openxmlformats.org/officeDocument/2006/relationships/image" Target="media/54.jpeg"/><Relationship Id="rId26" Type="http://schemas.openxmlformats.org/officeDocument/2006/relationships/image" Target="media/57.png"/><Relationship Id="rId27" Type="http://schemas.openxmlformats.org/officeDocument/2006/relationships/image" Target="media/60.png"/><Relationship Id="rId28" Type="http://schemas.openxmlformats.org/officeDocument/2006/relationships/image" Target="media/63.jpeg"/><Relationship Id="rId29" Type="http://schemas.openxmlformats.org/officeDocument/2006/relationships/image" Target="media/66.jpeg"/><Relationship Id="rId30" Type="http://schemas.openxmlformats.org/officeDocument/2006/relationships/image" Target="media/69.png"/><Relationship Id="rId31" Type="http://schemas.openxmlformats.org/officeDocument/2006/relationships/image" Target="media/72.png"/><Relationship Id="rId32" Type="http://schemas.openxmlformats.org/officeDocument/2006/relationships/image" Target="media/75.jpeg"/><Relationship Id="rId33" Type="http://schemas.openxmlformats.org/officeDocument/2006/relationships/image" Target="media/78.png"/><Relationship Id="rId34" Type="http://schemas.openxmlformats.org/officeDocument/2006/relationships/image" Target="media/81.png"/><Relationship Id="rId35" Type="http://schemas.openxmlformats.org/officeDocument/2006/relationships/image" Target="media/84.png"/><Relationship Id="rId36" Type="http://schemas.openxmlformats.org/officeDocument/2006/relationships/image" Target="media/87.jpeg"/><Relationship Id="rId37" Type="http://schemas.openxmlformats.org/officeDocument/2006/relationships/image" Target="media/90.jpeg"/><Relationship Id="rId38" Type="http://schemas.openxmlformats.org/officeDocument/2006/relationships/image" Target="media/93.jpeg"/><Relationship Id="rId39" Type="http://schemas.openxmlformats.org/officeDocument/2006/relationships/image" Target="media/96.png"/><Relationship Id="rId40" Type="http://schemas.openxmlformats.org/officeDocument/2006/relationships/image" Target="media/99.jpeg"/><Relationship Id="rId41" Type="http://schemas.openxmlformats.org/officeDocument/2006/relationships/image" Target="media/102.jpeg"/><Relationship Id="rId42" Type="http://schemas.openxmlformats.org/officeDocument/2006/relationships/image" Target="media/105.jpeg"/><Relationship Id="rId43" Type="http://schemas.openxmlformats.org/officeDocument/2006/relationships/image" Target="media/108.jpeg"/><Relationship Id="rId44" Type="http://schemas.openxmlformats.org/officeDocument/2006/relationships/image" Target="media/111.png"/><Relationship Id="rId45" Type="http://schemas.openxmlformats.org/officeDocument/2006/relationships/image" Target="media/114.png"/><Relationship Id="rId46" Type="http://schemas.openxmlformats.org/officeDocument/2006/relationships/image" Target="media/117.jpeg"/><Relationship Id="rId47" Type="http://schemas.openxmlformats.org/officeDocument/2006/relationships/image" Target="media/120.png"/><Relationship Id="rId48" Type="http://schemas.openxmlformats.org/officeDocument/2006/relationships/image" Target="media/123.jpeg"/><Relationship Id="rId49" Type="http://schemas.openxmlformats.org/officeDocument/2006/relationships/image" Target="media/126.png"/><Relationship Id="rId50" Type="http://schemas.openxmlformats.org/officeDocument/2006/relationships/image" Target="media/129.png"/><Relationship Id="rId51" Type="http://schemas.openxmlformats.org/officeDocument/2006/relationships/image" Target="media/140.jpeg"/><Relationship Id="rId52" Type="http://schemas.openxmlformats.org/officeDocument/2006/relationships/styles" Target="styles.xml"/><Relationship Id="rId53"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char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char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char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chart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1" i="0" u="none" strike="noStrike" baseline="0">
                <a:solidFill>
                  <a:srgbClr val="595959"/>
                </a:solidFill>
                <a:latin typeface="Times New Roman"/>
                <a:ea typeface="宋体"/>
                <a:cs typeface="Lucida Sans"/>
              </a:defRPr>
            </a:pPr>
            <a:r>
              <a:rPr lang="zh-CN"/>
              <a:t>永州市中职学校发展概况</a:t>
            </a:r>
          </a:p>
        </c:rich>
      </c:tx>
      <c:layout/>
      <c:overlay val="0"/>
      <c:spPr>
        <a:noFill/>
        <a:ln>
          <a:noFill/>
        </a:ln>
      </c:spPr>
    </c:title>
    <c:autoTitleDeleted val="1"/>
    <c:plotArea>
      <c:layout/>
      <c:barChart>
        <c:barDir val="col"/>
        <c:grouping val="clustered"/>
        <c:varyColors val="0"/>
        <c:ser>
          <c:idx val="0"/>
          <c:order val="0"/>
          <c:tx>
            <c:v>数量</c:v>
          </c:tx>
          <c:spPr>
            <a:solidFill>
              <a:srgbClr val="4E95D9"/>
            </a:solidFill>
            <a:ln>
              <a:noFill/>
            </a:ln>
          </c:spPr>
          <c:invertIfNegative val="0"/>
          <c:dLbls>
            <c:spPr>
              <a:noFill/>
              <a:ln>
                <a:noFill/>
              </a:ln>
            </c:spPr>
            <c:txPr>
              <a:bodyPr vert="horz"/>
              <a:lstStyle/>
              <a:p>
                <a:pPr>
                  <a:defRPr sz="900" b="1" i="0" u="none" strike="noStrike" baseline="0">
                    <a:solidFill>
                      <a:srgbClr val="404040"/>
                    </a:solidFill>
                    <a:latin typeface="Times New Roman"/>
                    <a:ea typeface="宋体"/>
                    <a:cs typeface="Lucida Sans"/>
                  </a:defRPr>
                </a:pPr>
                <a:endParaRPr lang="zh-CN"/>
              </a:p>
            </c:txPr>
            <c:numFmt formatCode="General" sourceLinked="0"/>
            <c:dLblPos val="outEnd"/>
            <c:showLegendKey val="0"/>
            <c:showVal val="1"/>
            <c:showCatName val="0"/>
            <c:showSerName val="0"/>
            <c:showPercent val="0"/>
            <c:showBubbleSize val="0"/>
            <c:showLeaderLines val="1"/>
            <c:extLst>
              <c:ext xmlns:c15="http://schemas.microsoft.com/office/drawing/2012/chart" uri="{CE6537A1-D6FC-4f65-9D91-7224C49458BB}">
                <c15:showLeaderLines val="1"/>
              </c:ext>
            </c:extLst>
          </c:dLbls>
          <c:cat>
            <c:strLit>
              <c:ptCount val="4"/>
              <c:pt idx="0">
                <c:v>国家级重点中职学校</c:v>
              </c:pt>
              <c:pt idx="1">
                <c:v>国家级重点中职学校</c:v>
              </c:pt>
              <c:pt idx="2">
                <c:v>湖南省示范性中等职业学校</c:v>
              </c:pt>
              <c:pt idx="3">
                <c:v>入选湖南省 “楚怡” 优质中职学校建设计划</c:v>
              </c:pt>
            </c:strLit>
          </c:cat>
          <c:val>
            <c:numRef>
              <c:f/>
              <c:numCache>
                <c:formatCode>General</c:formatCode>
                <c:ptCount val="4"/>
                <c:pt idx="0">
                  <c:v>3.0</c:v>
                </c:pt>
                <c:pt idx="1">
                  <c:v>3.0</c:v>
                </c:pt>
                <c:pt idx="2">
                  <c:v>5.0</c:v>
                </c:pt>
                <c:pt idx="3">
                  <c:v>8.0</c:v>
                </c:pt>
              </c:numCache>
            </c:numRef>
          </c:val>
        </c:ser>
        <c:overlap val="-25"/>
        <c:gapWidth val="150"/>
        <c:axId val="0"/>
        <c:axId val="1"/>
      </c:barChart>
      <c:catAx>
        <c:axId val="0"/>
        <c:scaling>
          <c:orientation val="minMax"/>
        </c:scaling>
        <c:delete val="0"/>
        <c:axPos val="b"/>
        <c:numFmt formatCode="General" sourceLinked="0"/>
        <c:majorTickMark val="none"/>
        <c:minorTickMark val="none"/>
        <c:tickLblPos val="nextTo"/>
        <c:spPr>
          <a:ln w="6350">
            <a:solidFill>
              <a:srgbClr val="D9D9D9"/>
            </a:solidFill>
            <a:prstDash val="solid"/>
          </a:ln>
        </c:spPr>
        <c:txPr>
          <a:bodyPr/>
          <a:lstStyle/>
          <a:p>
            <a:pPr>
              <a:defRPr sz="900" b="1" i="0" u="none" strike="noStrike" baseline="0">
                <a:solidFill>
                  <a:srgbClr val="595959"/>
                </a:solidFill>
                <a:latin typeface="Times New Roman"/>
                <a:ea typeface="宋体"/>
                <a:cs typeface="Lucida Sans"/>
              </a:defRPr>
            </a:pPr>
            <a:endParaRPr lang="zh-CN"/>
          </a:p>
        </c:txPr>
        <c:crosses val="autoZero"/>
        <c:auto val="1"/>
        <c:lblOffset val="100"/>
        <c:lblAlgn val="ctr"/>
        <c:noMultiLvlLbl val="0"/>
        <c:crossAx val="1"/>
      </c:catAx>
      <c:valAx>
        <c:axId val="1"/>
        <c:scaling>
          <c:orientation val="minMax"/>
        </c:scaling>
        <c:delete val="1"/>
        <c:axPos val="l"/>
        <c:numFmt formatCode="General" sourceLinked="1"/>
        <c:majorTickMark val="none"/>
        <c:minorTickMark val="none"/>
        <c:tickLblPos val="nextTo"/>
        <c:txPr>
          <a:bodyPr/>
          <a:lstStyle/>
          <a:p>
            <a:pPr>
              <a:defRPr sz="1000" b="1" i="0" u="none" strike="noStrike" baseline="0">
                <a:solidFill>
                  <a:srgbClr val="000000"/>
                </a:solidFill>
                <a:latin typeface="Times New Roman"/>
                <a:ea typeface="宋体"/>
                <a:cs typeface="Lucida Sans"/>
              </a:defRPr>
            </a:pPr>
            <a:endParaRPr lang="zh-CN"/>
          </a:p>
        </c:txPr>
        <c:crossesAt val="1.0"/>
        <c:crossBetween val="between"/>
        <c:crossAx val="0"/>
      </c:valAx>
      <c:spPr>
        <a:noFill/>
        <a:ln>
          <a:noFill/>
        </a:ln>
      </c:spPr>
    </c:plotArea>
    <c:legend>
      <c:legendPos val="t"/>
      <c:layout/>
      <c:overlay val="0"/>
      <c:spPr>
        <a:noFill/>
        <a:ln>
          <a:noFill/>
        </a:ln>
      </c:spPr>
      <c:txPr>
        <a:bodyPr/>
        <a:lstStyle/>
        <a:p>
          <a:pPr>
            <a:defRPr sz="900" b="1" i="0" u="none" strike="noStrike" baseline="0">
              <a:solidFill>
                <a:srgbClr val="595959"/>
              </a:solidFill>
              <a:latin typeface="Times New Roman"/>
              <a:ea typeface="宋体"/>
              <a:cs typeface="Lucida Sans"/>
            </a:defRPr>
          </a:pPr>
          <a:endParaRPr lang="zh-CN"/>
        </a:p>
      </c:txPr>
    </c:legend>
    <c:plotVisOnly val="1"/>
    <c:dispBlanksAs val="gap"/>
    <c:showDLblsOverMax val="0"/>
  </c:chart>
  <c:spPr>
    <a:solidFill>
      <a:srgbClr val="FFFFFF"/>
    </a:solidFill>
    <a:ln w="6350">
      <a:solidFill>
        <a:srgbClr val="D9D9D9"/>
      </a:solidFill>
      <a:prstDash val="solid"/>
    </a:ln>
  </c:spPr>
  <c:txPr>
    <a:bodyPr/>
    <a:lstStyle/>
    <a:p>
      <a:pPr>
        <a:defRPr sz="1000" b="1" i="0" u="none" strike="noStrike" baseline="0">
          <a:solidFill>
            <a:srgbClr val="000000"/>
          </a:solidFill>
          <a:latin typeface="Times New Roman"/>
          <a:ea typeface="宋体"/>
          <a:cs typeface="Lucida Sans"/>
        </a:defRPr>
      </a:pPr>
      <a:endParaRPr lang="zh-CN"/>
    </a:p>
  </c:txPr>
  <c:printSettings>
    <c:headerFooter/>
    <c:pageMargins b="0.75" l="0.7" r="0.7" t="0.75" header="0.3" footer="0.3"/>
    <c:pageSetup/>
  </c:printSettings>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1" i="0" u="none" strike="noStrike" baseline="0">
                <a:solidFill>
                  <a:srgbClr val="404040"/>
                </a:solidFill>
                <a:latin typeface="Times New Roman"/>
                <a:ea typeface="宋体"/>
                <a:cs typeface="Lucida Sans"/>
              </a:defRPr>
            </a:pPr>
            <a:r>
              <a:rPr lang="zh-CN"/>
              <a:t>教材与实训资源对比图</a:t>
            </a:r>
          </a:p>
        </c:rich>
      </c:tx>
      <c:layout/>
      <c:overlay val="0"/>
      <c:spPr>
        <a:noFill/>
        <a:ln>
          <a:noFill/>
        </a:ln>
      </c:spPr>
    </c:title>
    <c:autoTitleDeleted val="1"/>
    <c:plotArea>
      <c:layout/>
      <c:barChart>
        <c:barDir val="col"/>
        <c:grouping val="clustered"/>
        <c:varyColors val="0"/>
        <c:ser>
          <c:idx val="0"/>
          <c:order val="0"/>
          <c:tx>
            <c:v>2024年</c:v>
          </c:tx>
          <c:spPr>
            <a:solidFill>
              <a:srgbClr val="156082"/>
            </a:solidFill>
            <a:ln>
              <a:noFill/>
            </a:ln>
          </c:spPr>
          <c:invertIfNegative val="0"/>
          <c:dLbls>
            <c:spPr>
              <a:noFill/>
              <a:ln>
                <a:noFill/>
              </a:ln>
            </c:spPr>
            <c:txPr>
              <a:bodyPr vert="horz"/>
              <a:lstStyle/>
              <a:p>
                <a:pPr>
                  <a:defRPr sz="1000" b="0" i="0" u="none" strike="noStrike" baseline="0">
                    <a:solidFill>
                      <a:srgbClr val="404040"/>
                    </a:solidFill>
                    <a:latin typeface="Times New Roman"/>
                    <a:ea typeface="宋体"/>
                    <a:cs typeface="Lucida Sans"/>
                  </a:defRPr>
                </a:pPr>
                <a:endParaRPr lang="zh-CN"/>
              </a:p>
            </c:txPr>
            <c:numFmt formatCode="General" sourceLinked="0"/>
            <c:dLblPos val="outEnd"/>
            <c:showLegendKey val="0"/>
            <c:showVal val="1"/>
            <c:showCatName val="0"/>
            <c:showSerName val="0"/>
            <c:showPercent val="0"/>
            <c:showBubbleSize val="0"/>
            <c:showLeaderLines val="1"/>
            <c:extLst>
              <c:ext xmlns:c15="http://schemas.microsoft.com/office/drawing/2012/chart" uri="{CE6537A1-D6FC-4f65-9D91-7224C49458BB}">
                <c15:showLeaderLines val="1"/>
              </c:ext>
            </c:extLst>
          </c:dLbls>
          <c:cat>
            <c:strLit>
              <c:ptCount val="4"/>
              <c:pt idx="0">
                <c:v>国家规划教材 </c:v>
              </c:pt>
              <c:pt idx="1">
                <c:v>校企合作教材</c:v>
              </c:pt>
              <c:pt idx="2">
                <c:v>虚拟仿真实训基地</c:v>
              </c:pt>
              <c:pt idx="3">
                <c:v>校级实训基地</c:v>
              </c:pt>
            </c:strLit>
          </c:cat>
          <c:val>
            <c:numRef>
              <c:f/>
              <c:numCache>
                <c:formatCode>General</c:formatCode>
                <c:ptCount val="4"/>
                <c:pt idx="0">
                  <c:v>149.0</c:v>
                </c:pt>
                <c:pt idx="1">
                  <c:v>54.0</c:v>
                </c:pt>
                <c:pt idx="2">
                  <c:v>19.0</c:v>
                </c:pt>
                <c:pt idx="3">
                  <c:v>19.0</c:v>
                </c:pt>
              </c:numCache>
            </c:numRef>
          </c:val>
        </c:ser>
        <c:ser>
          <c:idx val="1"/>
          <c:order val="1"/>
          <c:tx>
            <c:v>2025年</c:v>
          </c:tx>
          <c:spPr>
            <a:solidFill>
              <a:srgbClr val="E97132"/>
            </a:solidFill>
            <a:ln>
              <a:noFill/>
            </a:ln>
          </c:spPr>
          <c:invertIfNegative val="0"/>
          <c:dLbls>
            <c:spPr>
              <a:noFill/>
              <a:ln>
                <a:noFill/>
              </a:ln>
            </c:spPr>
            <c:txPr>
              <a:bodyPr vert="horz"/>
              <a:lstStyle/>
              <a:p>
                <a:pPr>
                  <a:defRPr sz="1000" b="0" i="0" u="none" strike="noStrike" baseline="0">
                    <a:solidFill>
                      <a:srgbClr val="404040"/>
                    </a:solidFill>
                    <a:latin typeface="Times New Roman"/>
                    <a:ea typeface="宋体"/>
                    <a:cs typeface="Lucida Sans"/>
                  </a:defRPr>
                </a:pPr>
                <a:endParaRPr lang="zh-CN"/>
              </a:p>
            </c:txPr>
            <c:numFmt formatCode="General" sourceLinked="0"/>
            <c:dLblPos val="outEnd"/>
            <c:showLegendKey val="0"/>
            <c:showVal val="1"/>
            <c:showCatName val="0"/>
            <c:showSerName val="0"/>
            <c:showPercent val="0"/>
            <c:showBubbleSize val="0"/>
            <c:showLeaderLines val="1"/>
            <c:extLst>
              <c:ext xmlns:c15="http://schemas.microsoft.com/office/drawing/2012/chart" uri="{CE6537A1-D6FC-4f65-9D91-7224C49458BB}">
                <c15:showLeaderLines val="1"/>
              </c:ext>
            </c:extLst>
          </c:dLbls>
          <c:cat>
            <c:strLit>
              <c:ptCount val="4"/>
              <c:pt idx="0">
                <c:v>国家规划教材 </c:v>
              </c:pt>
              <c:pt idx="1">
                <c:v>校企合作教材</c:v>
              </c:pt>
              <c:pt idx="2">
                <c:v>虚拟仿真实训基地</c:v>
              </c:pt>
              <c:pt idx="3">
                <c:v>校级实训基地</c:v>
              </c:pt>
            </c:strLit>
          </c:cat>
          <c:val>
            <c:numRef>
              <c:f/>
              <c:numCache>
                <c:formatCode>General</c:formatCode>
                <c:ptCount val="4"/>
                <c:pt idx="0">
                  <c:v>8.0</c:v>
                </c:pt>
                <c:pt idx="1">
                  <c:v>38.0</c:v>
                </c:pt>
                <c:pt idx="2">
                  <c:v>19.0</c:v>
                </c:pt>
                <c:pt idx="3">
                  <c:v>21.0</c:v>
                </c:pt>
              </c:numCache>
            </c:numRef>
          </c:val>
        </c:ser>
        <c:overlap val="-28"/>
        <c:gapWidth val="246"/>
        <c:axId val="0"/>
        <c:axId val="1"/>
      </c:barChart>
      <c:catAx>
        <c:axId val="0"/>
        <c:scaling>
          <c:orientation val="minMax"/>
        </c:scaling>
        <c:delete val="0"/>
        <c:axPos val="b"/>
        <c:numFmt formatCode="General" sourceLinked="0"/>
        <c:majorTickMark val="none"/>
        <c:minorTickMark val="none"/>
        <c:tickLblPos val="nextTo"/>
        <c:spPr>
          <a:ln w="6350">
            <a:solidFill>
              <a:srgbClr val="D9D9D9"/>
            </a:solidFill>
            <a:prstDash val="solid"/>
          </a:ln>
        </c:spPr>
        <c:txPr>
          <a:bodyPr/>
          <a:lstStyle/>
          <a:p>
            <a:pPr>
              <a:defRPr sz="900" b="0" i="0" u="none" strike="noStrike" baseline="0">
                <a:solidFill>
                  <a:srgbClr val="595959"/>
                </a:solidFill>
                <a:latin typeface="Times New Roman"/>
                <a:ea typeface="宋体"/>
                <a:cs typeface="Lucida Sans"/>
              </a:defRPr>
            </a:pPr>
            <a:endParaRPr lang="zh-CN"/>
          </a:p>
        </c:txPr>
        <c:crosses val="autoZero"/>
        <c:auto val="1"/>
        <c:lblOffset val="100"/>
        <c:lblAlgn val="ctr"/>
        <c:noMultiLvlLbl val="0"/>
        <c:crossAx val="1"/>
      </c:catAx>
      <c:valAx>
        <c:axId val="1"/>
        <c:scaling>
          <c:orientation val="minMax"/>
        </c:scaling>
        <c:delete val="0"/>
        <c:axPos val="l"/>
        <c:majorGridlines>
          <c:spPr>
            <a:ln w="6350">
              <a:solidFill>
                <a:srgbClr val="E6E6E6"/>
              </a:solidFill>
              <a:prstDash val="solid"/>
            </a:ln>
          </c:spPr>
        </c:majorGridlines>
        <c:numFmt formatCode="General" sourceLinked="1"/>
        <c:majorTickMark val="none"/>
        <c:minorTickMark val="none"/>
        <c:tickLblPos val="nextTo"/>
        <c:spPr>
          <a:ln>
            <a:noFill/>
          </a:ln>
        </c:spPr>
        <c:txPr>
          <a:bodyPr/>
          <a:lstStyle/>
          <a:p>
            <a:pPr>
              <a:defRPr sz="900" b="0" i="0" u="none" strike="noStrike" baseline="0">
                <a:solidFill>
                  <a:srgbClr val="595959"/>
                </a:solidFill>
                <a:latin typeface="Times New Roman"/>
                <a:ea typeface="宋体"/>
                <a:cs typeface="Lucida Sans"/>
              </a:defRPr>
            </a:pPr>
            <a:endParaRPr lang="zh-CN"/>
          </a:p>
        </c:txPr>
        <c:crossesAt val="1.0"/>
        <c:crossBetween val="between"/>
        <c:crossAx val="0"/>
      </c:valAx>
      <c:spPr>
        <a:noFill/>
        <a:ln>
          <a:noFill/>
        </a:ln>
      </c:spPr>
    </c:plotArea>
    <c:legend>
      <c:legendPos val="b"/>
      <c:layout/>
      <c:overlay val="0"/>
      <c:spPr>
        <a:noFill/>
        <a:ln>
          <a:noFill/>
        </a:ln>
      </c:spPr>
      <c:txPr>
        <a:bodyPr/>
        <a:lstStyle/>
        <a:p>
          <a:pPr>
            <a:defRPr sz="900" b="0" i="0" u="none" strike="noStrike" baseline="0">
              <a:solidFill>
                <a:srgbClr val="595959"/>
              </a:solidFill>
              <a:latin typeface="Times New Roman"/>
              <a:ea typeface="宋体"/>
              <a:cs typeface="Lucida Sans"/>
            </a:defRPr>
          </a:pPr>
          <a:endParaRPr lang="zh-CN"/>
        </a:p>
      </c:txPr>
    </c:legend>
    <c:plotVisOnly val="1"/>
    <c:dispBlanksAs val="gap"/>
    <c:showDLblsOverMax val="0"/>
  </c:chart>
  <c:spPr>
    <a:solidFill>
      <a:srgbClr val="FFFFFF"/>
    </a:solidFill>
    <a:ln w="6350">
      <a:solidFill>
        <a:srgbClr val="D9D9D9"/>
      </a:solidFill>
      <a:prstDash val="solid"/>
    </a:ln>
  </c:spPr>
  <c:txPr>
    <a:bodyPr/>
    <a:lstStyle/>
    <a:p>
      <a:pPr>
        <a:defRPr sz="1000" b="0" i="0" u="none" strike="noStrike" baseline="0">
          <a:solidFill>
            <a:srgbClr val="000000"/>
          </a:solidFill>
          <a:latin typeface="Times New Roman"/>
          <a:ea typeface="宋体"/>
          <a:cs typeface="Lucida Sans"/>
        </a:defRPr>
      </a:pPr>
      <a:endParaRPr lang="zh-CN"/>
    </a:p>
  </c:txPr>
  <c:printSettings>
    <c:headerFooter/>
    <c:pageMargins b="0.75" l="0.7" r="0.7" t="0.75" header="0.3" footer="0.3"/>
    <c:pageSetup/>
  </c:printSettings>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1" i="0" u="none" strike="noStrike" baseline="0">
                <a:solidFill>
                  <a:srgbClr val="404040"/>
                </a:solidFill>
                <a:latin typeface="Times New Roman"/>
                <a:ea typeface="宋体"/>
                <a:cs typeface="Lucida Sans"/>
              </a:defRPr>
            </a:pPr>
            <a:r>
              <a:rPr lang="zh-CN"/>
              <a:t>永州市学生就业情况表</a:t>
            </a:r>
          </a:p>
        </c:rich>
      </c:tx>
      <c:layout/>
      <c:overlay val="0"/>
      <c:spPr>
        <a:noFill/>
        <a:ln>
          <a:noFill/>
        </a:ln>
      </c:spPr>
    </c:title>
    <c:autoTitleDeleted val="1"/>
    <c:plotArea>
      <c:layout/>
      <c:barChart>
        <c:barDir val="col"/>
        <c:grouping val="clustered"/>
        <c:varyColors val="0"/>
        <c:ser>
          <c:idx val="0"/>
          <c:order val="0"/>
          <c:tx>
            <c:v>2024年</c:v>
          </c:tx>
          <c:spPr>
            <a:solidFill>
              <a:srgbClr val="156082"/>
            </a:solidFill>
            <a:ln>
              <a:noFill/>
            </a:ln>
          </c:spPr>
          <c:invertIfNegative val="0"/>
          <c:dLbls>
            <c:spPr>
              <a:noFill/>
              <a:ln>
                <a:noFill/>
              </a:ln>
            </c:spPr>
            <c:txPr>
              <a:bodyPr vert="horz"/>
              <a:lstStyle/>
              <a:p>
                <a:pPr>
                  <a:defRPr sz="1000" b="0" i="0" u="none" strike="noStrike" baseline="0">
                    <a:solidFill>
                      <a:srgbClr val="404040"/>
                    </a:solidFill>
                    <a:latin typeface="Times New Roman"/>
                    <a:ea typeface="宋体"/>
                    <a:cs typeface="Lucida Sans"/>
                  </a:defRPr>
                </a:pPr>
                <a:endParaRPr lang="zh-CN"/>
              </a:p>
            </c:txPr>
            <c:numFmt formatCode="General" sourceLinked="0"/>
            <c:dLblPos val="outEnd"/>
            <c:showLegendKey val="0"/>
            <c:showVal val="1"/>
            <c:showCatName val="0"/>
            <c:showSerName val="0"/>
            <c:showPercent val="0"/>
            <c:showBubbleSize val="0"/>
            <c:showLeaderLines val="1"/>
            <c:extLst>
              <c:ext xmlns:c15="http://schemas.microsoft.com/office/drawing/2012/chart" uri="{CE6537A1-D6FC-4f65-9D91-7224C49458BB}">
                <c15:showLeaderLines val="1"/>
              </c:ext>
            </c:extLst>
          </c:dLbls>
          <c:cat>
            <c:strLit>
              <c:ptCount val="4"/>
              <c:pt idx="0">
                <c:v>初次就业人数</c:v>
              </c:pt>
              <c:pt idx="1">
                <c:v>初次就业平均月收入</c:v>
              </c:pt>
              <c:pt idx="2">
                <c:v>本地就业人数</c:v>
              </c:pt>
              <c:pt idx="3">
                <c:v>中小企业就业人数</c:v>
              </c:pt>
            </c:strLit>
          </c:cat>
          <c:val>
            <c:numRef>
              <c:f/>
              <c:numCache>
                <c:formatCode>General</c:formatCode>
                <c:ptCount val="4"/>
                <c:pt idx="0">
                  <c:v>9934.0</c:v>
                </c:pt>
                <c:pt idx="1">
                  <c:v>3880.0</c:v>
                </c:pt>
                <c:pt idx="2">
                  <c:v>3901.0</c:v>
                </c:pt>
                <c:pt idx="3">
                  <c:v>8696.0</c:v>
                </c:pt>
              </c:numCache>
            </c:numRef>
          </c:val>
        </c:ser>
        <c:ser>
          <c:idx val="1"/>
          <c:order val="1"/>
          <c:tx>
            <c:v>2025年</c:v>
          </c:tx>
          <c:spPr>
            <a:solidFill>
              <a:srgbClr val="E97132"/>
            </a:solidFill>
            <a:ln>
              <a:noFill/>
            </a:ln>
          </c:spPr>
          <c:invertIfNegative val="0"/>
          <c:dLbls>
            <c:spPr>
              <a:noFill/>
              <a:ln>
                <a:noFill/>
              </a:ln>
            </c:spPr>
            <c:txPr>
              <a:bodyPr vert="horz"/>
              <a:lstStyle/>
              <a:p>
                <a:pPr>
                  <a:defRPr sz="1000" b="0" i="0" u="none" strike="noStrike" baseline="0">
                    <a:solidFill>
                      <a:srgbClr val="404040"/>
                    </a:solidFill>
                    <a:latin typeface="Times New Roman"/>
                    <a:ea typeface="宋体"/>
                    <a:cs typeface="Lucida Sans"/>
                  </a:defRPr>
                </a:pPr>
                <a:endParaRPr lang="zh-CN"/>
              </a:p>
            </c:txPr>
            <c:numFmt formatCode="General" sourceLinked="0"/>
            <c:dLblPos val="outEnd"/>
            <c:showLegendKey val="0"/>
            <c:showVal val="1"/>
            <c:showCatName val="0"/>
            <c:showSerName val="0"/>
            <c:showPercent val="0"/>
            <c:showBubbleSize val="0"/>
            <c:showLeaderLines val="1"/>
            <c:extLst>
              <c:ext xmlns:c15="http://schemas.microsoft.com/office/drawing/2012/chart" uri="{CE6537A1-D6FC-4f65-9D91-7224C49458BB}">
                <c15:showLeaderLines val="1"/>
              </c:ext>
            </c:extLst>
          </c:dLbls>
          <c:cat>
            <c:strLit>
              <c:ptCount val="4"/>
              <c:pt idx="0">
                <c:v>初次就业人数</c:v>
              </c:pt>
              <c:pt idx="1">
                <c:v>初次就业平均月收入</c:v>
              </c:pt>
              <c:pt idx="2">
                <c:v>本地就业人数</c:v>
              </c:pt>
              <c:pt idx="3">
                <c:v>中小企业就业人数</c:v>
              </c:pt>
            </c:strLit>
          </c:cat>
          <c:val>
            <c:numRef>
              <c:f/>
              <c:numCache>
                <c:formatCode>General</c:formatCode>
                <c:ptCount val="4"/>
                <c:pt idx="0">
                  <c:v>10620.0</c:v>
                </c:pt>
                <c:pt idx="1">
                  <c:v>3825.0</c:v>
                </c:pt>
                <c:pt idx="2">
                  <c:v>3530.0</c:v>
                </c:pt>
                <c:pt idx="3">
                  <c:v>9284.0</c:v>
                </c:pt>
              </c:numCache>
            </c:numRef>
          </c:val>
        </c:ser>
        <c:overlap val="-28"/>
        <c:gapWidth val="246"/>
        <c:axId val="0"/>
        <c:axId val="1"/>
      </c:barChart>
      <c:catAx>
        <c:axId val="0"/>
        <c:scaling>
          <c:orientation val="minMax"/>
        </c:scaling>
        <c:delete val="0"/>
        <c:axPos val="b"/>
        <c:numFmt formatCode="General" sourceLinked="0"/>
        <c:majorTickMark val="none"/>
        <c:minorTickMark val="none"/>
        <c:tickLblPos val="nextTo"/>
        <c:spPr>
          <a:ln w="6350">
            <a:solidFill>
              <a:srgbClr val="D9D9D9"/>
            </a:solidFill>
            <a:prstDash val="solid"/>
          </a:ln>
        </c:spPr>
        <c:txPr>
          <a:bodyPr/>
          <a:lstStyle/>
          <a:p>
            <a:pPr>
              <a:defRPr sz="900" b="0" i="0" u="none" strike="noStrike" baseline="0">
                <a:solidFill>
                  <a:srgbClr val="595959"/>
                </a:solidFill>
                <a:latin typeface="Times New Roman"/>
                <a:ea typeface="宋体"/>
                <a:cs typeface="Lucida Sans"/>
              </a:defRPr>
            </a:pPr>
            <a:endParaRPr lang="zh-CN"/>
          </a:p>
        </c:txPr>
        <c:crosses val="autoZero"/>
        <c:auto val="1"/>
        <c:lblOffset val="100"/>
        <c:lblAlgn val="ctr"/>
        <c:noMultiLvlLbl val="0"/>
        <c:crossAx val="1"/>
      </c:catAx>
      <c:valAx>
        <c:axId val="1"/>
        <c:scaling>
          <c:orientation val="minMax"/>
        </c:scaling>
        <c:delete val="0"/>
        <c:axPos val="l"/>
        <c:majorGridlines>
          <c:spPr>
            <a:ln w="6350">
              <a:solidFill>
                <a:srgbClr val="E6E6E6"/>
              </a:solidFill>
              <a:prstDash val="solid"/>
            </a:ln>
          </c:spPr>
        </c:majorGridlines>
        <c:numFmt formatCode="General" sourceLinked="1"/>
        <c:majorTickMark val="none"/>
        <c:minorTickMark val="none"/>
        <c:tickLblPos val="nextTo"/>
        <c:spPr>
          <a:ln>
            <a:noFill/>
          </a:ln>
        </c:spPr>
        <c:txPr>
          <a:bodyPr/>
          <a:lstStyle/>
          <a:p>
            <a:pPr>
              <a:defRPr sz="900" b="0" i="0" u="none" strike="noStrike" baseline="0">
                <a:solidFill>
                  <a:srgbClr val="595959"/>
                </a:solidFill>
                <a:latin typeface="Times New Roman"/>
                <a:ea typeface="宋体"/>
                <a:cs typeface="Lucida Sans"/>
              </a:defRPr>
            </a:pPr>
            <a:endParaRPr lang="zh-CN"/>
          </a:p>
        </c:txPr>
        <c:crossesAt val="1.0"/>
        <c:crossBetween val="between"/>
        <c:crossAx val="0"/>
      </c:valAx>
      <c:spPr>
        <a:noFill/>
        <a:ln>
          <a:noFill/>
        </a:ln>
      </c:spPr>
    </c:plotArea>
    <c:legend>
      <c:legendPos val="b"/>
      <c:layout/>
      <c:overlay val="0"/>
      <c:spPr>
        <a:noFill/>
        <a:ln>
          <a:noFill/>
        </a:ln>
      </c:spPr>
      <c:txPr>
        <a:bodyPr/>
        <a:lstStyle/>
        <a:p>
          <a:pPr>
            <a:defRPr sz="900" b="0" i="0" u="none" strike="noStrike" baseline="0">
              <a:solidFill>
                <a:srgbClr val="595959"/>
              </a:solidFill>
              <a:latin typeface="Times New Roman"/>
              <a:ea typeface="宋体"/>
              <a:cs typeface="Lucida Sans"/>
            </a:defRPr>
          </a:pPr>
          <a:endParaRPr lang="zh-CN"/>
        </a:p>
      </c:txPr>
    </c:legend>
    <c:plotVisOnly val="1"/>
    <c:dispBlanksAs val="gap"/>
    <c:showDLblsOverMax val="0"/>
  </c:chart>
  <c:spPr>
    <a:solidFill>
      <a:srgbClr val="FFFFFF"/>
    </a:solidFill>
    <a:ln w="6350">
      <a:solidFill>
        <a:srgbClr val="D9D9D9"/>
      </a:solidFill>
      <a:prstDash val="solid"/>
    </a:ln>
  </c:spPr>
  <c:txPr>
    <a:bodyPr/>
    <a:lstStyle/>
    <a:p>
      <a:pPr>
        <a:defRPr sz="1000" b="0" i="0" u="none" strike="noStrike" baseline="0">
          <a:solidFill>
            <a:srgbClr val="000000"/>
          </a:solidFill>
          <a:latin typeface="Times New Roman"/>
          <a:ea typeface="宋体"/>
          <a:cs typeface="Lucida Sans"/>
        </a:defRPr>
      </a:pPr>
      <a:endParaRPr lang="zh-CN"/>
    </a:p>
  </c:txPr>
  <c:printSettings>
    <c:headerFooter/>
    <c:pageMargins b="0.75" l="0.7" r="0.7" t="0.75" header="0.3" footer="0.3"/>
    <c:pageSetup/>
  </c:printSettings>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1" i="0" u="none" strike="noStrike" baseline="0">
                <a:solidFill>
                  <a:srgbClr val="404040"/>
                </a:solidFill>
                <a:latin typeface="Times New Roman"/>
                <a:ea typeface="宋体"/>
                <a:cs typeface="Lucida Sans"/>
              </a:defRPr>
            </a:pPr>
            <a:r>
              <a:rPr lang="zh-CN"/>
              <a:t>永州市中职学校师资情况对比表</a:t>
            </a:r>
          </a:p>
        </c:rich>
      </c:tx>
      <c:layout/>
      <c:overlay val="0"/>
      <c:spPr>
        <a:noFill/>
        <a:ln>
          <a:noFill/>
        </a:ln>
      </c:spPr>
    </c:title>
    <c:autoTitleDeleted val="1"/>
    <c:plotArea>
      <c:layout/>
      <c:barChart>
        <c:barDir val="col"/>
        <c:grouping val="clustered"/>
        <c:varyColors val="0"/>
        <c:ser>
          <c:idx val="0"/>
          <c:order val="0"/>
          <c:tx>
            <c:v>2024年</c:v>
          </c:tx>
          <c:spPr>
            <a:solidFill>
              <a:srgbClr val="156082"/>
            </a:solidFill>
            <a:ln>
              <a:noFill/>
            </a:ln>
          </c:spPr>
          <c:invertIfNegative val="0"/>
          <c:dLbls>
            <c:spPr>
              <a:noFill/>
              <a:ln>
                <a:noFill/>
              </a:ln>
            </c:spPr>
            <c:txPr>
              <a:bodyPr vert="horz"/>
              <a:lstStyle/>
              <a:p>
                <a:pPr>
                  <a:defRPr sz="1000" b="0" i="0" u="none" strike="noStrike" baseline="0">
                    <a:solidFill>
                      <a:srgbClr val="404040"/>
                    </a:solidFill>
                    <a:latin typeface="Times New Roman"/>
                    <a:ea typeface="宋体"/>
                    <a:cs typeface="Lucida Sans"/>
                  </a:defRPr>
                </a:pPr>
                <a:endParaRPr lang="zh-CN"/>
              </a:p>
            </c:txPr>
            <c:numFmt formatCode="General" sourceLinked="0"/>
            <c:dLblPos val="outEnd"/>
            <c:showLegendKey val="0"/>
            <c:showVal val="1"/>
            <c:showCatName val="0"/>
            <c:showSerName val="0"/>
            <c:showPercent val="0"/>
            <c:showBubbleSize val="0"/>
            <c:showLeaderLines val="1"/>
            <c:extLst>
              <c:ext xmlns:c15="http://schemas.microsoft.com/office/drawing/2012/chart" uri="{CE6537A1-D6FC-4f65-9D91-7224C49458BB}">
                <c15:showLeaderLines val="1"/>
              </c:ext>
            </c:extLst>
          </c:dLbls>
          <c:cat>
            <c:strLit>
              <c:ptCount val="4"/>
              <c:pt idx="0">
                <c:v>教职工总数</c:v>
              </c:pt>
              <c:pt idx="1">
                <c:v>专任教师</c:v>
              </c:pt>
              <c:pt idx="2">
                <c:v>兼职教师</c:v>
              </c:pt>
              <c:pt idx="3">
                <c:v>聘请行业导师</c:v>
              </c:pt>
            </c:strLit>
          </c:cat>
          <c:val>
            <c:numRef>
              <c:f/>
              <c:numCache>
                <c:formatCode>General</c:formatCode>
                <c:ptCount val="4"/>
                <c:pt idx="0">
                  <c:v>4187.0</c:v>
                </c:pt>
                <c:pt idx="1">
                  <c:v>3915.0</c:v>
                </c:pt>
                <c:pt idx="2">
                  <c:v>301.0</c:v>
                </c:pt>
                <c:pt idx="3">
                  <c:v>48.0</c:v>
                </c:pt>
              </c:numCache>
            </c:numRef>
          </c:val>
        </c:ser>
        <c:ser>
          <c:idx val="1"/>
          <c:order val="1"/>
          <c:tx>
            <c:v>2025年</c:v>
          </c:tx>
          <c:spPr>
            <a:solidFill>
              <a:srgbClr val="E97132"/>
            </a:solidFill>
            <a:ln>
              <a:noFill/>
            </a:ln>
          </c:spPr>
          <c:invertIfNegative val="0"/>
          <c:dLbls>
            <c:spPr>
              <a:noFill/>
              <a:ln>
                <a:noFill/>
              </a:ln>
            </c:spPr>
            <c:txPr>
              <a:bodyPr vert="horz"/>
              <a:lstStyle/>
              <a:p>
                <a:pPr>
                  <a:defRPr sz="1000" b="0" i="0" u="none" strike="noStrike" baseline="0">
                    <a:solidFill>
                      <a:srgbClr val="404040"/>
                    </a:solidFill>
                    <a:latin typeface="Times New Roman"/>
                    <a:ea typeface="宋体"/>
                    <a:cs typeface="Lucida Sans"/>
                  </a:defRPr>
                </a:pPr>
                <a:endParaRPr lang="zh-CN"/>
              </a:p>
            </c:txPr>
            <c:numFmt formatCode="General" sourceLinked="0"/>
            <c:dLblPos val="outEnd"/>
            <c:showLegendKey val="0"/>
            <c:showVal val="1"/>
            <c:showCatName val="0"/>
            <c:showSerName val="0"/>
            <c:showPercent val="0"/>
            <c:showBubbleSize val="0"/>
            <c:showLeaderLines val="1"/>
            <c:extLst>
              <c:ext xmlns:c15="http://schemas.microsoft.com/office/drawing/2012/chart" uri="{CE6537A1-D6FC-4f65-9D91-7224C49458BB}">
                <c15:showLeaderLines val="1"/>
              </c:ext>
            </c:extLst>
          </c:dLbls>
          <c:cat>
            <c:strLit>
              <c:ptCount val="4"/>
              <c:pt idx="0">
                <c:v>教职工总数</c:v>
              </c:pt>
              <c:pt idx="1">
                <c:v>专任教师</c:v>
              </c:pt>
              <c:pt idx="2">
                <c:v>兼职教师</c:v>
              </c:pt>
              <c:pt idx="3">
                <c:v>聘请行业导师</c:v>
              </c:pt>
            </c:strLit>
          </c:cat>
          <c:val>
            <c:numRef>
              <c:f/>
              <c:numCache>
                <c:formatCode>General</c:formatCode>
                <c:ptCount val="4"/>
                <c:pt idx="0">
                  <c:v>4667.0</c:v>
                </c:pt>
                <c:pt idx="1">
                  <c:v>4412.0</c:v>
                </c:pt>
                <c:pt idx="2">
                  <c:v>312.0</c:v>
                </c:pt>
                <c:pt idx="3">
                  <c:v>78.0</c:v>
                </c:pt>
              </c:numCache>
            </c:numRef>
          </c:val>
        </c:ser>
        <c:overlap val="-28"/>
        <c:gapWidth val="246"/>
        <c:axId val="0"/>
        <c:axId val="1"/>
      </c:barChart>
      <c:catAx>
        <c:axId val="0"/>
        <c:scaling>
          <c:orientation val="minMax"/>
        </c:scaling>
        <c:delete val="0"/>
        <c:axPos val="b"/>
        <c:numFmt formatCode="General" sourceLinked="0"/>
        <c:majorTickMark val="none"/>
        <c:minorTickMark val="none"/>
        <c:tickLblPos val="nextTo"/>
        <c:spPr>
          <a:ln w="6350">
            <a:solidFill>
              <a:srgbClr val="D9D9D9"/>
            </a:solidFill>
            <a:prstDash val="solid"/>
          </a:ln>
        </c:spPr>
        <c:txPr>
          <a:bodyPr/>
          <a:lstStyle/>
          <a:p>
            <a:pPr>
              <a:defRPr sz="900" b="0" i="0" u="none" strike="noStrike" baseline="0">
                <a:solidFill>
                  <a:srgbClr val="595959"/>
                </a:solidFill>
                <a:latin typeface="Times New Roman"/>
                <a:ea typeface="宋体"/>
                <a:cs typeface="Lucida Sans"/>
              </a:defRPr>
            </a:pPr>
            <a:endParaRPr lang="zh-CN"/>
          </a:p>
        </c:txPr>
        <c:crosses val="autoZero"/>
        <c:auto val="1"/>
        <c:lblOffset val="100"/>
        <c:lblAlgn val="ctr"/>
        <c:noMultiLvlLbl val="0"/>
        <c:crossAx val="1"/>
      </c:catAx>
      <c:valAx>
        <c:axId val="1"/>
        <c:scaling>
          <c:orientation val="minMax"/>
        </c:scaling>
        <c:delete val="0"/>
        <c:axPos val="l"/>
        <c:majorGridlines>
          <c:spPr>
            <a:ln w="6350">
              <a:solidFill>
                <a:srgbClr val="E6E6E6"/>
              </a:solidFill>
              <a:prstDash val="solid"/>
            </a:ln>
          </c:spPr>
        </c:majorGridlines>
        <c:numFmt formatCode="General" sourceLinked="1"/>
        <c:majorTickMark val="none"/>
        <c:minorTickMark val="none"/>
        <c:tickLblPos val="nextTo"/>
        <c:spPr>
          <a:ln>
            <a:noFill/>
          </a:ln>
        </c:spPr>
        <c:txPr>
          <a:bodyPr/>
          <a:lstStyle/>
          <a:p>
            <a:pPr>
              <a:defRPr sz="900" b="0" i="0" u="none" strike="noStrike" baseline="0">
                <a:solidFill>
                  <a:srgbClr val="595959"/>
                </a:solidFill>
                <a:latin typeface="Times New Roman"/>
                <a:ea typeface="宋体"/>
                <a:cs typeface="Lucida Sans"/>
              </a:defRPr>
            </a:pPr>
            <a:endParaRPr lang="zh-CN"/>
          </a:p>
        </c:txPr>
        <c:crossesAt val="1.0"/>
        <c:crossBetween val="between"/>
        <c:crossAx val="0"/>
      </c:valAx>
      <c:spPr>
        <a:noFill/>
        <a:ln>
          <a:noFill/>
        </a:ln>
      </c:spPr>
    </c:plotArea>
    <c:legend>
      <c:legendPos val="b"/>
      <c:layout/>
      <c:overlay val="0"/>
      <c:spPr>
        <a:noFill/>
        <a:ln>
          <a:noFill/>
        </a:ln>
      </c:spPr>
      <c:txPr>
        <a:bodyPr/>
        <a:lstStyle/>
        <a:p>
          <a:pPr>
            <a:defRPr sz="900" b="0" i="0" u="none" strike="noStrike" baseline="0">
              <a:solidFill>
                <a:srgbClr val="595959"/>
              </a:solidFill>
              <a:latin typeface="Times New Roman"/>
              <a:ea typeface="宋体"/>
              <a:cs typeface="Lucida Sans"/>
            </a:defRPr>
          </a:pPr>
          <a:endParaRPr lang="zh-CN"/>
        </a:p>
      </c:txPr>
    </c:legend>
    <c:plotVisOnly val="1"/>
    <c:dispBlanksAs val="gap"/>
    <c:showDLblsOverMax val="0"/>
  </c:chart>
  <c:spPr>
    <a:solidFill>
      <a:srgbClr val="FFFFFF"/>
    </a:solidFill>
    <a:ln w="6350">
      <a:solidFill>
        <a:srgbClr val="D9D9D9"/>
      </a:solidFill>
      <a:prstDash val="solid"/>
    </a:ln>
  </c:spPr>
  <c:txPr>
    <a:bodyPr/>
    <a:lstStyle/>
    <a:p>
      <a:pPr>
        <a:defRPr sz="1000" b="0" i="0" u="none" strike="noStrike" baseline="0">
          <a:solidFill>
            <a:srgbClr val="000000"/>
          </a:solidFill>
          <a:latin typeface="Times New Roman"/>
          <a:ea typeface="宋体"/>
          <a:cs typeface="Lucida Sans"/>
        </a:defRPr>
      </a:pPr>
      <a:endParaRPr lang="zh-CN"/>
    </a:p>
  </c:txPr>
  <c:printSettings>
    <c:headerFooter/>
    <c:pageMargins b="0.75" l="0.7" r="0.7" t="0.75" header="0.3" footer="0.3"/>
    <c:pageSetup/>
  </c:printSettings>
  <c:externalData r:id="rId1">
    <c:autoUpdate val="0"/>
  </c:externalData>
</c:chartSpace>
</file>

<file path=docProps/app.xml><?xml version="1.0" encoding="utf-8"?>
<Properties xmlns="http://schemas.openxmlformats.org/officeDocument/2006/extended-properties">
  <Template>Normal.eit</Template>
  <TotalTime>1198</TotalTime>
  <Application>Yozo_Office27021597764231179</Application>
  <Pages>120</Pages>
  <Words>57831</Words>
  <Characters>61557</Characters>
  <Lines>3621</Lines>
  <Paragraphs>1683</Paragraphs>
  <CharactersWithSpaces>62027</CharactersWithSpaces>
</Properties>
</file>

<file path=docProps/core.xml><?xml version="1.0" encoding="utf-8"?>
<cp:coreProperties xmlns:cp="http://schemas.openxmlformats.org/package/2006/metadata/core-properties" xmlns:dc="http://purl.org/dc/elements/1.1/" xmlns:dcterms="http://purl.org/dc/terms/" xmlns:xsi="http://www.w3.org/2001/XMLSchema-instance">
  <dc:creator>Office</dc:creator>
  <cp:lastModifiedBy>kylin</cp:lastModifiedBy>
  <cp:revision>11</cp:revision>
  <cp:lastPrinted>2026-01-07T06:35:00Z</cp:lastPrinted>
  <dcterms:created xsi:type="dcterms:W3CDTF">2026-01-07T06:33:00Z</dcterms:created>
  <dcterms:modified xsi:type="dcterms:W3CDTF">2026-01-09T02:25:19Z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TemplateDocerSaveRecord">
    <vt:lpwstr>eyJoZGlkIjoiYjA3YzdkMGQxZDhkZDhmMzkwMzJkOTlmMzNjZDA4NGYiLCJ1c2VySWQiOiIyNDIyODQ5MzIifQ==</vt:lpwstr>
  </property>
  <property fmtid="{D5CDD505-2E9C-101B-9397-08002B2CF9AE}" pid="3" name="KSOProductBuildVer">
    <vt:lpwstr>2052-12.1.0.24034</vt:lpwstr>
  </property>
  <property fmtid="{D5CDD505-2E9C-101B-9397-08002B2CF9AE}" pid="4" name="ICV">
    <vt:lpwstr>660C9F728CA144B0BC237059474F6806_13</vt:lpwstr>
  </property>
</Properties>
</file>