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D3B6F">
      <w:pPr>
        <w:jc w:val="center"/>
        <w:rPr>
          <w:rFonts w:hint="eastAsia" w:ascii="方正公文小标宋" w:hAnsi="方正公文小标宋" w:eastAsia="方正公文小标宋" w:cs="方正公文小标宋"/>
          <w:sz w:val="22"/>
          <w:szCs w:val="28"/>
        </w:rPr>
      </w:pPr>
      <w:r>
        <w:rPr>
          <w:rFonts w:hint="eastAsia" w:ascii="方正公文小标宋" w:hAnsi="方正公文小标宋" w:eastAsia="方正公文小标宋" w:cs="方正公文小标宋"/>
          <w:b w:val="0"/>
          <w:bCs w:val="0"/>
          <w:sz w:val="44"/>
          <w:szCs w:val="52"/>
          <w:lang w:eastAsia="zh-CN"/>
        </w:rPr>
        <w:t>202</w:t>
      </w:r>
      <w:r>
        <w:rPr>
          <w:rFonts w:hint="eastAsia" w:ascii="方正公文小标宋" w:hAnsi="方正公文小标宋" w:eastAsia="方正公文小标宋" w:cs="方正公文小标宋"/>
          <w:b w:val="0"/>
          <w:bCs w:val="0"/>
          <w:sz w:val="44"/>
          <w:szCs w:val="52"/>
          <w:lang w:val="en-US" w:eastAsia="zh-CN"/>
        </w:rPr>
        <w:t>6</w:t>
      </w:r>
      <w:r>
        <w:rPr>
          <w:rFonts w:hint="eastAsia" w:ascii="方正公文小标宋" w:hAnsi="方正公文小标宋" w:eastAsia="方正公文小标宋" w:cs="方正公文小标宋"/>
          <w:b w:val="0"/>
          <w:bCs w:val="0"/>
          <w:sz w:val="44"/>
          <w:szCs w:val="52"/>
        </w:rPr>
        <w:t>年永州经开区政府性基金预算的编制说明</w:t>
      </w:r>
    </w:p>
    <w:p w14:paraId="2AF9B93B">
      <w:pPr>
        <w:rPr>
          <w:rFonts w:hint="eastAsia"/>
        </w:rPr>
      </w:pPr>
    </w:p>
    <w:p w14:paraId="68BD5E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根据《预算法》和《政府性基金预算管理办法》要求，区财政会同经开区事务中心、征地拆迁事务中心、开建投公司等资金征收或使用部门共同编制2026年永州经开区政府性基金预算。</w:t>
      </w:r>
    </w:p>
    <w:p w14:paraId="4309BE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一、基金预算编制范围和要求</w:t>
      </w:r>
    </w:p>
    <w:p w14:paraId="55D98E33">
      <w:pPr>
        <w:spacing w:line="580" w:lineRule="exact"/>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编制范围：</w:t>
      </w:r>
      <w:r>
        <w:rPr>
          <w:rFonts w:hint="eastAsia" w:ascii="仿宋" w:hAnsi="仿宋" w:eastAsia="仿宋" w:cs="仿宋"/>
          <w:sz w:val="32"/>
          <w:szCs w:val="32"/>
        </w:rPr>
        <w:t>土地出让金</w:t>
      </w:r>
      <w:r>
        <w:rPr>
          <w:rFonts w:hint="eastAsia" w:ascii="仿宋" w:hAnsi="仿宋" w:eastAsia="仿宋" w:cs="仿宋"/>
          <w:sz w:val="32"/>
          <w:szCs w:val="32"/>
          <w:lang w:val="en-US" w:eastAsia="zh-CN"/>
        </w:rPr>
        <w:t>和专项债券利息等两项</w:t>
      </w:r>
      <w:r>
        <w:rPr>
          <w:rFonts w:hint="eastAsia" w:ascii="仿宋" w:hAnsi="仿宋" w:eastAsia="仿宋" w:cs="仿宋"/>
          <w:sz w:val="32"/>
          <w:szCs w:val="32"/>
        </w:rPr>
        <w:t>政府性基金纳入我区基金预算管理。</w:t>
      </w:r>
    </w:p>
    <w:p w14:paraId="5F845EC8">
      <w:pPr>
        <w:spacing w:line="580" w:lineRule="exact"/>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编制要求：</w:t>
      </w:r>
      <w:r>
        <w:rPr>
          <w:rFonts w:hint="eastAsia" w:ascii="仿宋" w:hAnsi="仿宋" w:eastAsia="仿宋" w:cs="仿宋"/>
          <w:sz w:val="32"/>
          <w:szCs w:val="32"/>
        </w:rPr>
        <w:t>一是基金预算单独编列。基金预算在财政预算上采用单独编列办法，即每项基金收入与基金支出按照相对应的原则编制。二是基金预算内容包括年度基金收入预算与基金支出预算，以前年度基金结余也在基金预算中反映。基金收入预算根据上年度征收任务完成情况和本年度征收任务及征收标准调整变化情况等确定；基金支出预算根据基金收入情况，按规定的用途、支出范围和支出标准编列。三是基金预算实行以收定支管理，确保当年基金收支平衡。</w:t>
      </w:r>
    </w:p>
    <w:p w14:paraId="6CF0C4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二、基金预算管理办法</w:t>
      </w:r>
    </w:p>
    <w:p w14:paraId="2253FFC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各项基金的征收</w:t>
      </w:r>
      <w:r>
        <w:rPr>
          <w:rFonts w:hint="eastAsia" w:ascii="仿宋" w:hAnsi="仿宋" w:eastAsia="仿宋" w:cs="仿宋"/>
          <w:sz w:val="32"/>
          <w:szCs w:val="32"/>
          <w:lang w:val="en-US" w:eastAsia="zh-CN"/>
        </w:rPr>
        <w:t>由业务股统筹</w:t>
      </w:r>
      <w:r>
        <w:rPr>
          <w:rFonts w:hint="eastAsia" w:ascii="仿宋" w:hAnsi="仿宋" w:eastAsia="仿宋" w:cs="仿宋"/>
          <w:sz w:val="32"/>
          <w:szCs w:val="32"/>
        </w:rPr>
        <w:t>，采取直接征收</w:t>
      </w:r>
      <w:r>
        <w:rPr>
          <w:rFonts w:hint="eastAsia" w:ascii="仿宋" w:hAnsi="仿宋" w:eastAsia="仿宋" w:cs="仿宋"/>
          <w:sz w:val="32"/>
          <w:szCs w:val="32"/>
          <w:lang w:eastAsia="zh-CN"/>
        </w:rPr>
        <w:t>、</w:t>
      </w:r>
      <w:r>
        <w:rPr>
          <w:rFonts w:hint="eastAsia" w:ascii="仿宋" w:hAnsi="仿宋" w:eastAsia="仿宋" w:cs="仿宋"/>
          <w:sz w:val="32"/>
          <w:szCs w:val="32"/>
        </w:rPr>
        <w:t>委托征收</w:t>
      </w:r>
      <w:r>
        <w:rPr>
          <w:rFonts w:hint="eastAsia" w:ascii="仿宋" w:hAnsi="仿宋" w:eastAsia="仿宋" w:cs="仿宋"/>
          <w:sz w:val="32"/>
          <w:szCs w:val="32"/>
          <w:lang w:val="en-US" w:eastAsia="zh-CN"/>
        </w:rPr>
        <w:t>或税务征收等方式征收</w:t>
      </w:r>
      <w:r>
        <w:rPr>
          <w:rFonts w:hint="eastAsia" w:ascii="仿宋" w:hAnsi="仿宋" w:eastAsia="仿宋" w:cs="仿宋"/>
          <w:sz w:val="32"/>
          <w:szCs w:val="32"/>
        </w:rPr>
        <w:t>，资金先缴入我区非税专户</w:t>
      </w:r>
      <w:r>
        <w:rPr>
          <w:rFonts w:hint="eastAsia" w:ascii="仿宋" w:hAnsi="仿宋" w:eastAsia="仿宋" w:cs="仿宋"/>
          <w:sz w:val="32"/>
          <w:szCs w:val="32"/>
          <w:lang w:val="en-US" w:eastAsia="zh-CN"/>
        </w:rPr>
        <w:t>或税务部门指定账户后</w:t>
      </w:r>
      <w:r>
        <w:rPr>
          <w:rFonts w:hint="eastAsia" w:ascii="仿宋" w:hAnsi="仿宋" w:eastAsia="仿宋" w:cs="仿宋"/>
          <w:sz w:val="32"/>
          <w:szCs w:val="32"/>
        </w:rPr>
        <w:t>，然后定期划解我区金库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土地出让金直接划解我区金库</w:t>
      </w:r>
      <w:r>
        <w:rPr>
          <w:rFonts w:hint="eastAsia" w:ascii="仿宋" w:hAnsi="仿宋" w:eastAsia="仿宋" w:cs="仿宋"/>
          <w:sz w:val="32"/>
          <w:szCs w:val="32"/>
          <w:lang w:eastAsia="zh-CN"/>
        </w:rPr>
        <w:t>）</w:t>
      </w:r>
      <w:r>
        <w:rPr>
          <w:rFonts w:hint="eastAsia" w:ascii="仿宋" w:hAnsi="仿宋" w:eastAsia="仿宋" w:cs="仿宋"/>
          <w:sz w:val="32"/>
          <w:szCs w:val="32"/>
        </w:rPr>
        <w:t>。</w:t>
      </w:r>
    </w:p>
    <w:p w14:paraId="0524021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基金支出本着先收后用、量入为出和专款专用的原则办理。除特殊情况外，当年基金超收部分按规定提取一定比例的征管经费，其余结转下年度安排使用。政府性基金年底结转资金规模超过该项基金当年收入30%部分，调入一般公共预算统筹使用。</w:t>
      </w:r>
    </w:p>
    <w:p w14:paraId="543FFEE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基金的拨付。</w:t>
      </w:r>
      <w:r>
        <w:rPr>
          <w:rFonts w:hint="eastAsia" w:ascii="仿宋" w:hAnsi="仿宋" w:eastAsia="仿宋" w:cs="仿宋"/>
          <w:sz w:val="32"/>
          <w:szCs w:val="32"/>
          <w:lang w:val="en-US" w:eastAsia="zh-CN"/>
        </w:rPr>
        <w:t>基金使用由区财政局统筹安排，使用时</w:t>
      </w:r>
      <w:r>
        <w:rPr>
          <w:rFonts w:hint="eastAsia" w:ascii="仿宋" w:hAnsi="仿宋" w:eastAsia="仿宋" w:cs="仿宋"/>
          <w:sz w:val="32"/>
          <w:szCs w:val="32"/>
        </w:rPr>
        <w:t>由区</w:t>
      </w:r>
      <w:r>
        <w:rPr>
          <w:rFonts w:hint="eastAsia" w:ascii="仿宋" w:hAnsi="仿宋" w:eastAsia="仿宋" w:cs="仿宋"/>
          <w:sz w:val="32"/>
          <w:szCs w:val="32"/>
          <w:lang w:val="en-US" w:eastAsia="zh-CN"/>
        </w:rPr>
        <w:t>直资金使用部门打资金申请报告报管委领导，区</w:t>
      </w:r>
      <w:r>
        <w:rPr>
          <w:rFonts w:hint="eastAsia" w:ascii="仿宋" w:hAnsi="仿宋" w:eastAsia="仿宋" w:cs="仿宋"/>
          <w:sz w:val="32"/>
          <w:szCs w:val="32"/>
        </w:rPr>
        <w:t>财政局职能股室根据核定的支出预算和基金收入入库进度情况提出意见，按有关程序报批后，交</w:t>
      </w:r>
      <w:r>
        <w:rPr>
          <w:rFonts w:hint="eastAsia" w:ascii="仿宋" w:hAnsi="仿宋" w:eastAsia="仿宋" w:cs="仿宋"/>
          <w:sz w:val="32"/>
          <w:szCs w:val="32"/>
          <w:lang w:val="en-US" w:eastAsia="zh-CN"/>
        </w:rPr>
        <w:t>区财政走完内部审批程序补齐资料后交至</w:t>
      </w:r>
      <w:r>
        <w:rPr>
          <w:rFonts w:hint="eastAsia" w:ascii="仿宋" w:hAnsi="仿宋" w:eastAsia="仿宋" w:cs="仿宋"/>
          <w:sz w:val="32"/>
          <w:szCs w:val="32"/>
        </w:rPr>
        <w:t>资金股办理拨付手续。</w:t>
      </w:r>
    </w:p>
    <w:p w14:paraId="6A1FF54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各基金使用单位要严格将基金的使用与单位正常经费核算区分开来，确保基金使用专款专用。</w:t>
      </w:r>
    </w:p>
    <w:p w14:paraId="4EFC4F8C">
      <w:pPr>
        <w:spacing w:line="58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各基金征收和使用部门应在每一预算年度终了时，根据财政部门的要求及时编报基金决算草案，全面反映当年基金收支预算具体执行情况。</w:t>
      </w:r>
    </w:p>
    <w:p w14:paraId="076DEA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rPr>
        <w:t>三、基金预算编制情况</w:t>
      </w:r>
    </w:p>
    <w:p w14:paraId="77D63AB9">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年纳入我区财政政府性基金预算的基金共</w:t>
      </w:r>
      <w:r>
        <w:rPr>
          <w:rFonts w:hint="eastAsia" w:ascii="仿宋" w:hAnsi="仿宋" w:eastAsia="仿宋" w:cs="仿宋"/>
          <w:sz w:val="32"/>
          <w:szCs w:val="32"/>
          <w:lang w:val="en-US" w:eastAsia="zh-CN"/>
        </w:rPr>
        <w:t>两</w:t>
      </w:r>
      <w:r>
        <w:rPr>
          <w:rFonts w:hint="eastAsia" w:ascii="仿宋" w:hAnsi="仿宋" w:eastAsia="仿宋" w:cs="仿宋"/>
          <w:sz w:val="32"/>
          <w:szCs w:val="32"/>
        </w:rPr>
        <w:t>项，为土地出让金收入</w:t>
      </w:r>
      <w:r>
        <w:rPr>
          <w:rFonts w:hint="eastAsia" w:ascii="仿宋" w:hAnsi="仿宋" w:eastAsia="仿宋" w:cs="仿宋"/>
          <w:sz w:val="32"/>
          <w:szCs w:val="32"/>
          <w:lang w:val="en-US" w:eastAsia="zh-CN"/>
        </w:rPr>
        <w:t>和专项债券利息收入</w:t>
      </w:r>
      <w:r>
        <w:rPr>
          <w:rFonts w:hint="eastAsia" w:ascii="仿宋" w:hAnsi="仿宋" w:eastAsia="仿宋" w:cs="仿宋"/>
          <w:sz w:val="32"/>
          <w:szCs w:val="32"/>
        </w:rPr>
        <w:t>，区本级拟新出让和划拨用地预计收入</w:t>
      </w:r>
      <w:r>
        <w:rPr>
          <w:rFonts w:hint="eastAsia" w:ascii="仿宋" w:hAnsi="仿宋" w:eastAsia="仿宋" w:cs="仿宋"/>
          <w:sz w:val="32"/>
          <w:szCs w:val="32"/>
          <w:lang w:val="en-US" w:eastAsia="zh-CN"/>
        </w:rPr>
        <w:t>175000</w:t>
      </w:r>
      <w:r>
        <w:rPr>
          <w:rFonts w:hint="eastAsia" w:ascii="仿宋" w:hAnsi="仿宋" w:eastAsia="仿宋" w:cs="仿宋"/>
          <w:sz w:val="32"/>
          <w:szCs w:val="32"/>
        </w:rPr>
        <w:t>万元，</w:t>
      </w:r>
      <w:r>
        <w:rPr>
          <w:rFonts w:hint="eastAsia" w:ascii="仿宋" w:hAnsi="仿宋" w:eastAsia="仿宋" w:cs="仿宋"/>
          <w:sz w:val="32"/>
          <w:szCs w:val="32"/>
          <w:lang w:val="en-US" w:eastAsia="zh-CN"/>
        </w:rPr>
        <w:t>专项债券收入20000万元，</w:t>
      </w: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195000</w:t>
      </w:r>
      <w:r>
        <w:rPr>
          <w:rFonts w:hint="eastAsia" w:ascii="仿宋" w:hAnsi="仿宋" w:eastAsia="仿宋" w:cs="仿宋"/>
          <w:sz w:val="32"/>
          <w:szCs w:val="32"/>
        </w:rPr>
        <w:t>万元；</w:t>
      </w:r>
      <w:r>
        <w:rPr>
          <w:rFonts w:hint="eastAsia" w:ascii="仿宋" w:hAnsi="仿宋" w:eastAsia="仿宋" w:cs="仿宋"/>
          <w:sz w:val="32"/>
          <w:szCs w:val="32"/>
          <w:lang w:val="en-US" w:eastAsia="zh-CN"/>
        </w:rPr>
        <w:t>支出合计19500万元；基金预算收支平衡。各项基金具体预算如下：</w:t>
      </w:r>
    </w:p>
    <w:p w14:paraId="44F7C9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lang w:val="en-US" w:eastAsia="zh-CN"/>
        </w:rPr>
        <w:t>（一）</w:t>
      </w:r>
      <w:r>
        <w:rPr>
          <w:rFonts w:hint="eastAsia" w:ascii="仿宋" w:hAnsi="仿宋" w:eastAsia="仿宋" w:cs="仿宋"/>
          <w:sz w:val="32"/>
          <w:szCs w:val="32"/>
        </w:rPr>
        <w:t>土地出让金收入</w:t>
      </w:r>
      <w:r>
        <w:rPr>
          <w:rFonts w:hint="eastAsia" w:ascii="仿宋" w:hAnsi="仿宋" w:eastAsia="仿宋" w:cs="仿宋"/>
          <w:sz w:val="32"/>
          <w:szCs w:val="32"/>
          <w:lang w:val="en-US" w:eastAsia="zh-CN"/>
        </w:rPr>
        <w:t>为</w:t>
      </w:r>
      <w:r>
        <w:rPr>
          <w:rFonts w:hint="eastAsia" w:ascii="仿宋" w:hAnsi="仿宋" w:eastAsia="仿宋" w:cs="仿宋"/>
          <w:sz w:val="32"/>
          <w:szCs w:val="32"/>
        </w:rPr>
        <w:t>国有土地使用权出让收入，按照</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年政府收支分类科目，国有土地使用权出让金收入列“103类01款48项—国有土地使用权出让收入”科目。基金支出分别列功能分类科目</w:t>
      </w:r>
      <w:r>
        <w:rPr>
          <w:rFonts w:hint="eastAsia" w:ascii="仿宋" w:hAnsi="仿宋" w:eastAsia="仿宋" w:cs="仿宋"/>
          <w:sz w:val="32"/>
          <w:szCs w:val="32"/>
          <w:lang w:val="en-US" w:eastAsia="zh-CN"/>
        </w:rPr>
        <w:t>主要为</w:t>
      </w:r>
      <w:r>
        <w:rPr>
          <w:rFonts w:hint="eastAsia" w:ascii="仿宋" w:hAnsi="仿宋" w:eastAsia="仿宋" w:cs="仿宋"/>
          <w:sz w:val="32"/>
          <w:szCs w:val="32"/>
        </w:rPr>
        <w:t>212类08款“国有土地使用权出让收入安排的支出”01-99项相应科目。</w:t>
      </w:r>
      <w:r>
        <w:rPr>
          <w:rFonts w:hint="eastAsia" w:ascii="仿宋" w:hAnsi="仿宋" w:eastAsia="仿宋" w:cs="仿宋"/>
          <w:sz w:val="32"/>
          <w:szCs w:val="32"/>
          <w:lang w:val="en-US" w:eastAsia="zh-CN"/>
        </w:rPr>
        <w:t>2026年预计收入约175000万元，支出安排175000万元。</w:t>
      </w:r>
    </w:p>
    <w:p w14:paraId="076384AA">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专项债券利息收入为专项债务对应项目专项收入，按照2026年政府收支分类科目，专项债券利息收入列“103类10款99项98目—其他地方自行试点项目收益专项债券对应项目专项收入”科目。基金支出列功能分类科目“232类04款98项—其他地方自行试点项目收益专项债券付息支出”科目。2026年预计收入约20000万元，支出安排20000万元。</w:t>
      </w:r>
    </w:p>
    <w:p w14:paraId="618E7F6F">
      <w:pPr>
        <w:spacing w:line="540" w:lineRule="exact"/>
        <w:rPr>
          <w:rFonts w:hint="eastAsia" w:ascii="仿宋" w:hAnsi="仿宋" w:eastAsia="仿宋" w:cs="仿宋"/>
          <w:sz w:val="32"/>
          <w:szCs w:val="32"/>
        </w:rPr>
      </w:pPr>
    </w:p>
    <w:p w14:paraId="326CE19B">
      <w:pPr>
        <w:spacing w:line="540" w:lineRule="exact"/>
        <w:rPr>
          <w:rFonts w:hint="eastAsia" w:ascii="仿宋" w:hAnsi="仿宋" w:eastAsia="仿宋" w:cs="仿宋"/>
          <w:sz w:val="32"/>
          <w:szCs w:val="32"/>
        </w:rPr>
      </w:pPr>
    </w:p>
    <w:p w14:paraId="3D03C30E">
      <w:pPr>
        <w:spacing w:line="540" w:lineRule="exact"/>
        <w:jc w:val="right"/>
        <w:rPr>
          <w:rFonts w:hint="eastAsia" w:ascii="仿宋" w:hAnsi="仿宋" w:eastAsia="仿宋" w:cs="仿宋"/>
          <w:sz w:val="32"/>
          <w:szCs w:val="32"/>
        </w:rPr>
      </w:pPr>
      <w:r>
        <w:rPr>
          <w:rFonts w:hint="eastAsia" w:ascii="仿宋" w:hAnsi="仿宋" w:eastAsia="仿宋" w:cs="仿宋"/>
          <w:sz w:val="32"/>
          <w:szCs w:val="32"/>
        </w:rPr>
        <w:t>永州经济技术开发区财政预算编制小组</w:t>
      </w:r>
    </w:p>
    <w:p w14:paraId="0220B02D">
      <w:pPr>
        <w:wordWrap w:val="0"/>
        <w:spacing w:line="540" w:lineRule="exact"/>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 xml:space="preserve">日         </w:t>
      </w:r>
    </w:p>
    <w:p w14:paraId="61A8363D">
      <w:pPr>
        <w:wordWrap w:val="0"/>
        <w:jc w:val="right"/>
        <w:rPr>
          <w:sz w:val="28"/>
          <w:szCs w:val="28"/>
        </w:rPr>
      </w:pPr>
    </w:p>
    <w:sectPr>
      <w:headerReference r:id="rId3" w:type="default"/>
      <w:footerReference r:id="rId4" w:type="default"/>
      <w:pgSz w:w="16838" w:h="11906" w:orient="landscape"/>
      <w:pgMar w:top="1800" w:right="1440" w:bottom="1800" w:left="1440" w:header="851" w:footer="992" w:gutter="0"/>
      <w:pgNumType w:fmt="decimal" w:start="3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A725A3-6B42-4A48-B341-192704AA77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DAB26E63-84E3-4E29-9B8A-8F76D8D8C857}"/>
  </w:font>
  <w:font w:name="仿宋">
    <w:panose1 w:val="02010609060101010101"/>
    <w:charset w:val="86"/>
    <w:family w:val="auto"/>
    <w:pitch w:val="default"/>
    <w:sig w:usb0="800002BF" w:usb1="38CF7CFA" w:usb2="00000016" w:usb3="00000000" w:csb0="00040001" w:csb1="00000000"/>
    <w:embedRegular r:id="rId3" w:fontKey="{41B542E1-C413-4A1E-AEBC-CB23E7F0BD3F}"/>
  </w:font>
  <w:font w:name="楷体">
    <w:panose1 w:val="02010609060101010101"/>
    <w:charset w:val="86"/>
    <w:family w:val="auto"/>
    <w:pitch w:val="default"/>
    <w:sig w:usb0="800002BF" w:usb1="38CF7CFA" w:usb2="00000016" w:usb3="00000000" w:csb0="00040001" w:csb1="00000000"/>
    <w:embedRegular r:id="rId4" w:fontKey="{5BD6D482-0B6F-423A-8700-6FE3C6FDDA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052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274D87">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D274D87">
                    <w:pPr>
                      <w:pStyle w:val="2"/>
                    </w:pPr>
                    <w:r>
                      <w:fldChar w:fldCharType="begin"/>
                    </w:r>
                    <w:r>
                      <w:instrText xml:space="preserve"> PAGE  \* MERGEFORMAT </w:instrText>
                    </w:r>
                    <w:r>
                      <w:fldChar w:fldCharType="separate"/>
                    </w:r>
                    <w:r>
                      <w:t>39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0D3EF">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0D3EF">
                    <w:pPr>
                      <w:pStyle w:val="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CF6F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jJjYWYxZTNiYjgwYWJlMzZjODdmYzE3ZTZiYzAifQ=="/>
  </w:docVars>
  <w:rsids>
    <w:rsidRoot w:val="21DF7F6A"/>
    <w:rsid w:val="007370C5"/>
    <w:rsid w:val="009B4CB5"/>
    <w:rsid w:val="09A47999"/>
    <w:rsid w:val="0C511B2A"/>
    <w:rsid w:val="0DE12751"/>
    <w:rsid w:val="12E5206F"/>
    <w:rsid w:val="1B0444CA"/>
    <w:rsid w:val="1E1F222A"/>
    <w:rsid w:val="21DF7F6A"/>
    <w:rsid w:val="23CB5C6E"/>
    <w:rsid w:val="254B098F"/>
    <w:rsid w:val="264D76DE"/>
    <w:rsid w:val="26C94812"/>
    <w:rsid w:val="2C653690"/>
    <w:rsid w:val="2D9846B6"/>
    <w:rsid w:val="2E09593D"/>
    <w:rsid w:val="32D26E4E"/>
    <w:rsid w:val="3FA236A7"/>
    <w:rsid w:val="44F62685"/>
    <w:rsid w:val="4642189D"/>
    <w:rsid w:val="48966425"/>
    <w:rsid w:val="4BDE7F38"/>
    <w:rsid w:val="5AEF36FB"/>
    <w:rsid w:val="5D1834F0"/>
    <w:rsid w:val="5F110FC1"/>
    <w:rsid w:val="60724EB4"/>
    <w:rsid w:val="62206F01"/>
    <w:rsid w:val="629D0C5A"/>
    <w:rsid w:val="63B029E2"/>
    <w:rsid w:val="64D55F7E"/>
    <w:rsid w:val="6E5B49FB"/>
    <w:rsid w:val="6F2C15BA"/>
    <w:rsid w:val="703A4F30"/>
    <w:rsid w:val="75817D56"/>
    <w:rsid w:val="777155DD"/>
    <w:rsid w:val="796F0C74"/>
    <w:rsid w:val="7ABC4E6B"/>
    <w:rsid w:val="7CE17B47"/>
    <w:rsid w:val="7D3F01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1217</Words>
  <Characters>1301</Characters>
  <Lines>8</Lines>
  <Paragraphs>2</Paragraphs>
  <TotalTime>225</TotalTime>
  <ScaleCrop>false</ScaleCrop>
  <LinksUpToDate>false</LinksUpToDate>
  <CharactersWithSpaces>1310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2021-01-19T03:01:00Z</dcterms:created>
  <dc:creator>一串葡萄入梦来</dc:creator>
  <cp:lastModifiedBy>一串葡萄入梦来</cp:lastModifiedBy>
  <cp:lastPrinted>2025-12-08T02:48:18Z</cp:lastPrinted>
  <dcterms:modified xsi:type="dcterms:W3CDTF">2025-12-08T03:03:52Z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1BB3ECFA5EDC433081D4C155014CF983_13</vt:lpwstr>
  </property>
  <property fmtid="{D5CDD505-2E9C-101B-9397-08002B2CF9AE}" pid="4" name="KSOTemplateDocerSaveRecord">
    <vt:lpwstr>eyJoZGlkIjoiZjcyMGY0NTBlMWUwNmM1MjM2ZmY0NjBiNTdlMTg3MDMiLCJ1c2VySWQiOiIzNTY2NTYwOTkifQ==</vt:lpwstr>
  </property>
</Properties>
</file>