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52963">
      <w:pPr>
        <w:spacing w:line="500" w:lineRule="exact"/>
        <w:jc w:val="center"/>
        <w:rPr>
          <w:rFonts w:hint="eastAsia" w:ascii="方正公文小标宋" w:hAnsi="方正公文小标宋" w:eastAsia="方正公文小标宋" w:cs="方正公文小标宋"/>
          <w:b/>
          <w:sz w:val="44"/>
          <w:szCs w:val="44"/>
          <w:lang w:eastAsia="zh-CN"/>
        </w:rPr>
      </w:pPr>
      <w:r>
        <w:rPr>
          <w:rFonts w:hint="eastAsia" w:ascii="方正公文小标宋" w:hAnsi="方正公文小标宋" w:eastAsia="方正公文小标宋" w:cs="方正公文小标宋"/>
          <w:b w:val="0"/>
          <w:bCs/>
          <w:sz w:val="44"/>
          <w:szCs w:val="44"/>
          <w:lang w:val="en-US" w:eastAsia="zh-CN"/>
        </w:rPr>
        <w:t>永州经开</w:t>
      </w:r>
      <w:r>
        <w:rPr>
          <w:rFonts w:hint="eastAsia" w:ascii="方正公文小标宋" w:hAnsi="方正公文小标宋" w:eastAsia="方正公文小标宋" w:cs="方正公文小标宋"/>
          <w:b w:val="0"/>
          <w:bCs/>
          <w:sz w:val="44"/>
          <w:szCs w:val="44"/>
        </w:rPr>
        <w:t>区202</w:t>
      </w:r>
      <w:r>
        <w:rPr>
          <w:rFonts w:hint="eastAsia" w:ascii="方正公文小标宋" w:hAnsi="方正公文小标宋" w:eastAsia="方正公文小标宋" w:cs="方正公文小标宋"/>
          <w:b w:val="0"/>
          <w:bCs/>
          <w:sz w:val="44"/>
          <w:szCs w:val="44"/>
          <w:lang w:val="en-US" w:eastAsia="zh-CN"/>
        </w:rPr>
        <w:t>6</w:t>
      </w:r>
      <w:r>
        <w:rPr>
          <w:rFonts w:hint="eastAsia" w:ascii="方正公文小标宋" w:hAnsi="方正公文小标宋" w:eastAsia="方正公文小标宋" w:cs="方正公文小标宋"/>
          <w:b w:val="0"/>
          <w:bCs/>
          <w:sz w:val="44"/>
          <w:szCs w:val="44"/>
        </w:rPr>
        <w:t>年</w:t>
      </w:r>
      <w:r>
        <w:rPr>
          <w:rFonts w:hint="eastAsia" w:ascii="方正公文小标宋" w:hAnsi="方正公文小标宋" w:eastAsia="方正公文小标宋" w:cs="方正公文小标宋"/>
          <w:b w:val="0"/>
          <w:bCs/>
          <w:sz w:val="44"/>
          <w:szCs w:val="44"/>
          <w:lang w:val="en-US" w:eastAsia="zh-CN"/>
        </w:rPr>
        <w:t>一般公共</w:t>
      </w:r>
      <w:r>
        <w:rPr>
          <w:rFonts w:hint="eastAsia" w:ascii="方正公文小标宋" w:hAnsi="方正公文小标宋" w:eastAsia="方正公文小标宋" w:cs="方正公文小标宋"/>
          <w:b w:val="0"/>
          <w:bCs/>
          <w:sz w:val="44"/>
          <w:szCs w:val="44"/>
        </w:rPr>
        <w:t>预算编制</w:t>
      </w:r>
      <w:r>
        <w:rPr>
          <w:rFonts w:hint="eastAsia" w:ascii="方正公文小标宋" w:hAnsi="方正公文小标宋" w:eastAsia="方正公文小标宋" w:cs="方正公文小标宋"/>
          <w:b w:val="0"/>
          <w:bCs/>
          <w:sz w:val="44"/>
          <w:szCs w:val="44"/>
          <w:lang w:val="en-US" w:eastAsia="zh-CN"/>
        </w:rPr>
        <w:t>说明</w:t>
      </w:r>
    </w:p>
    <w:p w14:paraId="384C3A8F">
      <w:pPr>
        <w:spacing w:line="500" w:lineRule="exact"/>
        <w:rPr>
          <w:rFonts w:hint="eastAsia" w:ascii="仿宋_GB2312" w:eastAsia="仿宋_GB2312"/>
          <w:sz w:val="32"/>
          <w:szCs w:val="32"/>
        </w:rPr>
      </w:pPr>
    </w:p>
    <w:p w14:paraId="2E6D9B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根据《中华人民共和国预算法》（下称预算法）、《中华人民共和国预算法实施条例》（下称预算法实施条例）等有关规定和区党委管委工作部署，制定本方案。</w:t>
      </w:r>
    </w:p>
    <w:p w14:paraId="3945194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一、指导思想</w:t>
      </w:r>
    </w:p>
    <w:p w14:paraId="0AF3C8B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以习近平新时代中国特色社会主义思想为指导，全面贯彻党的二十大，二十届二中全会、三中全会和中央、省委、市委经济工作会议精神，坚决落实党中央、国务院、省委、省政府、市委、市政府和党委管委决策部署，坚持稳中求进工作总基调，全面深化零基预算改革，坚持落实习惯过“紧日子”的要求，加强财政科学管理，构建有保有压、突出重点、统筹有力、讲求绩效的预算安排机制，切实提升财政政策的资金效能，兜牢兜实“三保”底线，为实现“十五五”良好开局提供坚强有力的财政保障。</w:t>
      </w:r>
    </w:p>
    <w:p w14:paraId="0633804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编制原则</w:t>
      </w:r>
    </w:p>
    <w:p w14:paraId="32B11D6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b w:val="0"/>
          <w:bCs/>
          <w:sz w:val="32"/>
          <w:szCs w:val="32"/>
          <w:lang w:eastAsia="zh-CN"/>
        </w:rPr>
        <w:t>（</w:t>
      </w:r>
      <w:r>
        <w:rPr>
          <w:rFonts w:hint="eastAsia" w:ascii="楷体" w:hAnsi="楷体" w:eastAsia="楷体" w:cs="楷体"/>
          <w:b w:val="0"/>
          <w:bCs/>
          <w:sz w:val="32"/>
          <w:szCs w:val="32"/>
          <w:lang w:val="en-US" w:eastAsia="zh-CN"/>
        </w:rPr>
        <w:t>一</w:t>
      </w:r>
      <w:r>
        <w:rPr>
          <w:rFonts w:hint="eastAsia" w:ascii="楷体" w:hAnsi="楷体" w:eastAsia="楷体" w:cs="楷体"/>
          <w:b w:val="0"/>
          <w:bCs/>
          <w:sz w:val="32"/>
          <w:szCs w:val="32"/>
          <w:lang w:eastAsia="zh-CN"/>
        </w:rPr>
        <w:t>）</w:t>
      </w:r>
      <w:r>
        <w:rPr>
          <w:rFonts w:hint="eastAsia" w:ascii="楷体" w:hAnsi="楷体" w:eastAsia="楷体" w:cs="楷体"/>
          <w:b w:val="0"/>
          <w:bCs/>
          <w:sz w:val="32"/>
          <w:szCs w:val="32"/>
        </w:rPr>
        <w:t>积极稳妥原则。</w:t>
      </w:r>
      <w:r>
        <w:rPr>
          <w:rFonts w:hint="eastAsia" w:ascii="仿宋" w:hAnsi="仿宋" w:eastAsia="仿宋" w:cs="仿宋"/>
          <w:sz w:val="32"/>
          <w:szCs w:val="32"/>
        </w:rPr>
        <w:t>预算编制做到量入为出，收支平衡，不做赤字预算；科学合理安排预算规模和收支结构，支出预算安排与财政收入增长相适应；按照建设和谐社会的要求，逐步优化和调整财政支出结构，提高财政对基本支出的保障水平。</w:t>
      </w:r>
    </w:p>
    <w:p w14:paraId="54E7DB2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b w:val="0"/>
          <w:bCs/>
          <w:sz w:val="32"/>
          <w:szCs w:val="32"/>
          <w:lang w:eastAsia="zh-CN"/>
        </w:rPr>
        <w:t>（</w:t>
      </w:r>
      <w:r>
        <w:rPr>
          <w:rFonts w:hint="eastAsia" w:ascii="楷体" w:hAnsi="楷体" w:eastAsia="楷体" w:cs="楷体"/>
          <w:b w:val="0"/>
          <w:bCs/>
          <w:sz w:val="32"/>
          <w:szCs w:val="32"/>
          <w:lang w:val="en-US" w:eastAsia="zh-CN"/>
        </w:rPr>
        <w:t>二</w:t>
      </w:r>
      <w:r>
        <w:rPr>
          <w:rFonts w:hint="eastAsia" w:ascii="楷体" w:hAnsi="楷体" w:eastAsia="楷体" w:cs="楷体"/>
          <w:b w:val="0"/>
          <w:bCs/>
          <w:sz w:val="32"/>
          <w:szCs w:val="32"/>
          <w:lang w:eastAsia="zh-CN"/>
        </w:rPr>
        <w:t>）</w:t>
      </w:r>
      <w:r>
        <w:rPr>
          <w:rFonts w:hint="eastAsia" w:ascii="楷体" w:hAnsi="楷体" w:eastAsia="楷体" w:cs="楷体"/>
          <w:b w:val="0"/>
          <w:bCs/>
          <w:sz w:val="32"/>
          <w:szCs w:val="32"/>
        </w:rPr>
        <w:t>依法理财的原则。</w:t>
      </w:r>
      <w:r>
        <w:rPr>
          <w:rFonts w:hint="eastAsia" w:ascii="仿宋" w:hAnsi="仿宋" w:eastAsia="仿宋" w:cs="仿宋"/>
          <w:sz w:val="32"/>
          <w:szCs w:val="32"/>
        </w:rPr>
        <w:t>预算编制符合《预算法》和其他法律、法规，体现国家方针政策。收入</w:t>
      </w:r>
      <w:bookmarkStart w:id="0" w:name="_GoBack"/>
      <w:bookmarkEnd w:id="0"/>
      <w:r>
        <w:rPr>
          <w:rFonts w:hint="eastAsia" w:ascii="仿宋" w:hAnsi="仿宋" w:eastAsia="仿宋" w:cs="仿宋"/>
          <w:sz w:val="32"/>
          <w:szCs w:val="32"/>
        </w:rPr>
        <w:t>合法合规，支出符合国家宏观调控目标。</w:t>
      </w:r>
    </w:p>
    <w:p w14:paraId="720088E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b w:val="0"/>
          <w:bCs/>
          <w:sz w:val="32"/>
          <w:szCs w:val="32"/>
          <w:lang w:eastAsia="zh-CN"/>
        </w:rPr>
        <w:t>（</w:t>
      </w:r>
      <w:r>
        <w:rPr>
          <w:rFonts w:hint="eastAsia" w:ascii="楷体" w:hAnsi="楷体" w:eastAsia="楷体" w:cs="楷体"/>
          <w:b w:val="0"/>
          <w:bCs/>
          <w:sz w:val="32"/>
          <w:szCs w:val="32"/>
          <w:lang w:val="en-US" w:eastAsia="zh-CN"/>
        </w:rPr>
        <w:t>三</w:t>
      </w:r>
      <w:r>
        <w:rPr>
          <w:rFonts w:hint="eastAsia" w:ascii="楷体" w:hAnsi="楷体" w:eastAsia="楷体" w:cs="楷体"/>
          <w:b w:val="0"/>
          <w:bCs/>
          <w:sz w:val="32"/>
          <w:szCs w:val="32"/>
          <w:lang w:eastAsia="zh-CN"/>
        </w:rPr>
        <w:t>）</w:t>
      </w:r>
      <w:r>
        <w:rPr>
          <w:rFonts w:hint="eastAsia" w:ascii="楷体" w:hAnsi="楷体" w:eastAsia="楷体" w:cs="楷体"/>
          <w:b w:val="0"/>
          <w:bCs/>
          <w:sz w:val="32"/>
          <w:szCs w:val="32"/>
          <w:lang w:val="en-US" w:eastAsia="zh-CN"/>
        </w:rPr>
        <w:t>支持园区发展</w:t>
      </w:r>
      <w:r>
        <w:rPr>
          <w:rFonts w:hint="eastAsia" w:ascii="楷体" w:hAnsi="楷体" w:eastAsia="楷体" w:cs="楷体"/>
          <w:b w:val="0"/>
          <w:bCs/>
          <w:sz w:val="32"/>
          <w:szCs w:val="32"/>
        </w:rPr>
        <w:t>原则。</w:t>
      </w:r>
      <w:r>
        <w:rPr>
          <w:rFonts w:hint="eastAsia" w:ascii="仿宋" w:hAnsi="仿宋" w:eastAsia="仿宋" w:cs="仿宋"/>
          <w:sz w:val="32"/>
          <w:szCs w:val="32"/>
        </w:rPr>
        <w:t>充分发挥财政职能作用，完善机制，着力保障和</w:t>
      </w:r>
      <w:r>
        <w:rPr>
          <w:rFonts w:hint="eastAsia" w:ascii="仿宋" w:hAnsi="仿宋" w:eastAsia="仿宋" w:cs="仿宋"/>
          <w:sz w:val="32"/>
          <w:szCs w:val="32"/>
          <w:lang w:val="en-US" w:eastAsia="zh-CN"/>
        </w:rPr>
        <w:t>支持园区企业发展</w:t>
      </w:r>
      <w:r>
        <w:rPr>
          <w:rFonts w:hint="eastAsia" w:ascii="仿宋" w:hAnsi="仿宋" w:eastAsia="仿宋" w:cs="仿宋"/>
          <w:sz w:val="32"/>
          <w:szCs w:val="32"/>
        </w:rPr>
        <w:t>，加大对</w:t>
      </w:r>
      <w:r>
        <w:rPr>
          <w:rFonts w:hint="eastAsia" w:ascii="仿宋" w:hAnsi="仿宋" w:eastAsia="仿宋" w:cs="仿宋"/>
          <w:sz w:val="32"/>
          <w:szCs w:val="32"/>
          <w:lang w:val="en-US" w:eastAsia="zh-CN"/>
        </w:rPr>
        <w:t>园区基础设施建设、企业扶持奖补</w:t>
      </w:r>
      <w:r>
        <w:rPr>
          <w:rFonts w:hint="eastAsia" w:ascii="仿宋" w:hAnsi="仿宋" w:eastAsia="仿宋" w:cs="仿宋"/>
          <w:sz w:val="32"/>
          <w:szCs w:val="32"/>
        </w:rPr>
        <w:t>的投入，科学安排支出，不断提高财政的公共服务水平。</w:t>
      </w:r>
    </w:p>
    <w:p w14:paraId="68DEF0E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b w:val="0"/>
          <w:bCs/>
          <w:sz w:val="32"/>
          <w:szCs w:val="32"/>
          <w:lang w:eastAsia="zh-CN"/>
        </w:rPr>
        <w:t>（</w:t>
      </w:r>
      <w:r>
        <w:rPr>
          <w:rFonts w:hint="eastAsia" w:ascii="楷体" w:hAnsi="楷体" w:eastAsia="楷体" w:cs="楷体"/>
          <w:b w:val="0"/>
          <w:bCs/>
          <w:sz w:val="32"/>
          <w:szCs w:val="32"/>
          <w:lang w:val="en-US" w:eastAsia="zh-CN"/>
        </w:rPr>
        <w:t>四</w:t>
      </w:r>
      <w:r>
        <w:rPr>
          <w:rFonts w:hint="eastAsia" w:ascii="楷体" w:hAnsi="楷体" w:eastAsia="楷体" w:cs="楷体"/>
          <w:b w:val="0"/>
          <w:bCs/>
          <w:sz w:val="32"/>
          <w:szCs w:val="32"/>
          <w:lang w:eastAsia="zh-CN"/>
        </w:rPr>
        <w:t>）</w:t>
      </w:r>
      <w:r>
        <w:rPr>
          <w:rFonts w:hint="eastAsia" w:ascii="楷体" w:hAnsi="楷体" w:eastAsia="楷体" w:cs="楷体"/>
          <w:b w:val="0"/>
          <w:bCs/>
          <w:sz w:val="32"/>
          <w:szCs w:val="32"/>
        </w:rPr>
        <w:t>综合预算的原则。</w:t>
      </w:r>
      <w:r>
        <w:rPr>
          <w:rFonts w:hint="eastAsia" w:ascii="仿宋" w:hAnsi="仿宋" w:eastAsia="仿宋" w:cs="仿宋"/>
          <w:sz w:val="32"/>
          <w:szCs w:val="32"/>
        </w:rPr>
        <w:t>加强和规范预算管理，统筹财力，实行预算内外资金统一管理、统筹安排，提高财政资金使用效益。</w:t>
      </w:r>
    </w:p>
    <w:p w14:paraId="0B09D1A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b w:val="0"/>
          <w:bCs/>
          <w:sz w:val="32"/>
          <w:szCs w:val="32"/>
          <w:lang w:eastAsia="zh-CN"/>
        </w:rPr>
        <w:t>（</w:t>
      </w:r>
      <w:r>
        <w:rPr>
          <w:rFonts w:hint="eastAsia" w:ascii="楷体" w:hAnsi="楷体" w:eastAsia="楷体" w:cs="楷体"/>
          <w:b w:val="0"/>
          <w:bCs/>
          <w:sz w:val="32"/>
          <w:szCs w:val="32"/>
          <w:lang w:val="en-US" w:eastAsia="zh-CN"/>
        </w:rPr>
        <w:t>五</w:t>
      </w:r>
      <w:r>
        <w:rPr>
          <w:rFonts w:hint="eastAsia" w:ascii="楷体" w:hAnsi="楷体" w:eastAsia="楷体" w:cs="楷体"/>
          <w:b w:val="0"/>
          <w:bCs/>
          <w:sz w:val="32"/>
          <w:szCs w:val="32"/>
          <w:lang w:eastAsia="zh-CN"/>
        </w:rPr>
        <w:t>）</w:t>
      </w:r>
      <w:r>
        <w:rPr>
          <w:rFonts w:hint="eastAsia" w:ascii="楷体" w:hAnsi="楷体" w:eastAsia="楷体" w:cs="楷体"/>
          <w:b w:val="0"/>
          <w:bCs/>
          <w:sz w:val="32"/>
          <w:szCs w:val="32"/>
        </w:rPr>
        <w:t>勤俭办事的原则。</w:t>
      </w:r>
      <w:r>
        <w:rPr>
          <w:rFonts w:hint="eastAsia" w:ascii="仿宋" w:hAnsi="仿宋" w:eastAsia="仿宋" w:cs="仿宋"/>
          <w:sz w:val="32"/>
          <w:szCs w:val="32"/>
        </w:rPr>
        <w:t>牢固树立过紧日子的思想，厉行勤俭节约，强化增收节支措施，坚决制止各种铺张浪费。大力压缩日常工作经费，努力降低行政运行成本。从严控制一般性支出，按照“只减不增”的原则编制部门“三公经费”预算。</w:t>
      </w:r>
    </w:p>
    <w:p w14:paraId="62686B4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rPr>
        <w:t>预算编制程序</w:t>
      </w:r>
    </w:p>
    <w:p w14:paraId="6B477B6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年区财政预算编制采取“二上二下”的编制程序。</w:t>
      </w:r>
    </w:p>
    <w:p w14:paraId="5EF36F7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 w:hAnsi="楷体" w:eastAsia="楷体" w:cs="楷体"/>
          <w:b/>
          <w:sz w:val="32"/>
          <w:szCs w:val="32"/>
        </w:rPr>
      </w:pPr>
      <w:r>
        <w:rPr>
          <w:rFonts w:hint="eastAsia" w:ascii="楷体" w:hAnsi="楷体" w:eastAsia="楷体" w:cs="楷体"/>
          <w:b w:val="0"/>
          <w:bCs/>
          <w:sz w:val="32"/>
          <w:szCs w:val="32"/>
          <w:lang w:eastAsia="zh-CN"/>
        </w:rPr>
        <w:t>（</w:t>
      </w:r>
      <w:r>
        <w:rPr>
          <w:rFonts w:hint="eastAsia" w:ascii="楷体" w:hAnsi="楷体" w:eastAsia="楷体" w:cs="楷体"/>
          <w:b w:val="0"/>
          <w:bCs/>
          <w:sz w:val="32"/>
          <w:szCs w:val="32"/>
          <w:lang w:val="en-US" w:eastAsia="zh-CN"/>
        </w:rPr>
        <w:t>一</w:t>
      </w:r>
      <w:r>
        <w:rPr>
          <w:rFonts w:hint="eastAsia" w:ascii="楷体" w:hAnsi="楷体" w:eastAsia="楷体" w:cs="楷体"/>
          <w:b w:val="0"/>
          <w:bCs/>
          <w:sz w:val="32"/>
          <w:szCs w:val="32"/>
          <w:lang w:eastAsia="zh-CN"/>
        </w:rPr>
        <w:t>）</w:t>
      </w:r>
      <w:r>
        <w:rPr>
          <w:rFonts w:hint="eastAsia" w:ascii="楷体" w:hAnsi="楷体" w:eastAsia="楷体" w:cs="楷体"/>
          <w:b w:val="0"/>
          <w:bCs/>
          <w:sz w:val="32"/>
          <w:szCs w:val="32"/>
        </w:rPr>
        <w:t>下达编制预算的通知</w:t>
      </w:r>
    </w:p>
    <w:p w14:paraId="5DBB056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区财政局根据有关规定向预算单位部署部门预算编制的具体事项和有关要求。</w:t>
      </w:r>
    </w:p>
    <w:p w14:paraId="6E0C73E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lang w:eastAsia="zh-CN"/>
        </w:rPr>
        <w:t>（</w:t>
      </w:r>
      <w:r>
        <w:rPr>
          <w:rFonts w:hint="eastAsia" w:ascii="楷体" w:hAnsi="楷体" w:eastAsia="楷体" w:cs="楷体"/>
          <w:b w:val="0"/>
          <w:bCs/>
          <w:sz w:val="32"/>
          <w:szCs w:val="32"/>
          <w:lang w:val="en-US" w:eastAsia="zh-CN"/>
        </w:rPr>
        <w:t>二</w:t>
      </w:r>
      <w:r>
        <w:rPr>
          <w:rFonts w:hint="eastAsia" w:ascii="楷体" w:hAnsi="楷体" w:eastAsia="楷体" w:cs="楷体"/>
          <w:b w:val="0"/>
          <w:bCs/>
          <w:sz w:val="32"/>
          <w:szCs w:val="32"/>
          <w:lang w:eastAsia="zh-CN"/>
        </w:rPr>
        <w:t>）</w:t>
      </w:r>
      <w:r>
        <w:rPr>
          <w:rFonts w:hint="eastAsia" w:ascii="楷体" w:hAnsi="楷体" w:eastAsia="楷体" w:cs="楷体"/>
          <w:b w:val="0"/>
          <w:bCs/>
          <w:sz w:val="32"/>
          <w:szCs w:val="32"/>
        </w:rPr>
        <w:t>预算单位编报预算建议计划（一上）</w:t>
      </w:r>
    </w:p>
    <w:p w14:paraId="17EDD8D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各预算单位根据本单位的基本情况和事业发展需要，按照部门预算编制要求，测算并合理制定收支建议计划，汇总编制成202</w:t>
      </w:r>
      <w:r>
        <w:rPr>
          <w:rFonts w:hint="eastAsia" w:ascii="仿宋" w:hAnsi="仿宋" w:eastAsia="仿宋" w:cs="仿宋"/>
          <w:sz w:val="32"/>
          <w:szCs w:val="32"/>
          <w:lang w:val="en-US" w:eastAsia="zh-CN"/>
        </w:rPr>
        <w:t>6</w:t>
      </w:r>
      <w:r>
        <w:rPr>
          <w:rFonts w:hint="eastAsia" w:ascii="仿宋" w:hAnsi="仿宋" w:eastAsia="仿宋" w:cs="仿宋"/>
          <w:sz w:val="32"/>
          <w:szCs w:val="32"/>
        </w:rPr>
        <w:t>年度部门预算，上报区财政局，同时上报与部门预算编制相关的基础数据和资料。</w:t>
      </w:r>
    </w:p>
    <w:p w14:paraId="524983C3">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lang w:eastAsia="zh-CN"/>
        </w:rPr>
        <w:t>（</w:t>
      </w:r>
      <w:r>
        <w:rPr>
          <w:rFonts w:hint="eastAsia" w:ascii="楷体" w:hAnsi="楷体" w:eastAsia="楷体" w:cs="楷体"/>
          <w:b w:val="0"/>
          <w:bCs/>
          <w:sz w:val="32"/>
          <w:szCs w:val="32"/>
          <w:lang w:val="en-US" w:eastAsia="zh-CN"/>
        </w:rPr>
        <w:t>三</w:t>
      </w:r>
      <w:r>
        <w:rPr>
          <w:rFonts w:hint="eastAsia" w:ascii="楷体" w:hAnsi="楷体" w:eastAsia="楷体" w:cs="楷体"/>
          <w:b w:val="0"/>
          <w:bCs/>
          <w:sz w:val="32"/>
          <w:szCs w:val="32"/>
          <w:lang w:eastAsia="zh-CN"/>
        </w:rPr>
        <w:t>）</w:t>
      </w:r>
      <w:r>
        <w:rPr>
          <w:rFonts w:hint="eastAsia" w:ascii="楷体" w:hAnsi="楷体" w:eastAsia="楷体" w:cs="楷体"/>
          <w:b w:val="0"/>
          <w:bCs/>
          <w:sz w:val="32"/>
          <w:szCs w:val="32"/>
        </w:rPr>
        <w:t>区财政局下达预算控制数（一下）</w:t>
      </w:r>
    </w:p>
    <w:p w14:paraId="1D23CF18">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区财政局根据预算单位上报的基础资料，结合有关法规及单位分类定额情况，对预算单位上报的预算建议数进行逐项审核，再根据区本级总财力情况，经过综合平衡后，向预算单位下达预算控制指标。</w:t>
      </w:r>
    </w:p>
    <w:p w14:paraId="4401F956">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lang w:eastAsia="zh-CN"/>
        </w:rPr>
        <w:t>（</w:t>
      </w:r>
      <w:r>
        <w:rPr>
          <w:rFonts w:hint="eastAsia" w:ascii="楷体" w:hAnsi="楷体" w:eastAsia="楷体" w:cs="楷体"/>
          <w:b w:val="0"/>
          <w:bCs/>
          <w:sz w:val="32"/>
          <w:szCs w:val="32"/>
          <w:lang w:val="en-US" w:eastAsia="zh-CN"/>
        </w:rPr>
        <w:t>四</w:t>
      </w:r>
      <w:r>
        <w:rPr>
          <w:rFonts w:hint="eastAsia" w:ascii="楷体" w:hAnsi="楷体" w:eastAsia="楷体" w:cs="楷体"/>
          <w:b w:val="0"/>
          <w:bCs/>
          <w:sz w:val="32"/>
          <w:szCs w:val="32"/>
          <w:lang w:eastAsia="zh-CN"/>
        </w:rPr>
        <w:t>）</w:t>
      </w:r>
      <w:r>
        <w:rPr>
          <w:rFonts w:hint="eastAsia" w:ascii="楷体" w:hAnsi="楷体" w:eastAsia="楷体" w:cs="楷体"/>
          <w:b w:val="0"/>
          <w:bCs/>
          <w:sz w:val="32"/>
          <w:szCs w:val="32"/>
        </w:rPr>
        <w:t>预算单位提出修订预算的意见（二上）</w:t>
      </w:r>
    </w:p>
    <w:p w14:paraId="4F3622E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各预算单位根据财政局下达的控制指标，书面提出修订预算的意见，并提供相关依据报送区财政局。</w:t>
      </w:r>
    </w:p>
    <w:p w14:paraId="7B9238D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lang w:eastAsia="zh-CN"/>
        </w:rPr>
        <w:t>（</w:t>
      </w:r>
      <w:r>
        <w:rPr>
          <w:rFonts w:hint="eastAsia" w:ascii="楷体" w:hAnsi="楷体" w:eastAsia="楷体" w:cs="楷体"/>
          <w:b w:val="0"/>
          <w:bCs/>
          <w:sz w:val="32"/>
          <w:szCs w:val="32"/>
          <w:lang w:val="en-US" w:eastAsia="zh-CN"/>
        </w:rPr>
        <w:t>五</w:t>
      </w:r>
      <w:r>
        <w:rPr>
          <w:rFonts w:hint="eastAsia" w:ascii="楷体" w:hAnsi="楷体" w:eastAsia="楷体" w:cs="楷体"/>
          <w:b w:val="0"/>
          <w:bCs/>
          <w:sz w:val="32"/>
          <w:szCs w:val="32"/>
          <w:lang w:eastAsia="zh-CN"/>
        </w:rPr>
        <w:t>）</w:t>
      </w:r>
      <w:r>
        <w:rPr>
          <w:rFonts w:hint="eastAsia" w:ascii="楷体" w:hAnsi="楷体" w:eastAsia="楷体" w:cs="楷体"/>
          <w:b w:val="0"/>
          <w:bCs/>
          <w:sz w:val="32"/>
          <w:szCs w:val="32"/>
        </w:rPr>
        <w:t>批复预算（二下）</w:t>
      </w:r>
    </w:p>
    <w:p w14:paraId="6C72AA4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区财政局将预算单位的收支预算草案按规定程序逐级报审，经区党委、管委会批准以后</w:t>
      </w:r>
      <w:r>
        <w:rPr>
          <w:rFonts w:hint="eastAsia" w:ascii="仿宋" w:hAnsi="仿宋" w:eastAsia="仿宋" w:cs="仿宋"/>
          <w:sz w:val="32"/>
          <w:szCs w:val="32"/>
          <w:lang w:val="en-US" w:eastAsia="zh-CN"/>
        </w:rPr>
        <w:t>上报市财政局审核汇总，待市人大批复后</w:t>
      </w:r>
      <w:r>
        <w:rPr>
          <w:rFonts w:hint="eastAsia" w:ascii="仿宋" w:hAnsi="仿宋" w:eastAsia="仿宋" w:cs="仿宋"/>
          <w:sz w:val="32"/>
          <w:szCs w:val="32"/>
        </w:rPr>
        <w:t>，区财政局将部门预算批复到一级预算单位。</w:t>
      </w:r>
    </w:p>
    <w:p w14:paraId="2326517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三、编制内容</w:t>
      </w:r>
    </w:p>
    <w:p w14:paraId="318199D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b/>
          <w:sz w:val="32"/>
          <w:szCs w:val="32"/>
        </w:rPr>
      </w:pPr>
      <w:r>
        <w:rPr>
          <w:rFonts w:hint="eastAsia" w:ascii="楷体" w:hAnsi="楷体" w:eastAsia="楷体" w:cs="楷体"/>
          <w:b w:val="0"/>
          <w:bCs/>
          <w:sz w:val="32"/>
          <w:szCs w:val="32"/>
        </w:rPr>
        <w:t>（一）</w:t>
      </w:r>
      <w:r>
        <w:rPr>
          <w:rFonts w:hint="eastAsia" w:ascii="楷体" w:hAnsi="楷体" w:eastAsia="楷体" w:cs="楷体"/>
          <w:b w:val="0"/>
          <w:bCs/>
          <w:sz w:val="32"/>
          <w:szCs w:val="32"/>
          <w:lang w:eastAsia="zh-CN"/>
        </w:rPr>
        <w:t>202</w:t>
      </w:r>
      <w:r>
        <w:rPr>
          <w:rFonts w:hint="eastAsia" w:ascii="楷体" w:hAnsi="楷体" w:eastAsia="楷体" w:cs="楷体"/>
          <w:b w:val="0"/>
          <w:bCs/>
          <w:sz w:val="32"/>
          <w:szCs w:val="32"/>
          <w:lang w:val="en-US" w:eastAsia="zh-CN"/>
        </w:rPr>
        <w:t>6</w:t>
      </w:r>
      <w:r>
        <w:rPr>
          <w:rFonts w:hint="eastAsia" w:ascii="楷体" w:hAnsi="楷体" w:eastAsia="楷体" w:cs="楷体"/>
          <w:b w:val="0"/>
          <w:bCs/>
          <w:sz w:val="32"/>
          <w:szCs w:val="32"/>
        </w:rPr>
        <w:t>年区财政收入预算编制</w:t>
      </w:r>
    </w:p>
    <w:p w14:paraId="574C1E3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区财政</w:t>
      </w:r>
      <w:r>
        <w:rPr>
          <w:rFonts w:hint="eastAsia" w:ascii="仿宋" w:hAnsi="仿宋" w:eastAsia="仿宋" w:cs="仿宋"/>
          <w:sz w:val="32"/>
          <w:szCs w:val="32"/>
          <w:lang w:val="en-US" w:eastAsia="zh-CN"/>
        </w:rPr>
        <w:t>局业务</w:t>
      </w:r>
      <w:r>
        <w:rPr>
          <w:rFonts w:hint="eastAsia" w:ascii="仿宋" w:hAnsi="仿宋" w:eastAsia="仿宋" w:cs="仿宋"/>
          <w:sz w:val="32"/>
          <w:szCs w:val="32"/>
        </w:rPr>
        <w:t>股负责</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年行政事业单位非税收入任务测算。根据20</w:t>
      </w:r>
      <w:r>
        <w:rPr>
          <w:rFonts w:hint="eastAsia" w:ascii="仿宋" w:hAnsi="仿宋" w:eastAsia="仿宋" w:cs="仿宋"/>
          <w:sz w:val="32"/>
          <w:szCs w:val="32"/>
          <w:lang w:val="en-US" w:eastAsia="zh-CN"/>
        </w:rPr>
        <w:t>25</w:t>
      </w:r>
      <w:r>
        <w:rPr>
          <w:rFonts w:hint="eastAsia" w:ascii="仿宋" w:hAnsi="仿宋" w:eastAsia="仿宋" w:cs="仿宋"/>
          <w:sz w:val="32"/>
          <w:szCs w:val="32"/>
        </w:rPr>
        <w:t>年各单位任务实际完成情况，结合</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年实际测算确定。</w:t>
      </w:r>
    </w:p>
    <w:p w14:paraId="7E57682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资金股</w:t>
      </w:r>
      <w:r>
        <w:rPr>
          <w:rFonts w:hint="eastAsia" w:ascii="仿宋" w:hAnsi="仿宋" w:eastAsia="仿宋" w:cs="仿宋"/>
          <w:sz w:val="32"/>
          <w:szCs w:val="32"/>
        </w:rPr>
        <w:t>负责</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税务局</w:t>
      </w:r>
      <w:r>
        <w:rPr>
          <w:rFonts w:hint="eastAsia" w:ascii="仿宋" w:hAnsi="仿宋" w:eastAsia="仿宋" w:cs="仿宋"/>
          <w:sz w:val="32"/>
          <w:szCs w:val="32"/>
        </w:rPr>
        <w:t>、上级转移收入任务测算，并汇总</w:t>
      </w:r>
      <w:r>
        <w:rPr>
          <w:rFonts w:hint="eastAsia" w:ascii="仿宋" w:hAnsi="仿宋" w:eastAsia="仿宋" w:cs="仿宋"/>
          <w:sz w:val="32"/>
          <w:szCs w:val="32"/>
          <w:lang w:val="en-US" w:eastAsia="zh-CN"/>
        </w:rPr>
        <w:t>业务</w:t>
      </w:r>
      <w:r>
        <w:rPr>
          <w:rFonts w:hint="eastAsia" w:ascii="仿宋" w:hAnsi="仿宋" w:eastAsia="仿宋" w:cs="仿宋"/>
          <w:sz w:val="32"/>
          <w:szCs w:val="32"/>
        </w:rPr>
        <w:t>股收入预计情况和专题分析材料，形成全区</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年财政收入预计完成情况的专题分析材料和区本级分税种的收入计划表，据此编制</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年全区财政收入预算。税收收入和非税收入任务的确定，以年初</w:t>
      </w:r>
      <w:r>
        <w:rPr>
          <w:rFonts w:hint="eastAsia" w:ascii="仿宋" w:hAnsi="仿宋" w:eastAsia="仿宋" w:cs="仿宋"/>
          <w:sz w:val="32"/>
          <w:szCs w:val="32"/>
          <w:lang w:val="en-US" w:eastAsia="zh-CN"/>
        </w:rPr>
        <w:t>上级</w:t>
      </w:r>
      <w:r>
        <w:rPr>
          <w:rFonts w:hint="eastAsia" w:ascii="仿宋" w:hAnsi="仿宋" w:eastAsia="仿宋" w:cs="仿宋"/>
          <w:sz w:val="32"/>
          <w:szCs w:val="32"/>
        </w:rPr>
        <w:t>所定任务为准；转移性收入按各部门上年度实际争取情况结合今年计划测算。</w:t>
      </w:r>
    </w:p>
    <w:p w14:paraId="16F352C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w:t>
      </w:r>
      <w:r>
        <w:rPr>
          <w:rFonts w:hint="eastAsia" w:ascii="楷体" w:hAnsi="楷体" w:eastAsia="楷体" w:cs="楷体"/>
          <w:b w:val="0"/>
          <w:bCs/>
          <w:sz w:val="32"/>
          <w:szCs w:val="32"/>
          <w:lang w:eastAsia="zh-CN"/>
        </w:rPr>
        <w:t>202</w:t>
      </w:r>
      <w:r>
        <w:rPr>
          <w:rFonts w:hint="eastAsia" w:ascii="楷体" w:hAnsi="楷体" w:eastAsia="楷体" w:cs="楷体"/>
          <w:b w:val="0"/>
          <w:bCs/>
          <w:sz w:val="32"/>
          <w:szCs w:val="32"/>
          <w:lang w:val="en-US" w:eastAsia="zh-CN"/>
        </w:rPr>
        <w:t>6</w:t>
      </w:r>
      <w:r>
        <w:rPr>
          <w:rFonts w:hint="eastAsia" w:ascii="楷体" w:hAnsi="楷体" w:eastAsia="楷体" w:cs="楷体"/>
          <w:b w:val="0"/>
          <w:bCs/>
          <w:sz w:val="32"/>
          <w:szCs w:val="32"/>
        </w:rPr>
        <w:t>年区本级财政支出预算编制</w:t>
      </w:r>
    </w:p>
    <w:p w14:paraId="4EA9C07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rPr>
        <w:t>财政全额拨款单位按标准、实际人数测算安排经费（年中人员有增减的，</w:t>
      </w:r>
      <w:r>
        <w:rPr>
          <w:rFonts w:hint="eastAsia" w:ascii="仿宋" w:hAnsi="仿宋" w:eastAsia="仿宋" w:cs="仿宋"/>
          <w:sz w:val="32"/>
          <w:szCs w:val="32"/>
          <w:lang w:val="en-US" w:eastAsia="zh-CN"/>
        </w:rPr>
        <w:t>从预留增人增资经费中调剂或预算调整时予以调整</w:t>
      </w:r>
      <w:r>
        <w:rPr>
          <w:rFonts w:hint="eastAsia" w:ascii="仿宋" w:hAnsi="仿宋" w:eastAsia="仿宋" w:cs="仿宋"/>
          <w:sz w:val="32"/>
          <w:szCs w:val="32"/>
        </w:rPr>
        <w:t>）。</w:t>
      </w:r>
      <w:r>
        <w:rPr>
          <w:rFonts w:hint="eastAsia" w:ascii="仿宋" w:hAnsi="仿宋" w:eastAsia="仿宋" w:cs="仿宋"/>
          <w:sz w:val="32"/>
          <w:szCs w:val="32"/>
          <w:lang w:val="en-US" w:eastAsia="zh-CN"/>
        </w:rPr>
        <w:t>政府雇员</w:t>
      </w:r>
      <w:r>
        <w:rPr>
          <w:rFonts w:hint="eastAsia" w:ascii="仿宋" w:hAnsi="仿宋" w:eastAsia="仿宋" w:cs="仿宋"/>
          <w:sz w:val="32"/>
          <w:szCs w:val="32"/>
        </w:rPr>
        <w:t>按所在单位同标准安排公用经费，其他按政策规定执行</w:t>
      </w:r>
      <w:r>
        <w:rPr>
          <w:rFonts w:hint="eastAsia" w:ascii="仿宋" w:hAnsi="仿宋" w:eastAsia="仿宋" w:cs="仿宋"/>
          <w:sz w:val="32"/>
          <w:szCs w:val="32"/>
          <w:highlight w:val="none"/>
        </w:rPr>
        <w:t>。</w:t>
      </w:r>
    </w:p>
    <w:p w14:paraId="305FD0F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rPr>
        <w:t>人员支出</w:t>
      </w:r>
    </w:p>
    <w:p w14:paraId="73E4B50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①工资：财政全额拨款单位，根据区</w:t>
      </w:r>
      <w:r>
        <w:rPr>
          <w:rFonts w:hint="eastAsia" w:ascii="仿宋" w:hAnsi="仿宋" w:eastAsia="仿宋" w:cs="仿宋"/>
          <w:sz w:val="32"/>
          <w:szCs w:val="32"/>
          <w:lang w:val="en-US" w:eastAsia="zh-CN"/>
        </w:rPr>
        <w:t>组织部</w:t>
      </w:r>
      <w:r>
        <w:rPr>
          <w:rFonts w:hint="eastAsia" w:ascii="仿宋" w:hAnsi="仿宋" w:eastAsia="仿宋" w:cs="仿宋"/>
          <w:sz w:val="32"/>
          <w:szCs w:val="32"/>
        </w:rPr>
        <w:t>提供的20</w:t>
      </w:r>
      <w:r>
        <w:rPr>
          <w:rFonts w:hint="eastAsia" w:ascii="仿宋" w:hAnsi="仿宋" w:eastAsia="仿宋" w:cs="仿宋"/>
          <w:sz w:val="32"/>
          <w:szCs w:val="32"/>
          <w:lang w:val="en-US" w:eastAsia="zh-CN"/>
        </w:rPr>
        <w:t>25</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月实有人数测算，由财政负担的有</w:t>
      </w:r>
      <w:r>
        <w:rPr>
          <w:rFonts w:hint="eastAsia" w:ascii="仿宋" w:hAnsi="仿宋" w:eastAsia="仿宋" w:cs="仿宋"/>
          <w:sz w:val="32"/>
          <w:szCs w:val="32"/>
          <w:highlight w:val="none"/>
          <w:lang w:val="en-US" w:eastAsia="zh-CN"/>
        </w:rPr>
        <w:t>146</w:t>
      </w:r>
      <w:r>
        <w:rPr>
          <w:rFonts w:hint="eastAsia" w:ascii="仿宋" w:hAnsi="仿宋" w:eastAsia="仿宋" w:cs="仿宋"/>
          <w:sz w:val="32"/>
          <w:szCs w:val="32"/>
          <w:highlight w:val="none"/>
        </w:rPr>
        <w:t>人</w:t>
      </w:r>
      <w:r>
        <w:rPr>
          <w:rFonts w:hint="eastAsia" w:ascii="仿宋" w:hAnsi="仿宋" w:eastAsia="仿宋" w:cs="仿宋"/>
          <w:sz w:val="32"/>
          <w:szCs w:val="32"/>
        </w:rPr>
        <w:t>（人数计算不涉及人员身份，工资渠道不变</w:t>
      </w:r>
      <w:r>
        <w:rPr>
          <w:rFonts w:hint="eastAsia" w:ascii="仿宋" w:hAnsi="仿宋" w:eastAsia="仿宋" w:cs="仿宋"/>
          <w:sz w:val="32"/>
          <w:szCs w:val="32"/>
          <w:lang w:eastAsia="zh-CN"/>
        </w:rPr>
        <w:t>）</w:t>
      </w:r>
      <w:r>
        <w:rPr>
          <w:rFonts w:hint="eastAsia" w:ascii="仿宋" w:hAnsi="仿宋" w:eastAsia="仿宋" w:cs="仿宋"/>
          <w:sz w:val="32"/>
          <w:szCs w:val="32"/>
        </w:rPr>
        <w:t>。按20</w:t>
      </w:r>
      <w:r>
        <w:rPr>
          <w:rFonts w:hint="eastAsia" w:ascii="仿宋" w:hAnsi="仿宋" w:eastAsia="仿宋" w:cs="仿宋"/>
          <w:sz w:val="32"/>
          <w:szCs w:val="32"/>
          <w:lang w:val="en-US" w:eastAsia="zh-CN"/>
        </w:rPr>
        <w:t>25</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月份工资平均水平测算安排基本工资</w:t>
      </w:r>
      <w:r>
        <w:rPr>
          <w:rFonts w:hint="eastAsia" w:ascii="仿宋" w:hAnsi="仿宋" w:eastAsia="仿宋" w:cs="仿宋"/>
          <w:sz w:val="32"/>
          <w:szCs w:val="32"/>
          <w:lang w:eastAsia="zh-CN"/>
        </w:rPr>
        <w:t>。</w:t>
      </w:r>
    </w:p>
    <w:p w14:paraId="03220EB3">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②女职工卫生费：</w:t>
      </w:r>
      <w:r>
        <w:rPr>
          <w:rFonts w:hint="eastAsia" w:ascii="仿宋" w:hAnsi="仿宋" w:eastAsia="仿宋" w:cs="仿宋"/>
          <w:sz w:val="32"/>
          <w:szCs w:val="32"/>
          <w:lang w:val="en-US" w:eastAsia="zh-CN"/>
        </w:rPr>
        <w:t>按30元/人的标准列入单位预算。</w:t>
      </w:r>
    </w:p>
    <w:p w14:paraId="3A815F3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③</w:t>
      </w:r>
      <w:r>
        <w:rPr>
          <w:rFonts w:hint="eastAsia" w:ascii="仿宋" w:hAnsi="仿宋" w:eastAsia="仿宋" w:cs="仿宋"/>
          <w:sz w:val="32"/>
          <w:szCs w:val="32"/>
          <w:lang w:val="en-US" w:eastAsia="zh-CN"/>
        </w:rPr>
        <w:t>统一津补贴</w:t>
      </w:r>
      <w:r>
        <w:rPr>
          <w:rFonts w:hint="eastAsia" w:ascii="仿宋" w:hAnsi="仿宋" w:eastAsia="仿宋" w:cs="仿宋"/>
          <w:sz w:val="32"/>
          <w:szCs w:val="32"/>
        </w:rPr>
        <w:t>：</w:t>
      </w:r>
      <w:r>
        <w:rPr>
          <w:rFonts w:hint="eastAsia" w:ascii="仿宋" w:hAnsi="仿宋" w:eastAsia="仿宋" w:cs="仿宋"/>
          <w:sz w:val="32"/>
          <w:szCs w:val="32"/>
          <w:lang w:val="en-US" w:eastAsia="zh-CN"/>
        </w:rPr>
        <w:t>公务员及参照公务员管理人员的统一性津补贴按区组织部核定标准安排。</w:t>
      </w:r>
    </w:p>
    <w:p w14:paraId="21402F2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④</w:t>
      </w:r>
      <w:r>
        <w:rPr>
          <w:rFonts w:hint="eastAsia" w:ascii="仿宋" w:hAnsi="仿宋" w:eastAsia="仿宋" w:cs="仿宋"/>
          <w:sz w:val="32"/>
          <w:szCs w:val="32"/>
          <w:lang w:val="en-US" w:eastAsia="zh-CN"/>
        </w:rPr>
        <w:t>绩效工资：事业人员、机关工人的绩效工资按区组织部核定标准的100%安排。</w:t>
      </w:r>
    </w:p>
    <w:p w14:paraId="08FEC89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 5 \* GB3 \* MERGEFORMAT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⑤</w:t>
      </w:r>
      <w:r>
        <w:rPr>
          <w:rFonts w:hint="eastAsia" w:ascii="仿宋" w:hAnsi="仿宋" w:eastAsia="仿宋" w:cs="仿宋"/>
          <w:sz w:val="32"/>
          <w:szCs w:val="32"/>
          <w:lang w:val="en-US" w:eastAsia="zh-CN"/>
        </w:rPr>
        <w:fldChar w:fldCharType="end"/>
      </w:r>
      <w:r>
        <w:rPr>
          <w:rFonts w:hint="eastAsia" w:ascii="仿宋" w:hAnsi="仿宋" w:eastAsia="仿宋" w:cs="仿宋"/>
          <w:sz w:val="32"/>
          <w:szCs w:val="32"/>
          <w:lang w:val="en-US" w:eastAsia="zh-CN"/>
        </w:rPr>
        <w:t>特殊岗位津贴：按区组织部核定标准安排。</w:t>
      </w:r>
    </w:p>
    <w:p w14:paraId="7BE2AE5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 6 \* GB3 \* MERGEFORMAT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⑥</w:t>
      </w:r>
      <w:r>
        <w:rPr>
          <w:rFonts w:hint="eastAsia" w:ascii="仿宋" w:hAnsi="仿宋" w:eastAsia="仿宋" w:cs="仿宋"/>
          <w:sz w:val="32"/>
          <w:szCs w:val="32"/>
          <w:lang w:val="en-US" w:eastAsia="zh-CN"/>
        </w:rPr>
        <w:fldChar w:fldCharType="end"/>
      </w:r>
      <w:r>
        <w:rPr>
          <w:rFonts w:hint="eastAsia" w:ascii="仿宋" w:hAnsi="仿宋" w:eastAsia="仿宋" w:cs="仿宋"/>
          <w:sz w:val="32"/>
          <w:szCs w:val="32"/>
          <w:lang w:val="en-US" w:eastAsia="zh-CN"/>
        </w:rPr>
        <w:t>年终奖励性工资：公务员及参照公务员管理人员的年终奖励性工资按2025年10月的基本工资测算安排。</w:t>
      </w:r>
    </w:p>
    <w:p w14:paraId="0714B7E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 7 \* GB3 \* MERGEFORMAT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⑦</w:t>
      </w:r>
      <w:r>
        <w:rPr>
          <w:rFonts w:hint="eastAsia" w:ascii="仿宋" w:hAnsi="仿宋" w:eastAsia="仿宋" w:cs="仿宋"/>
          <w:sz w:val="32"/>
          <w:szCs w:val="32"/>
          <w:lang w:val="en-US" w:eastAsia="zh-CN"/>
        </w:rPr>
        <w:fldChar w:fldCharType="end"/>
      </w:r>
      <w:r>
        <w:rPr>
          <w:rFonts w:hint="eastAsia" w:ascii="仿宋" w:hAnsi="仿宋" w:eastAsia="仿宋" w:cs="仿宋"/>
          <w:sz w:val="32"/>
          <w:szCs w:val="32"/>
          <w:lang w:val="en-US" w:eastAsia="zh-CN"/>
        </w:rPr>
        <w:t>公车补贴：公务员和参照公务员管理人员按区组织部核定标准发放，事业在编人员根据2019年区组织部和区车改办核定的事业单位个别特定岗位人员发放表标准发放。</w:t>
      </w:r>
    </w:p>
    <w:p w14:paraId="7E0C82F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 8 \* GB3 \* MERGEFORMAT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⑧</w:t>
      </w:r>
      <w:r>
        <w:rPr>
          <w:rFonts w:hint="eastAsia" w:ascii="仿宋" w:hAnsi="仿宋" w:eastAsia="仿宋" w:cs="仿宋"/>
          <w:sz w:val="32"/>
          <w:szCs w:val="32"/>
          <w:lang w:val="en-US" w:eastAsia="zh-CN"/>
        </w:rPr>
        <w:fldChar w:fldCharType="end"/>
      </w:r>
      <w:r>
        <w:rPr>
          <w:rFonts w:hint="eastAsia" w:ascii="仿宋" w:hAnsi="仿宋" w:eastAsia="仿宋" w:cs="仿宋"/>
          <w:sz w:val="32"/>
          <w:szCs w:val="32"/>
          <w:lang w:val="en-US" w:eastAsia="zh-CN"/>
        </w:rPr>
        <w:t>政府绩效：公务员和参照公务员管理人员基础部分按区组织部核定标准发放，考核部分按1.2万元测算。事业人员、机关工人基础部分组织部核定标准测算。</w:t>
      </w:r>
    </w:p>
    <w:p w14:paraId="6412DE4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 9 \* GB3 \* MERGEFORMAT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⑨</w:t>
      </w:r>
      <w:r>
        <w:rPr>
          <w:rFonts w:hint="eastAsia" w:ascii="仿宋" w:hAnsi="仿宋" w:eastAsia="仿宋" w:cs="仿宋"/>
          <w:sz w:val="32"/>
          <w:szCs w:val="32"/>
          <w:lang w:val="en-US" w:eastAsia="zh-CN"/>
        </w:rPr>
        <w:fldChar w:fldCharType="end"/>
      </w:r>
      <w:r>
        <w:rPr>
          <w:rFonts w:hint="eastAsia" w:ascii="仿宋" w:hAnsi="仿宋" w:eastAsia="仿宋" w:cs="仿宋"/>
          <w:sz w:val="32"/>
          <w:szCs w:val="32"/>
          <w:lang w:val="en-US" w:eastAsia="zh-CN"/>
        </w:rPr>
        <w:t>社会保险缴费、职业年金缴费、住房公积金：机关事业单位养老保险按《湖南省机关事业单位养老保险缴费工资技术和统筹项目暂行规定的通知》（湘人社发〔2016〕40号）规定缴费基数及国家规定负担的比例测算，列入管委工资统发预算；医疗保险缴费基数参照养老保险基数执行，医疗保险财政负担部分、工伤保险、失业保险列入管委工资统发预算。职业年金缴费按2025年10月缴费数测算。住房公积金缴存基数和社会保险基数保持一致。</w:t>
      </w:r>
    </w:p>
    <w:p w14:paraId="3B7723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2.</w:t>
      </w:r>
      <w:r>
        <w:rPr>
          <w:rFonts w:hint="eastAsia" w:ascii="仿宋" w:hAnsi="仿宋" w:eastAsia="仿宋" w:cs="仿宋"/>
          <w:b w:val="0"/>
          <w:bCs/>
          <w:sz w:val="32"/>
          <w:szCs w:val="32"/>
        </w:rPr>
        <w:t>商品和服务支出</w:t>
      </w:r>
    </w:p>
    <w:p w14:paraId="5954D2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坚持“只减不增、适当压缩”的原则，经费预</w:t>
      </w:r>
      <w:r>
        <w:rPr>
          <w:rFonts w:hint="eastAsia" w:ascii="仿宋" w:hAnsi="仿宋" w:eastAsia="仿宋" w:cs="仿宋"/>
          <w:sz w:val="32"/>
          <w:szCs w:val="32"/>
          <w:lang w:val="en-US" w:eastAsia="zh-CN"/>
        </w:rPr>
        <w:t>算</w:t>
      </w:r>
      <w:r>
        <w:rPr>
          <w:rFonts w:hint="eastAsia" w:ascii="仿宋" w:hAnsi="仿宋" w:eastAsia="仿宋" w:cs="仿宋"/>
          <w:sz w:val="32"/>
          <w:szCs w:val="32"/>
        </w:rPr>
        <w:t>只到单位不到人。公务用车、公务接待按管理区有关制度执行；取消招待费包干定额、规范公务接待行为。</w:t>
      </w:r>
    </w:p>
    <w:p w14:paraId="5E865C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①</w:t>
      </w:r>
      <w:r>
        <w:rPr>
          <w:rFonts w:hint="eastAsia" w:ascii="仿宋" w:hAnsi="仿宋" w:eastAsia="仿宋" w:cs="仿宋"/>
          <w:sz w:val="32"/>
          <w:szCs w:val="32"/>
          <w:lang w:val="en-US" w:eastAsia="zh-CN"/>
        </w:rPr>
        <w:t>办公</w:t>
      </w:r>
      <w:r>
        <w:rPr>
          <w:rFonts w:hint="eastAsia" w:ascii="仿宋" w:hAnsi="仿宋" w:eastAsia="仿宋" w:cs="仿宋"/>
          <w:sz w:val="32"/>
          <w:szCs w:val="32"/>
        </w:rPr>
        <w:t>经费：财政全额拨款单位的公用经费，</w:t>
      </w:r>
      <w:r>
        <w:rPr>
          <w:rFonts w:hint="eastAsia" w:ascii="仿宋" w:hAnsi="仿宋" w:eastAsia="仿宋" w:cs="仿宋"/>
          <w:sz w:val="32"/>
          <w:szCs w:val="32"/>
          <w:lang w:val="en-US" w:eastAsia="zh-CN"/>
        </w:rPr>
        <w:t>按实有人数11000</w:t>
      </w:r>
      <w:r>
        <w:rPr>
          <w:rFonts w:hint="eastAsia" w:ascii="仿宋" w:hAnsi="仿宋" w:eastAsia="仿宋" w:cs="仿宋"/>
          <w:sz w:val="32"/>
          <w:szCs w:val="32"/>
        </w:rPr>
        <w:t>元/人</w:t>
      </w:r>
      <w:r>
        <w:rPr>
          <w:rFonts w:hint="eastAsia" w:ascii="仿宋" w:hAnsi="仿宋" w:eastAsia="仿宋" w:cs="仿宋"/>
          <w:sz w:val="32"/>
          <w:szCs w:val="32"/>
          <w:lang w:val="en-US" w:eastAsia="zh-CN"/>
        </w:rPr>
        <w:t>/</w:t>
      </w:r>
      <w:r>
        <w:rPr>
          <w:rFonts w:hint="eastAsia" w:ascii="仿宋" w:hAnsi="仿宋" w:eastAsia="仿宋" w:cs="仿宋"/>
          <w:sz w:val="32"/>
          <w:szCs w:val="32"/>
        </w:rPr>
        <w:t>年测算安排</w:t>
      </w:r>
      <w:r>
        <w:rPr>
          <w:rFonts w:hint="eastAsia" w:ascii="仿宋" w:hAnsi="仿宋" w:eastAsia="仿宋" w:cs="仿宋"/>
          <w:sz w:val="32"/>
          <w:szCs w:val="32"/>
          <w:lang w:eastAsia="zh-CN"/>
        </w:rPr>
        <w:t>，</w:t>
      </w:r>
      <w:r>
        <w:rPr>
          <w:rFonts w:hint="eastAsia" w:ascii="仿宋" w:hAnsi="仿宋" w:eastAsia="仿宋" w:cs="仿宋"/>
          <w:sz w:val="32"/>
          <w:szCs w:val="32"/>
        </w:rPr>
        <w:t>分</w:t>
      </w:r>
      <w:r>
        <w:rPr>
          <w:rFonts w:hint="eastAsia" w:ascii="仿宋" w:hAnsi="仿宋" w:eastAsia="仿宋" w:cs="仿宋"/>
          <w:sz w:val="32"/>
          <w:szCs w:val="32"/>
          <w:lang w:val="en-US" w:eastAsia="zh-CN"/>
        </w:rPr>
        <w:t>单位</w:t>
      </w:r>
      <w:r>
        <w:rPr>
          <w:rFonts w:hint="eastAsia" w:ascii="仿宋" w:hAnsi="仿宋" w:eastAsia="仿宋" w:cs="仿宋"/>
          <w:sz w:val="32"/>
          <w:szCs w:val="32"/>
        </w:rPr>
        <w:t>列入预算。公用经费原则上包括办公费、邮电费、差旅费、会议培训费、招待费、交通费、考察学习费等基本运转经费。</w:t>
      </w:r>
    </w:p>
    <w:p w14:paraId="3AA66C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②公车运行维护费：考虑到党政办承担着全区所有的公车使用和维护，且区直各单位使用无需付费，根据2024年和2025年资金实际使用情况测算，安排6台公务车运行维护费50万元；。</w:t>
      </w:r>
    </w:p>
    <w:p w14:paraId="3A15D7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③</w:t>
      </w:r>
      <w:r>
        <w:rPr>
          <w:rFonts w:hint="eastAsia" w:ascii="仿宋" w:hAnsi="仿宋" w:eastAsia="仿宋" w:cs="仿宋"/>
          <w:sz w:val="32"/>
          <w:szCs w:val="32"/>
          <w:lang w:val="en-US" w:eastAsia="zh-CN"/>
        </w:rPr>
        <w:t>党建经费：根据《中共永州经济技术开发区委员会关于调整提高全区基层组织经费待遇保障的意见》（永经开发〔2017〕7号），参考2025年预算标准，各预算单位党建经费标准按（0.5+0.05X）元/年（一个党支部0.5万元，X为实有正式党员人数）安排预算，党支部和党员数以区组织部提供名单核定</w:t>
      </w:r>
      <w:r>
        <w:rPr>
          <w:rFonts w:hint="eastAsia" w:ascii="仿宋" w:hAnsi="仿宋" w:eastAsia="仿宋" w:cs="仿宋"/>
          <w:sz w:val="32"/>
          <w:szCs w:val="32"/>
        </w:rPr>
        <w:t>。</w:t>
      </w:r>
    </w:p>
    <w:p w14:paraId="493B71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 4 \* GB3 \* MERGEFORMAT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④</w:t>
      </w:r>
      <w:r>
        <w:rPr>
          <w:rFonts w:hint="eastAsia" w:ascii="仿宋" w:hAnsi="仿宋" w:eastAsia="仿宋" w:cs="仿宋"/>
          <w:sz w:val="32"/>
          <w:szCs w:val="32"/>
          <w:lang w:val="en-US" w:eastAsia="zh-CN"/>
        </w:rPr>
        <w:fldChar w:fldCharType="end"/>
      </w:r>
      <w:r>
        <w:rPr>
          <w:rFonts w:hint="eastAsia" w:ascii="仿宋" w:hAnsi="仿宋" w:eastAsia="仿宋" w:cs="仿宋"/>
          <w:sz w:val="32"/>
          <w:szCs w:val="32"/>
          <w:lang w:val="en-US" w:eastAsia="zh-CN"/>
        </w:rPr>
        <w:t>工会经费</w:t>
      </w:r>
      <w:r>
        <w:rPr>
          <w:rFonts w:hint="eastAsia" w:ascii="仿宋" w:hAnsi="仿宋" w:eastAsia="仿宋" w:cs="仿宋"/>
          <w:sz w:val="32"/>
          <w:szCs w:val="32"/>
        </w:rPr>
        <w:t>：</w:t>
      </w:r>
      <w:r>
        <w:rPr>
          <w:rFonts w:hint="eastAsia" w:ascii="仿宋" w:hAnsi="仿宋" w:eastAsia="仿宋" w:cs="仿宋"/>
          <w:sz w:val="32"/>
          <w:szCs w:val="32"/>
          <w:lang w:val="en-US" w:eastAsia="zh-CN"/>
        </w:rPr>
        <w:t>全区各</w:t>
      </w:r>
      <w:r>
        <w:rPr>
          <w:rFonts w:hint="eastAsia" w:ascii="仿宋" w:hAnsi="仿宋" w:eastAsia="仿宋" w:cs="仿宋"/>
          <w:sz w:val="32"/>
          <w:szCs w:val="32"/>
          <w:highlight w:val="none"/>
          <w:lang w:val="en-US" w:eastAsia="zh-CN"/>
        </w:rPr>
        <w:t>单位工会经费参照2025年预算数、结合实际测算安排</w:t>
      </w:r>
      <w:r>
        <w:rPr>
          <w:rFonts w:hint="eastAsia" w:ascii="仿宋" w:hAnsi="仿宋" w:eastAsia="仿宋" w:cs="仿宋"/>
          <w:sz w:val="32"/>
          <w:szCs w:val="32"/>
          <w:highlight w:val="none"/>
        </w:rPr>
        <w:t>。</w:t>
      </w:r>
    </w:p>
    <w:p w14:paraId="244189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3.</w:t>
      </w:r>
      <w:r>
        <w:rPr>
          <w:rFonts w:hint="eastAsia" w:ascii="仿宋" w:hAnsi="仿宋" w:eastAsia="仿宋" w:cs="仿宋"/>
          <w:b w:val="0"/>
          <w:bCs/>
          <w:sz w:val="32"/>
          <w:szCs w:val="32"/>
          <w:highlight w:val="none"/>
        </w:rPr>
        <w:t>专项资金测算安排</w:t>
      </w:r>
    </w:p>
    <w:p w14:paraId="07C4F8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sz w:val="32"/>
          <w:szCs w:val="32"/>
        </w:rPr>
      </w:pPr>
      <w:r>
        <w:rPr>
          <w:rFonts w:hint="eastAsia" w:ascii="仿宋" w:hAnsi="仿宋" w:eastAsia="仿宋" w:cs="仿宋"/>
          <w:sz w:val="32"/>
          <w:szCs w:val="32"/>
        </w:rPr>
        <w:t>汇总各预算单位申报的情况，严格按照有关政策和实际进行测算安排。凡经区党委、区管委研究决定列入预算和按政策要求必须安排的专项支出，纳入</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年财政支出预算编制。专项经费预</w:t>
      </w:r>
      <w:r>
        <w:rPr>
          <w:rFonts w:hint="eastAsia" w:ascii="仿宋" w:hAnsi="仿宋" w:eastAsia="仿宋" w:cs="仿宋"/>
          <w:sz w:val="32"/>
          <w:szCs w:val="32"/>
          <w:lang w:val="en-US" w:eastAsia="zh-CN"/>
        </w:rPr>
        <w:t>安排</w:t>
      </w:r>
      <w:r>
        <w:rPr>
          <w:rFonts w:hint="eastAsia" w:ascii="仿宋" w:hAnsi="仿宋" w:eastAsia="仿宋" w:cs="仿宋"/>
          <w:sz w:val="32"/>
          <w:szCs w:val="32"/>
        </w:rPr>
        <w:t>到部门，使用时要按程序审批、余额不足时才能申请追加预算（批拨预备费）。</w:t>
      </w:r>
    </w:p>
    <w:p w14:paraId="721AFAF5">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 w:hAnsi="仿宋" w:eastAsia="仿宋" w:cs="仿宋"/>
          <w:sz w:val="32"/>
          <w:szCs w:val="32"/>
        </w:rPr>
      </w:pPr>
    </w:p>
    <w:p w14:paraId="02D60376">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 w:hAnsi="仿宋" w:eastAsia="仿宋" w:cs="仿宋"/>
          <w:sz w:val="32"/>
          <w:szCs w:val="32"/>
        </w:rPr>
      </w:pPr>
    </w:p>
    <w:p w14:paraId="740F68FB">
      <w:pPr>
        <w:spacing w:line="500" w:lineRule="exact"/>
        <w:jc w:val="right"/>
        <w:rPr>
          <w:rFonts w:hint="eastAsia" w:ascii="仿宋" w:hAnsi="仿宋" w:eastAsia="仿宋" w:cs="仿宋"/>
          <w:sz w:val="32"/>
          <w:szCs w:val="32"/>
        </w:rPr>
      </w:pPr>
      <w:r>
        <w:rPr>
          <w:rFonts w:hint="eastAsia" w:ascii="仿宋" w:hAnsi="仿宋" w:eastAsia="仿宋" w:cs="仿宋"/>
          <w:sz w:val="32"/>
          <w:szCs w:val="32"/>
          <w:lang w:val="en-US" w:eastAsia="zh-CN"/>
        </w:rPr>
        <w:t>永州经济技术开发区</w:t>
      </w:r>
      <w:r>
        <w:rPr>
          <w:rFonts w:hint="eastAsia" w:ascii="仿宋" w:hAnsi="仿宋" w:eastAsia="仿宋" w:cs="仿宋"/>
          <w:sz w:val="32"/>
          <w:szCs w:val="32"/>
        </w:rPr>
        <w:t>财政预算编制小组</w:t>
      </w:r>
    </w:p>
    <w:p w14:paraId="22FB1AED">
      <w:pPr>
        <w:wordWrap w:val="0"/>
        <w:spacing w:line="500" w:lineRule="exact"/>
        <w:ind w:firstLine="5584" w:firstLineChars="1745"/>
        <w:jc w:val="right"/>
        <w:rPr>
          <w:rFonts w:hint="eastAsia" w:ascii="仿宋" w:hAnsi="仿宋" w:eastAsia="仿宋" w:cs="仿宋"/>
          <w:sz w:val="32"/>
          <w:szCs w:val="32"/>
          <w:lang w:val="en-US"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28</w:t>
      </w:r>
      <w:r>
        <w:rPr>
          <w:rFonts w:hint="eastAsia" w:ascii="仿宋" w:hAnsi="仿宋" w:eastAsia="仿宋" w:cs="仿宋"/>
          <w:sz w:val="32"/>
          <w:szCs w:val="32"/>
        </w:rPr>
        <w:t>日</w:t>
      </w:r>
      <w:r>
        <w:rPr>
          <w:rFonts w:hint="eastAsia" w:ascii="仿宋" w:hAnsi="仿宋" w:eastAsia="仿宋" w:cs="仿宋"/>
          <w:sz w:val="32"/>
          <w:szCs w:val="32"/>
          <w:lang w:val="en-US" w:eastAsia="zh-CN"/>
        </w:rPr>
        <w:t xml:space="preserve">       </w:t>
      </w:r>
    </w:p>
    <w:sectPr>
      <w:headerReference r:id="rId3" w:type="default"/>
      <w:footerReference r:id="rId4" w:type="default"/>
      <w:footerReference r:id="rId5" w:type="even"/>
      <w:pgSz w:w="16838" w:h="11906" w:orient="landscape"/>
      <w:pgMar w:top="1701" w:right="1440" w:bottom="1134" w:left="1440" w:header="851" w:footer="992" w:gutter="0"/>
      <w:pgNumType w:fmt="decimal" w:start="16"/>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3AD6A63-6DEE-4F9D-AFA4-C633233447B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A3249975-CFE7-4286-9EF6-383D0F78BED1}"/>
  </w:font>
  <w:font w:name="仿宋_GB2312">
    <w:altName w:val="仿宋"/>
    <w:panose1 w:val="02010609030101010101"/>
    <w:charset w:val="86"/>
    <w:family w:val="modern"/>
    <w:pitch w:val="default"/>
    <w:sig w:usb0="00000000" w:usb1="00000000" w:usb2="00000000" w:usb3="00000000" w:csb0="00040000" w:csb1="00000000"/>
    <w:embedRegular r:id="rId3" w:fontKey="{1AB681B9-F321-458E-9BF8-F8B6ED4BD104}"/>
  </w:font>
  <w:font w:name="仿宋">
    <w:panose1 w:val="02010609060101010101"/>
    <w:charset w:val="86"/>
    <w:family w:val="auto"/>
    <w:pitch w:val="default"/>
    <w:sig w:usb0="800002BF" w:usb1="38CF7CFA" w:usb2="00000016" w:usb3="00000000" w:csb0="00040001" w:csb1="00000000"/>
    <w:embedRegular r:id="rId4" w:fontKey="{EC64CB7A-13C1-423B-9EFC-CAD651C75435}"/>
  </w:font>
  <w:font w:name="楷体">
    <w:panose1 w:val="02010609060101010101"/>
    <w:charset w:val="86"/>
    <w:family w:val="auto"/>
    <w:pitch w:val="default"/>
    <w:sig w:usb0="800002BF" w:usb1="38CF7CFA" w:usb2="00000016" w:usb3="00000000" w:csb0="00040001" w:csb1="00000000"/>
    <w:embedRegular r:id="rId5" w:fontKey="{D7D1401A-14B6-45AF-8EC4-C359B2414BC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B054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21FEC9">
                          <w:pPr>
                            <w:pStyle w:val="4"/>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21FEC9">
                    <w:pPr>
                      <w:pStyle w:val="4"/>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3F4C3">
    <w:pPr>
      <w:pStyle w:val="4"/>
      <w:framePr w:wrap="around" w:vAnchor="text" w:hAnchor="margin" w:xAlign="center" w:y="1"/>
      <w:rPr>
        <w:rStyle w:val="8"/>
      </w:rPr>
    </w:pPr>
    <w:r>
      <w:fldChar w:fldCharType="begin"/>
    </w:r>
    <w:r>
      <w:rPr>
        <w:rStyle w:val="8"/>
      </w:rPr>
      <w:instrText xml:space="preserve">PAGE  </w:instrText>
    </w:r>
    <w:r>
      <w:fldChar w:fldCharType="end"/>
    </w:r>
  </w:p>
  <w:p w14:paraId="70E8CD51">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F9D59">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iMjJjYWYxZTNiYjgwYWJlMzZjODdmYzE3ZTZiYzAifQ=="/>
  </w:docVars>
  <w:rsids>
    <w:rsidRoot w:val="005967DB"/>
    <w:rsid w:val="000004B3"/>
    <w:rsid w:val="000022AB"/>
    <w:rsid w:val="0001006D"/>
    <w:rsid w:val="0001538A"/>
    <w:rsid w:val="00017F41"/>
    <w:rsid w:val="0002390C"/>
    <w:rsid w:val="00024FAD"/>
    <w:rsid w:val="00033FD2"/>
    <w:rsid w:val="000354FB"/>
    <w:rsid w:val="00035B35"/>
    <w:rsid w:val="00036A93"/>
    <w:rsid w:val="00036C35"/>
    <w:rsid w:val="00036E10"/>
    <w:rsid w:val="00037536"/>
    <w:rsid w:val="00040177"/>
    <w:rsid w:val="00040FDB"/>
    <w:rsid w:val="000410FF"/>
    <w:rsid w:val="00043985"/>
    <w:rsid w:val="00045C83"/>
    <w:rsid w:val="00046AEB"/>
    <w:rsid w:val="00046BA7"/>
    <w:rsid w:val="00047083"/>
    <w:rsid w:val="00053B80"/>
    <w:rsid w:val="00053C94"/>
    <w:rsid w:val="000657E2"/>
    <w:rsid w:val="00067042"/>
    <w:rsid w:val="000848F1"/>
    <w:rsid w:val="00090E57"/>
    <w:rsid w:val="00091245"/>
    <w:rsid w:val="00092FA5"/>
    <w:rsid w:val="00096DDD"/>
    <w:rsid w:val="0009779F"/>
    <w:rsid w:val="000A3D2B"/>
    <w:rsid w:val="000A6767"/>
    <w:rsid w:val="000B0167"/>
    <w:rsid w:val="000B4342"/>
    <w:rsid w:val="000B5F16"/>
    <w:rsid w:val="000C025E"/>
    <w:rsid w:val="000C1B70"/>
    <w:rsid w:val="000C468A"/>
    <w:rsid w:val="000D4CF4"/>
    <w:rsid w:val="000E3016"/>
    <w:rsid w:val="000E535D"/>
    <w:rsid w:val="000F1332"/>
    <w:rsid w:val="000F1A3B"/>
    <w:rsid w:val="000F25B6"/>
    <w:rsid w:val="000F5BA0"/>
    <w:rsid w:val="00102F2C"/>
    <w:rsid w:val="00107F84"/>
    <w:rsid w:val="001104FA"/>
    <w:rsid w:val="0011306A"/>
    <w:rsid w:val="001253E5"/>
    <w:rsid w:val="001279E7"/>
    <w:rsid w:val="00130A49"/>
    <w:rsid w:val="00131062"/>
    <w:rsid w:val="001312B8"/>
    <w:rsid w:val="001349EB"/>
    <w:rsid w:val="00135501"/>
    <w:rsid w:val="0014474A"/>
    <w:rsid w:val="00146ECD"/>
    <w:rsid w:val="00147028"/>
    <w:rsid w:val="00150007"/>
    <w:rsid w:val="00152DFE"/>
    <w:rsid w:val="00153B28"/>
    <w:rsid w:val="00154ED8"/>
    <w:rsid w:val="00156492"/>
    <w:rsid w:val="00164C89"/>
    <w:rsid w:val="00166235"/>
    <w:rsid w:val="00166436"/>
    <w:rsid w:val="001703C4"/>
    <w:rsid w:val="00171B2E"/>
    <w:rsid w:val="00175392"/>
    <w:rsid w:val="00186081"/>
    <w:rsid w:val="00186F98"/>
    <w:rsid w:val="00192DD0"/>
    <w:rsid w:val="001A1A1B"/>
    <w:rsid w:val="001A5B4E"/>
    <w:rsid w:val="001A73B1"/>
    <w:rsid w:val="001B0A1B"/>
    <w:rsid w:val="001B447F"/>
    <w:rsid w:val="001C26FB"/>
    <w:rsid w:val="001C38F6"/>
    <w:rsid w:val="001D06D5"/>
    <w:rsid w:val="001D5C7C"/>
    <w:rsid w:val="001E5614"/>
    <w:rsid w:val="001E585E"/>
    <w:rsid w:val="001F182C"/>
    <w:rsid w:val="001F2265"/>
    <w:rsid w:val="001F533C"/>
    <w:rsid w:val="00200CF8"/>
    <w:rsid w:val="00201B85"/>
    <w:rsid w:val="00205494"/>
    <w:rsid w:val="00211C30"/>
    <w:rsid w:val="00211CC7"/>
    <w:rsid w:val="00220631"/>
    <w:rsid w:val="002234F8"/>
    <w:rsid w:val="002307B2"/>
    <w:rsid w:val="00234498"/>
    <w:rsid w:val="002354C6"/>
    <w:rsid w:val="00235E91"/>
    <w:rsid w:val="00236C09"/>
    <w:rsid w:val="002373D8"/>
    <w:rsid w:val="00245F7C"/>
    <w:rsid w:val="002461E3"/>
    <w:rsid w:val="0025038D"/>
    <w:rsid w:val="00250CCD"/>
    <w:rsid w:val="00252C33"/>
    <w:rsid w:val="00254DC2"/>
    <w:rsid w:val="00255541"/>
    <w:rsid w:val="00255EEB"/>
    <w:rsid w:val="00256A67"/>
    <w:rsid w:val="00260AF0"/>
    <w:rsid w:val="0026583E"/>
    <w:rsid w:val="002722C2"/>
    <w:rsid w:val="00274DB6"/>
    <w:rsid w:val="00274EA2"/>
    <w:rsid w:val="00277E37"/>
    <w:rsid w:val="0028632A"/>
    <w:rsid w:val="00286B32"/>
    <w:rsid w:val="00290E0B"/>
    <w:rsid w:val="002925EA"/>
    <w:rsid w:val="00293FA8"/>
    <w:rsid w:val="0029403B"/>
    <w:rsid w:val="002A2E80"/>
    <w:rsid w:val="002B1D5D"/>
    <w:rsid w:val="002B2A43"/>
    <w:rsid w:val="002B510A"/>
    <w:rsid w:val="002B5B62"/>
    <w:rsid w:val="002B5F6C"/>
    <w:rsid w:val="002B5F7F"/>
    <w:rsid w:val="002C6A0F"/>
    <w:rsid w:val="002D1AEA"/>
    <w:rsid w:val="002D1F40"/>
    <w:rsid w:val="002E12E4"/>
    <w:rsid w:val="002E3F10"/>
    <w:rsid w:val="002E64B5"/>
    <w:rsid w:val="002E6C90"/>
    <w:rsid w:val="002E6F95"/>
    <w:rsid w:val="002F2F1D"/>
    <w:rsid w:val="002F417E"/>
    <w:rsid w:val="003106B6"/>
    <w:rsid w:val="003151F7"/>
    <w:rsid w:val="003170AD"/>
    <w:rsid w:val="00317FBA"/>
    <w:rsid w:val="00320037"/>
    <w:rsid w:val="00320111"/>
    <w:rsid w:val="00321F76"/>
    <w:rsid w:val="00326895"/>
    <w:rsid w:val="0033317D"/>
    <w:rsid w:val="003335C8"/>
    <w:rsid w:val="003341A8"/>
    <w:rsid w:val="0033511E"/>
    <w:rsid w:val="00344E7B"/>
    <w:rsid w:val="00352616"/>
    <w:rsid w:val="003527AD"/>
    <w:rsid w:val="0035619B"/>
    <w:rsid w:val="00363C60"/>
    <w:rsid w:val="00366CF9"/>
    <w:rsid w:val="00366FFD"/>
    <w:rsid w:val="00367415"/>
    <w:rsid w:val="003750CB"/>
    <w:rsid w:val="00381901"/>
    <w:rsid w:val="00382A43"/>
    <w:rsid w:val="00391D19"/>
    <w:rsid w:val="00391F05"/>
    <w:rsid w:val="00393416"/>
    <w:rsid w:val="00395280"/>
    <w:rsid w:val="00395F80"/>
    <w:rsid w:val="003A2581"/>
    <w:rsid w:val="003B48E6"/>
    <w:rsid w:val="003B6EC4"/>
    <w:rsid w:val="003B737B"/>
    <w:rsid w:val="003C1AA8"/>
    <w:rsid w:val="003C38C1"/>
    <w:rsid w:val="003C5356"/>
    <w:rsid w:val="003C583F"/>
    <w:rsid w:val="003D2D0C"/>
    <w:rsid w:val="003D622C"/>
    <w:rsid w:val="003D7FE9"/>
    <w:rsid w:val="003E2632"/>
    <w:rsid w:val="003E2F38"/>
    <w:rsid w:val="003E4AA5"/>
    <w:rsid w:val="003F0AE4"/>
    <w:rsid w:val="003F1A2B"/>
    <w:rsid w:val="003F2C93"/>
    <w:rsid w:val="003F3EB0"/>
    <w:rsid w:val="003F6A62"/>
    <w:rsid w:val="00400447"/>
    <w:rsid w:val="00404BC4"/>
    <w:rsid w:val="00405AB9"/>
    <w:rsid w:val="00415AB3"/>
    <w:rsid w:val="00415F0B"/>
    <w:rsid w:val="0042044B"/>
    <w:rsid w:val="0042715D"/>
    <w:rsid w:val="00442C90"/>
    <w:rsid w:val="00444CC0"/>
    <w:rsid w:val="0045336B"/>
    <w:rsid w:val="00453BCA"/>
    <w:rsid w:val="00453D5D"/>
    <w:rsid w:val="004576B7"/>
    <w:rsid w:val="004600C6"/>
    <w:rsid w:val="0046023B"/>
    <w:rsid w:val="0046058C"/>
    <w:rsid w:val="00463A23"/>
    <w:rsid w:val="00473E9F"/>
    <w:rsid w:val="00494C3A"/>
    <w:rsid w:val="0049513A"/>
    <w:rsid w:val="004A09BC"/>
    <w:rsid w:val="004A4739"/>
    <w:rsid w:val="004A63C0"/>
    <w:rsid w:val="004A7819"/>
    <w:rsid w:val="004A7F66"/>
    <w:rsid w:val="004B0035"/>
    <w:rsid w:val="004B4023"/>
    <w:rsid w:val="004C4138"/>
    <w:rsid w:val="004C7154"/>
    <w:rsid w:val="004E5AEB"/>
    <w:rsid w:val="004F6566"/>
    <w:rsid w:val="004F7F4E"/>
    <w:rsid w:val="005004C6"/>
    <w:rsid w:val="00510A0C"/>
    <w:rsid w:val="005202D3"/>
    <w:rsid w:val="00527E8E"/>
    <w:rsid w:val="0053091B"/>
    <w:rsid w:val="00531E70"/>
    <w:rsid w:val="00533640"/>
    <w:rsid w:val="00533D9B"/>
    <w:rsid w:val="00535D3D"/>
    <w:rsid w:val="00535DD7"/>
    <w:rsid w:val="00536AE9"/>
    <w:rsid w:val="00540FAE"/>
    <w:rsid w:val="0054499E"/>
    <w:rsid w:val="0054718F"/>
    <w:rsid w:val="00550B37"/>
    <w:rsid w:val="00551D5F"/>
    <w:rsid w:val="00553DD1"/>
    <w:rsid w:val="0056310E"/>
    <w:rsid w:val="00572687"/>
    <w:rsid w:val="005762F0"/>
    <w:rsid w:val="005842B8"/>
    <w:rsid w:val="00585732"/>
    <w:rsid w:val="005917BC"/>
    <w:rsid w:val="005967DB"/>
    <w:rsid w:val="0059704F"/>
    <w:rsid w:val="005A17FF"/>
    <w:rsid w:val="005A5A63"/>
    <w:rsid w:val="005A6747"/>
    <w:rsid w:val="005A77B8"/>
    <w:rsid w:val="005B15AF"/>
    <w:rsid w:val="005B2F69"/>
    <w:rsid w:val="005C0661"/>
    <w:rsid w:val="005C0A10"/>
    <w:rsid w:val="005C4EFA"/>
    <w:rsid w:val="005D0E65"/>
    <w:rsid w:val="005E3A2C"/>
    <w:rsid w:val="005F352B"/>
    <w:rsid w:val="005F52BC"/>
    <w:rsid w:val="005F5B6A"/>
    <w:rsid w:val="0060400A"/>
    <w:rsid w:val="00605BE8"/>
    <w:rsid w:val="0060783A"/>
    <w:rsid w:val="006131C9"/>
    <w:rsid w:val="00613FAC"/>
    <w:rsid w:val="006171EE"/>
    <w:rsid w:val="006177FF"/>
    <w:rsid w:val="00620817"/>
    <w:rsid w:val="00623E0C"/>
    <w:rsid w:val="00635B16"/>
    <w:rsid w:val="0063635A"/>
    <w:rsid w:val="006429EB"/>
    <w:rsid w:val="00642F17"/>
    <w:rsid w:val="00643C26"/>
    <w:rsid w:val="00651FE2"/>
    <w:rsid w:val="00656251"/>
    <w:rsid w:val="00674797"/>
    <w:rsid w:val="00675291"/>
    <w:rsid w:val="00677EBA"/>
    <w:rsid w:val="00680FEC"/>
    <w:rsid w:val="00684E79"/>
    <w:rsid w:val="006857E2"/>
    <w:rsid w:val="00691E49"/>
    <w:rsid w:val="00693482"/>
    <w:rsid w:val="00694E0B"/>
    <w:rsid w:val="006A3E81"/>
    <w:rsid w:val="006A5E73"/>
    <w:rsid w:val="006A6E1E"/>
    <w:rsid w:val="006B05AB"/>
    <w:rsid w:val="006B3C76"/>
    <w:rsid w:val="006B4630"/>
    <w:rsid w:val="006B722B"/>
    <w:rsid w:val="006B7CAC"/>
    <w:rsid w:val="006C49A1"/>
    <w:rsid w:val="006C5E78"/>
    <w:rsid w:val="006C7EB7"/>
    <w:rsid w:val="006D7186"/>
    <w:rsid w:val="006E33F6"/>
    <w:rsid w:val="006E4959"/>
    <w:rsid w:val="006F147F"/>
    <w:rsid w:val="006F156F"/>
    <w:rsid w:val="006F2832"/>
    <w:rsid w:val="006F311B"/>
    <w:rsid w:val="006F6E72"/>
    <w:rsid w:val="006F70B9"/>
    <w:rsid w:val="00703979"/>
    <w:rsid w:val="007069F0"/>
    <w:rsid w:val="00711F0E"/>
    <w:rsid w:val="00716A34"/>
    <w:rsid w:val="00717355"/>
    <w:rsid w:val="00725AF9"/>
    <w:rsid w:val="00725C63"/>
    <w:rsid w:val="00730BF6"/>
    <w:rsid w:val="0073114B"/>
    <w:rsid w:val="00744205"/>
    <w:rsid w:val="00750279"/>
    <w:rsid w:val="007513E6"/>
    <w:rsid w:val="00754D37"/>
    <w:rsid w:val="007556A0"/>
    <w:rsid w:val="00756D50"/>
    <w:rsid w:val="0076530C"/>
    <w:rsid w:val="00767B44"/>
    <w:rsid w:val="00772BC5"/>
    <w:rsid w:val="0078080C"/>
    <w:rsid w:val="007823A2"/>
    <w:rsid w:val="00782BC3"/>
    <w:rsid w:val="00783046"/>
    <w:rsid w:val="00792674"/>
    <w:rsid w:val="007A1944"/>
    <w:rsid w:val="007B1438"/>
    <w:rsid w:val="007B1CA5"/>
    <w:rsid w:val="007B1E38"/>
    <w:rsid w:val="007B1EE5"/>
    <w:rsid w:val="007B2D7C"/>
    <w:rsid w:val="007B388E"/>
    <w:rsid w:val="007B79EF"/>
    <w:rsid w:val="007B7AD5"/>
    <w:rsid w:val="007C043F"/>
    <w:rsid w:val="007C1749"/>
    <w:rsid w:val="007C3794"/>
    <w:rsid w:val="007C3F55"/>
    <w:rsid w:val="007C71DA"/>
    <w:rsid w:val="007C7C2D"/>
    <w:rsid w:val="007E6275"/>
    <w:rsid w:val="007E6CBC"/>
    <w:rsid w:val="007E76FA"/>
    <w:rsid w:val="007F0A01"/>
    <w:rsid w:val="007F1B09"/>
    <w:rsid w:val="007F1F89"/>
    <w:rsid w:val="007F5F5F"/>
    <w:rsid w:val="007F6F30"/>
    <w:rsid w:val="00802470"/>
    <w:rsid w:val="0080451D"/>
    <w:rsid w:val="008057E5"/>
    <w:rsid w:val="0081202D"/>
    <w:rsid w:val="00812E2D"/>
    <w:rsid w:val="008171D1"/>
    <w:rsid w:val="00820311"/>
    <w:rsid w:val="00820416"/>
    <w:rsid w:val="0082351D"/>
    <w:rsid w:val="00826BD2"/>
    <w:rsid w:val="00830A83"/>
    <w:rsid w:val="00834585"/>
    <w:rsid w:val="00841CD0"/>
    <w:rsid w:val="00843A2A"/>
    <w:rsid w:val="00855476"/>
    <w:rsid w:val="008554CB"/>
    <w:rsid w:val="008556B6"/>
    <w:rsid w:val="00861E1B"/>
    <w:rsid w:val="00861F19"/>
    <w:rsid w:val="0086297C"/>
    <w:rsid w:val="00867513"/>
    <w:rsid w:val="00875718"/>
    <w:rsid w:val="00886AD1"/>
    <w:rsid w:val="00891ACC"/>
    <w:rsid w:val="00896030"/>
    <w:rsid w:val="008A08BA"/>
    <w:rsid w:val="008A4B9C"/>
    <w:rsid w:val="008A568A"/>
    <w:rsid w:val="008A6A6F"/>
    <w:rsid w:val="008B2744"/>
    <w:rsid w:val="008B2B72"/>
    <w:rsid w:val="008B790A"/>
    <w:rsid w:val="008C5EB9"/>
    <w:rsid w:val="008D0502"/>
    <w:rsid w:val="008D2976"/>
    <w:rsid w:val="008D7B88"/>
    <w:rsid w:val="008E3B1A"/>
    <w:rsid w:val="008E7DDE"/>
    <w:rsid w:val="008F35A7"/>
    <w:rsid w:val="00902F2B"/>
    <w:rsid w:val="009046B4"/>
    <w:rsid w:val="00904858"/>
    <w:rsid w:val="00913246"/>
    <w:rsid w:val="009164A5"/>
    <w:rsid w:val="00920D38"/>
    <w:rsid w:val="00920D8B"/>
    <w:rsid w:val="009234B2"/>
    <w:rsid w:val="00924D0F"/>
    <w:rsid w:val="009304BA"/>
    <w:rsid w:val="009323F2"/>
    <w:rsid w:val="00934A3E"/>
    <w:rsid w:val="009350ED"/>
    <w:rsid w:val="0094298C"/>
    <w:rsid w:val="00944465"/>
    <w:rsid w:val="00944C62"/>
    <w:rsid w:val="0094533B"/>
    <w:rsid w:val="00952167"/>
    <w:rsid w:val="00956360"/>
    <w:rsid w:val="00960B45"/>
    <w:rsid w:val="00964C8A"/>
    <w:rsid w:val="00964FD1"/>
    <w:rsid w:val="009707D4"/>
    <w:rsid w:val="00971447"/>
    <w:rsid w:val="00971BE7"/>
    <w:rsid w:val="0097535B"/>
    <w:rsid w:val="009813A5"/>
    <w:rsid w:val="0098537E"/>
    <w:rsid w:val="009860AF"/>
    <w:rsid w:val="00991E24"/>
    <w:rsid w:val="0099342E"/>
    <w:rsid w:val="009938D3"/>
    <w:rsid w:val="009976E5"/>
    <w:rsid w:val="009A2F97"/>
    <w:rsid w:val="009A7F54"/>
    <w:rsid w:val="009B1A53"/>
    <w:rsid w:val="009B38A5"/>
    <w:rsid w:val="009B585D"/>
    <w:rsid w:val="009C25C4"/>
    <w:rsid w:val="009C2FFD"/>
    <w:rsid w:val="009C51F9"/>
    <w:rsid w:val="009C6030"/>
    <w:rsid w:val="009C6F72"/>
    <w:rsid w:val="009C775B"/>
    <w:rsid w:val="009D773D"/>
    <w:rsid w:val="009E37BE"/>
    <w:rsid w:val="009E7CC1"/>
    <w:rsid w:val="009F2093"/>
    <w:rsid w:val="009F304E"/>
    <w:rsid w:val="009F3B6F"/>
    <w:rsid w:val="00A00717"/>
    <w:rsid w:val="00A0194A"/>
    <w:rsid w:val="00A01E61"/>
    <w:rsid w:val="00A031FA"/>
    <w:rsid w:val="00A07DCB"/>
    <w:rsid w:val="00A10ADC"/>
    <w:rsid w:val="00A117A6"/>
    <w:rsid w:val="00A13E1E"/>
    <w:rsid w:val="00A23316"/>
    <w:rsid w:val="00A26975"/>
    <w:rsid w:val="00A26A16"/>
    <w:rsid w:val="00A31C09"/>
    <w:rsid w:val="00A35C55"/>
    <w:rsid w:val="00A41733"/>
    <w:rsid w:val="00A5520E"/>
    <w:rsid w:val="00A60BB0"/>
    <w:rsid w:val="00A64CD4"/>
    <w:rsid w:val="00A64F25"/>
    <w:rsid w:val="00A707A4"/>
    <w:rsid w:val="00A86CED"/>
    <w:rsid w:val="00A87319"/>
    <w:rsid w:val="00A91523"/>
    <w:rsid w:val="00A936C9"/>
    <w:rsid w:val="00A9405C"/>
    <w:rsid w:val="00A95953"/>
    <w:rsid w:val="00AA0763"/>
    <w:rsid w:val="00AA0CDA"/>
    <w:rsid w:val="00AA4D69"/>
    <w:rsid w:val="00AA6C27"/>
    <w:rsid w:val="00AA7366"/>
    <w:rsid w:val="00AB1114"/>
    <w:rsid w:val="00AB11FA"/>
    <w:rsid w:val="00AB3BB2"/>
    <w:rsid w:val="00AC258F"/>
    <w:rsid w:val="00AC3847"/>
    <w:rsid w:val="00AC408D"/>
    <w:rsid w:val="00AD0BDE"/>
    <w:rsid w:val="00AD2032"/>
    <w:rsid w:val="00AD6AC1"/>
    <w:rsid w:val="00AE05AE"/>
    <w:rsid w:val="00AE105B"/>
    <w:rsid w:val="00AE1422"/>
    <w:rsid w:val="00AE2850"/>
    <w:rsid w:val="00AE5C07"/>
    <w:rsid w:val="00AF0C31"/>
    <w:rsid w:val="00AF1720"/>
    <w:rsid w:val="00AF2C49"/>
    <w:rsid w:val="00AF752A"/>
    <w:rsid w:val="00B00323"/>
    <w:rsid w:val="00B146CD"/>
    <w:rsid w:val="00B14EED"/>
    <w:rsid w:val="00B235E0"/>
    <w:rsid w:val="00B25ABE"/>
    <w:rsid w:val="00B34444"/>
    <w:rsid w:val="00B36E8E"/>
    <w:rsid w:val="00B44C30"/>
    <w:rsid w:val="00B4516B"/>
    <w:rsid w:val="00B465C8"/>
    <w:rsid w:val="00B4734F"/>
    <w:rsid w:val="00B47448"/>
    <w:rsid w:val="00B52777"/>
    <w:rsid w:val="00B52B35"/>
    <w:rsid w:val="00B53B40"/>
    <w:rsid w:val="00B54CCB"/>
    <w:rsid w:val="00B57039"/>
    <w:rsid w:val="00B62142"/>
    <w:rsid w:val="00B67765"/>
    <w:rsid w:val="00B714CD"/>
    <w:rsid w:val="00B72436"/>
    <w:rsid w:val="00B81EFC"/>
    <w:rsid w:val="00B85B67"/>
    <w:rsid w:val="00B85FF1"/>
    <w:rsid w:val="00B878CD"/>
    <w:rsid w:val="00B95593"/>
    <w:rsid w:val="00B977A0"/>
    <w:rsid w:val="00BA3F9D"/>
    <w:rsid w:val="00BA551D"/>
    <w:rsid w:val="00BA6CCF"/>
    <w:rsid w:val="00BA7E69"/>
    <w:rsid w:val="00BB1F9B"/>
    <w:rsid w:val="00BB2115"/>
    <w:rsid w:val="00BB4E00"/>
    <w:rsid w:val="00BB6349"/>
    <w:rsid w:val="00BB67B5"/>
    <w:rsid w:val="00BC2A41"/>
    <w:rsid w:val="00BE0EC7"/>
    <w:rsid w:val="00BE620B"/>
    <w:rsid w:val="00BE7B14"/>
    <w:rsid w:val="00BF0489"/>
    <w:rsid w:val="00BF04AD"/>
    <w:rsid w:val="00BF4364"/>
    <w:rsid w:val="00BF5591"/>
    <w:rsid w:val="00BF7255"/>
    <w:rsid w:val="00BF7F08"/>
    <w:rsid w:val="00C04399"/>
    <w:rsid w:val="00C06CC9"/>
    <w:rsid w:val="00C1512E"/>
    <w:rsid w:val="00C244DC"/>
    <w:rsid w:val="00C256B6"/>
    <w:rsid w:val="00C406CC"/>
    <w:rsid w:val="00C4668C"/>
    <w:rsid w:val="00C550F4"/>
    <w:rsid w:val="00C55461"/>
    <w:rsid w:val="00C561E0"/>
    <w:rsid w:val="00C568E1"/>
    <w:rsid w:val="00C62A99"/>
    <w:rsid w:val="00C71399"/>
    <w:rsid w:val="00C72A5C"/>
    <w:rsid w:val="00C73A70"/>
    <w:rsid w:val="00C75958"/>
    <w:rsid w:val="00C76586"/>
    <w:rsid w:val="00C80483"/>
    <w:rsid w:val="00C83D98"/>
    <w:rsid w:val="00C8556A"/>
    <w:rsid w:val="00C86CC3"/>
    <w:rsid w:val="00C90328"/>
    <w:rsid w:val="00CA4F8E"/>
    <w:rsid w:val="00CA5858"/>
    <w:rsid w:val="00CA5D45"/>
    <w:rsid w:val="00CB1DDC"/>
    <w:rsid w:val="00CB5A39"/>
    <w:rsid w:val="00CC17E7"/>
    <w:rsid w:val="00CC1E55"/>
    <w:rsid w:val="00CC7542"/>
    <w:rsid w:val="00CD681D"/>
    <w:rsid w:val="00CD7DA4"/>
    <w:rsid w:val="00CF1A5B"/>
    <w:rsid w:val="00CF41E3"/>
    <w:rsid w:val="00CF5FDA"/>
    <w:rsid w:val="00CF7639"/>
    <w:rsid w:val="00D0095B"/>
    <w:rsid w:val="00D0146E"/>
    <w:rsid w:val="00D039CD"/>
    <w:rsid w:val="00D069CE"/>
    <w:rsid w:val="00D142E8"/>
    <w:rsid w:val="00D165C0"/>
    <w:rsid w:val="00D166E8"/>
    <w:rsid w:val="00D2371E"/>
    <w:rsid w:val="00D3158D"/>
    <w:rsid w:val="00D35E97"/>
    <w:rsid w:val="00D374D6"/>
    <w:rsid w:val="00D47068"/>
    <w:rsid w:val="00D659E6"/>
    <w:rsid w:val="00D67B8E"/>
    <w:rsid w:val="00D72ED0"/>
    <w:rsid w:val="00D7472B"/>
    <w:rsid w:val="00D75A9B"/>
    <w:rsid w:val="00D77392"/>
    <w:rsid w:val="00D81184"/>
    <w:rsid w:val="00D830FF"/>
    <w:rsid w:val="00D83E5E"/>
    <w:rsid w:val="00D9095B"/>
    <w:rsid w:val="00D90DB9"/>
    <w:rsid w:val="00D937CE"/>
    <w:rsid w:val="00DA5155"/>
    <w:rsid w:val="00DA5C39"/>
    <w:rsid w:val="00DA70C1"/>
    <w:rsid w:val="00DB2A95"/>
    <w:rsid w:val="00DB498A"/>
    <w:rsid w:val="00DB5079"/>
    <w:rsid w:val="00DD1AE6"/>
    <w:rsid w:val="00DD1DCD"/>
    <w:rsid w:val="00DD2653"/>
    <w:rsid w:val="00DD540F"/>
    <w:rsid w:val="00DD60AA"/>
    <w:rsid w:val="00DE00C1"/>
    <w:rsid w:val="00DE6C73"/>
    <w:rsid w:val="00DE7E33"/>
    <w:rsid w:val="00DF1EB5"/>
    <w:rsid w:val="00DF44B5"/>
    <w:rsid w:val="00E01D33"/>
    <w:rsid w:val="00E022D3"/>
    <w:rsid w:val="00E026F3"/>
    <w:rsid w:val="00E0400B"/>
    <w:rsid w:val="00E065E0"/>
    <w:rsid w:val="00E0779E"/>
    <w:rsid w:val="00E102E4"/>
    <w:rsid w:val="00E128CF"/>
    <w:rsid w:val="00E16B8A"/>
    <w:rsid w:val="00E309FC"/>
    <w:rsid w:val="00E344EB"/>
    <w:rsid w:val="00E3468F"/>
    <w:rsid w:val="00E37E1B"/>
    <w:rsid w:val="00E41A2B"/>
    <w:rsid w:val="00E4709A"/>
    <w:rsid w:val="00E47A9F"/>
    <w:rsid w:val="00E5287A"/>
    <w:rsid w:val="00E56683"/>
    <w:rsid w:val="00E64AF3"/>
    <w:rsid w:val="00E657ED"/>
    <w:rsid w:val="00E72E05"/>
    <w:rsid w:val="00E73F42"/>
    <w:rsid w:val="00E82C76"/>
    <w:rsid w:val="00E9119B"/>
    <w:rsid w:val="00E92EEA"/>
    <w:rsid w:val="00E93CF4"/>
    <w:rsid w:val="00E95805"/>
    <w:rsid w:val="00EA40F8"/>
    <w:rsid w:val="00EB00A7"/>
    <w:rsid w:val="00ED06E8"/>
    <w:rsid w:val="00ED14A6"/>
    <w:rsid w:val="00ED511B"/>
    <w:rsid w:val="00ED5AB8"/>
    <w:rsid w:val="00ED6DAF"/>
    <w:rsid w:val="00EE144C"/>
    <w:rsid w:val="00EF52B9"/>
    <w:rsid w:val="00EF69CF"/>
    <w:rsid w:val="00F07222"/>
    <w:rsid w:val="00F119A3"/>
    <w:rsid w:val="00F12445"/>
    <w:rsid w:val="00F1371B"/>
    <w:rsid w:val="00F17007"/>
    <w:rsid w:val="00F17E71"/>
    <w:rsid w:val="00F21D07"/>
    <w:rsid w:val="00F2220A"/>
    <w:rsid w:val="00F24774"/>
    <w:rsid w:val="00F26D2F"/>
    <w:rsid w:val="00F32A1C"/>
    <w:rsid w:val="00F35C44"/>
    <w:rsid w:val="00F401C7"/>
    <w:rsid w:val="00F43013"/>
    <w:rsid w:val="00F50683"/>
    <w:rsid w:val="00F5091E"/>
    <w:rsid w:val="00F51DAE"/>
    <w:rsid w:val="00F52915"/>
    <w:rsid w:val="00F61FFC"/>
    <w:rsid w:val="00F64BB0"/>
    <w:rsid w:val="00F66E3A"/>
    <w:rsid w:val="00F71F80"/>
    <w:rsid w:val="00F73863"/>
    <w:rsid w:val="00F770CD"/>
    <w:rsid w:val="00F77A75"/>
    <w:rsid w:val="00F82F66"/>
    <w:rsid w:val="00F8496C"/>
    <w:rsid w:val="00F91E82"/>
    <w:rsid w:val="00F93626"/>
    <w:rsid w:val="00F96E9D"/>
    <w:rsid w:val="00FA2C31"/>
    <w:rsid w:val="00FA347E"/>
    <w:rsid w:val="00FA4185"/>
    <w:rsid w:val="00FA516A"/>
    <w:rsid w:val="00FB10DF"/>
    <w:rsid w:val="00FB15EC"/>
    <w:rsid w:val="00FB2A62"/>
    <w:rsid w:val="00FB33B5"/>
    <w:rsid w:val="00FB3848"/>
    <w:rsid w:val="00FB5D80"/>
    <w:rsid w:val="00FB5F83"/>
    <w:rsid w:val="00FC43F5"/>
    <w:rsid w:val="00FC4DC6"/>
    <w:rsid w:val="00FC57C1"/>
    <w:rsid w:val="00FD738C"/>
    <w:rsid w:val="00FE1614"/>
    <w:rsid w:val="00FF04A4"/>
    <w:rsid w:val="00FF42F9"/>
    <w:rsid w:val="02364A66"/>
    <w:rsid w:val="02CA118B"/>
    <w:rsid w:val="077B0190"/>
    <w:rsid w:val="0A9719C2"/>
    <w:rsid w:val="0AFE1D10"/>
    <w:rsid w:val="0CD64116"/>
    <w:rsid w:val="11E75991"/>
    <w:rsid w:val="14572107"/>
    <w:rsid w:val="15435BF2"/>
    <w:rsid w:val="16190273"/>
    <w:rsid w:val="189310B2"/>
    <w:rsid w:val="1AB75F49"/>
    <w:rsid w:val="1B472CC9"/>
    <w:rsid w:val="1CEA3408"/>
    <w:rsid w:val="1D100F23"/>
    <w:rsid w:val="1F902748"/>
    <w:rsid w:val="2171324E"/>
    <w:rsid w:val="22B55DE5"/>
    <w:rsid w:val="26F64CE5"/>
    <w:rsid w:val="27032655"/>
    <w:rsid w:val="2AED4EF2"/>
    <w:rsid w:val="32FD2CE8"/>
    <w:rsid w:val="35C12F3E"/>
    <w:rsid w:val="37051384"/>
    <w:rsid w:val="3C225536"/>
    <w:rsid w:val="3EC6723B"/>
    <w:rsid w:val="41975D03"/>
    <w:rsid w:val="46CF4CBA"/>
    <w:rsid w:val="4A225C6E"/>
    <w:rsid w:val="4BEF423C"/>
    <w:rsid w:val="4C771D90"/>
    <w:rsid w:val="502A34CB"/>
    <w:rsid w:val="503F185A"/>
    <w:rsid w:val="517A4361"/>
    <w:rsid w:val="52A7593E"/>
    <w:rsid w:val="534508CE"/>
    <w:rsid w:val="55DF399E"/>
    <w:rsid w:val="55FA052B"/>
    <w:rsid w:val="5A5F4028"/>
    <w:rsid w:val="5B897305"/>
    <w:rsid w:val="5D9420E0"/>
    <w:rsid w:val="5DBA7B13"/>
    <w:rsid w:val="5F39478E"/>
    <w:rsid w:val="5FA279E4"/>
    <w:rsid w:val="63423626"/>
    <w:rsid w:val="63F154D1"/>
    <w:rsid w:val="63F86DC0"/>
    <w:rsid w:val="656D6C35"/>
    <w:rsid w:val="656E7B61"/>
    <w:rsid w:val="66206763"/>
    <w:rsid w:val="69B8442C"/>
    <w:rsid w:val="6B070545"/>
    <w:rsid w:val="6C2E13DB"/>
    <w:rsid w:val="6ECA5F22"/>
    <w:rsid w:val="6F7246F2"/>
    <w:rsid w:val="6FB62CA0"/>
    <w:rsid w:val="70325ED3"/>
    <w:rsid w:val="717F1E99"/>
    <w:rsid w:val="731230F9"/>
    <w:rsid w:val="737B77DC"/>
    <w:rsid w:val="76DD1B3E"/>
    <w:rsid w:val="774B1AB0"/>
    <w:rsid w:val="7B3E742E"/>
    <w:rsid w:val="7BD611E3"/>
    <w:rsid w:val="7E003AE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2647</Words>
  <Characters>2754</Characters>
  <Lines>24</Lines>
  <Paragraphs>6</Paragraphs>
  <TotalTime>415</TotalTime>
  <ScaleCrop>false</ScaleCrop>
  <LinksUpToDate>false</LinksUpToDate>
  <CharactersWithSpaces>2761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2018-02-27T07:13:00Z</dcterms:created>
  <dc:creator>微软用户</dc:creator>
  <cp:lastModifiedBy>一串葡萄入梦来</cp:lastModifiedBy>
  <cp:lastPrinted>2025-12-08T02:20:28Z</cp:lastPrinted>
  <dcterms:modified xsi:type="dcterms:W3CDTF">2025-12-08T02:20:33Z</dcterms:modified>
  <dc:title>2009年市本级财政预算及部门预算编制方案</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50DC3D7362EF40EAB2C11C595E1AE202_13</vt:lpwstr>
  </property>
  <property fmtid="{D5CDD505-2E9C-101B-9397-08002B2CF9AE}" pid="4" name="KSOTemplateDocerSaveRecord">
    <vt:lpwstr>eyJoZGlkIjoiZjcyMGY0NTBlMWUwNmM1MjM2ZmY0NjBiNTdlMTg3MDMiLCJ1c2VySWQiOiIzNTY2NTYwOTkifQ==</vt:lpwstr>
  </property>
</Properties>
</file>